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bookmarkStart w:id="75" w:name="_GoBack"/>
      <w:bookmarkEnd w:id="75"/>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jc w:val="center"/>
        <w:rPr>
          <w:rFonts w:ascii="黑体" w:hAnsi="黑体" w:eastAsia="黑体" w:cs="Times New Roman"/>
          <w:bCs/>
          <w:kern w:val="2"/>
          <w:sz w:val="44"/>
          <w:szCs w:val="44"/>
        </w:rPr>
      </w:pPr>
    </w:p>
    <w:p>
      <w:pPr>
        <w:widowControl w:val="0"/>
        <w:adjustRightInd/>
        <w:snapToGrid/>
        <w:spacing w:after="0" w:line="700" w:lineRule="exact"/>
        <w:jc w:val="center"/>
        <w:rPr>
          <w:rFonts w:ascii="黑体" w:hAnsi="黑体" w:eastAsia="黑体" w:cs="Times New Roman"/>
          <w:bCs/>
          <w:kern w:val="2"/>
          <w:sz w:val="44"/>
          <w:szCs w:val="44"/>
        </w:rPr>
      </w:pPr>
      <w:r>
        <w:rPr>
          <w:rFonts w:hint="eastAsia" w:ascii="黑体" w:hAnsi="黑体" w:eastAsia="黑体" w:cs="Times New Roman"/>
          <w:bCs/>
          <w:kern w:val="2"/>
          <w:sz w:val="44"/>
          <w:szCs w:val="44"/>
        </w:rPr>
        <w:t>无极县污水处理费征收管理中心</w:t>
      </w:r>
    </w:p>
    <w:p>
      <w:pPr>
        <w:widowControl w:val="0"/>
        <w:adjustRightInd/>
        <w:snapToGrid/>
        <w:spacing w:after="0" w:line="700" w:lineRule="exact"/>
        <w:jc w:val="center"/>
        <w:rPr>
          <w:rFonts w:ascii="黑体" w:hAnsi="黑体" w:eastAsia="黑体" w:cs="Times New Roman"/>
          <w:bCs/>
          <w:kern w:val="2"/>
          <w:sz w:val="44"/>
          <w:szCs w:val="44"/>
        </w:rPr>
      </w:pPr>
      <w:r>
        <w:rPr>
          <w:rFonts w:hint="eastAsia" w:ascii="黑体" w:hAnsi="黑体" w:eastAsia="黑体" w:cs="Times New Roman"/>
          <w:bCs/>
          <w:kern w:val="2"/>
          <w:sz w:val="44"/>
          <w:szCs w:val="44"/>
        </w:rPr>
        <w:t>2019年单位整体支出绩效评价报告</w:t>
      </w: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widowControl w:val="0"/>
        <w:adjustRightInd/>
        <w:snapToGrid/>
        <w:spacing w:after="0" w:line="540" w:lineRule="exact"/>
        <w:ind w:firstLine="1440" w:firstLineChars="200"/>
        <w:jc w:val="both"/>
        <w:rPr>
          <w:rFonts w:ascii="Times New Roman" w:hAnsi="Times New Roman" w:eastAsia="宋体" w:cs="Times New Roman"/>
          <w:bCs/>
          <w:kern w:val="2"/>
          <w:sz w:val="72"/>
          <w:szCs w:val="24"/>
        </w:rPr>
      </w:pP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评价机构：河北德永会计师事务所有限公司</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委托单位：无极县财政局</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被评价单位：无极县污水处理费征收管理中心</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评价内容：2019年单位整体支出</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工作组组长：曹晓红</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工作组成员：李婧、王娇、张凤桃、王梦婷</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工作组联系电话：0311－69053103</w:t>
      </w:r>
    </w:p>
    <w:p>
      <w:pPr>
        <w:spacing w:after="0" w:line="54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highlight w:val="yellow"/>
        </w:rPr>
        <w:t>报告日期：2020年4月30日</w:t>
      </w:r>
    </w:p>
    <w:p>
      <w:pPr>
        <w:spacing w:after="0" w:line="540" w:lineRule="exact"/>
        <w:jc w:val="both"/>
        <w:textAlignment w:val="baseline"/>
        <w:rPr>
          <w:rFonts w:ascii="仿宋_GB2312" w:eastAsia="仿宋_GB2312" w:cs="DengXian-Regular"/>
          <w:sz w:val="32"/>
          <w:szCs w:val="32"/>
        </w:rPr>
      </w:pPr>
    </w:p>
    <w:p>
      <w:pPr>
        <w:adjustRightInd/>
        <w:snapToGrid/>
        <w:spacing w:after="0"/>
        <w:rPr>
          <w:rFonts w:ascii="仿宋_GB2312" w:eastAsia="仿宋_GB2312" w:cs="DengXian-Regular"/>
          <w:sz w:val="32"/>
          <w:szCs w:val="32"/>
        </w:rPr>
      </w:pPr>
      <w:r>
        <w:rPr>
          <w:rFonts w:ascii="仿宋_GB2312" w:eastAsia="仿宋_GB2312" w:cs="DengXian-Regular"/>
          <w:sz w:val="32"/>
          <w:szCs w:val="32"/>
        </w:rPr>
        <w:br w:type="page"/>
      </w:r>
    </w:p>
    <w:sdt>
      <w:sdtPr>
        <w:rPr>
          <w:rFonts w:ascii="Tahoma" w:hAnsi="Tahoma" w:eastAsia="微软雅黑" w:cstheme="minorBidi"/>
          <w:b w:val="0"/>
          <w:bCs w:val="0"/>
          <w:color w:val="auto"/>
          <w:sz w:val="22"/>
          <w:szCs w:val="22"/>
          <w:lang w:val="zh-CN"/>
        </w:rPr>
        <w:id w:val="26400083"/>
        <w:docPartObj>
          <w:docPartGallery w:val="Table of Contents"/>
          <w:docPartUnique/>
        </w:docPartObj>
      </w:sdtPr>
      <w:sdtEndPr>
        <w:rPr>
          <w:rFonts w:ascii="Tahoma" w:hAnsi="Tahoma" w:eastAsia="微软雅黑" w:cstheme="minorBidi"/>
          <w:b w:val="0"/>
          <w:bCs w:val="0"/>
          <w:color w:val="auto"/>
          <w:sz w:val="22"/>
          <w:szCs w:val="22"/>
          <w:lang w:val="en-US"/>
        </w:rPr>
      </w:sdtEndPr>
      <w:sdtContent>
        <w:p>
          <w:pPr>
            <w:pStyle w:val="76"/>
            <w:jc w:val="center"/>
          </w:pPr>
          <w:r>
            <w:rPr>
              <w:rFonts w:ascii="黑体" w:hAnsi="黑体" w:eastAsia="黑体"/>
              <w:color w:val="auto"/>
              <w:sz w:val="36"/>
              <w:szCs w:val="36"/>
              <w:lang w:val="zh-CN"/>
            </w:rPr>
            <w:t>目</w:t>
          </w:r>
          <w:r>
            <w:rPr>
              <w:rFonts w:hint="eastAsia" w:ascii="黑体" w:hAnsi="黑体" w:eastAsia="黑体"/>
              <w:color w:val="auto"/>
              <w:sz w:val="36"/>
              <w:szCs w:val="36"/>
              <w:lang w:val="zh-CN"/>
            </w:rPr>
            <w:t xml:space="preserve">      </w:t>
          </w:r>
          <w:r>
            <w:rPr>
              <w:rFonts w:ascii="黑体" w:hAnsi="黑体" w:eastAsia="黑体"/>
              <w:color w:val="auto"/>
              <w:sz w:val="36"/>
              <w:szCs w:val="36"/>
              <w:lang w:val="zh-CN"/>
            </w:rPr>
            <w:t>录</w:t>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TOC \o "1-3" \h \z \u </w:instrText>
          </w:r>
          <w:r>
            <w:fldChar w:fldCharType="separate"/>
          </w:r>
          <w:r>
            <w:fldChar w:fldCharType="begin"/>
          </w:r>
          <w:r>
            <w:instrText xml:space="preserve"> HYPERLINK \l "_Toc38813000" </w:instrText>
          </w:r>
          <w:r>
            <w:fldChar w:fldCharType="separate"/>
          </w:r>
          <w:r>
            <w:rPr>
              <w:rStyle w:val="30"/>
              <w:rFonts w:hint="eastAsia" w:ascii="黑体" w:hAnsi="黑体"/>
            </w:rPr>
            <w:t>第一部分</w:t>
          </w:r>
          <w:r>
            <w:rPr>
              <w:rStyle w:val="30"/>
              <w:rFonts w:ascii="黑体" w:hAnsi="黑体"/>
            </w:rPr>
            <w:t xml:space="preserve">  </w:t>
          </w:r>
          <w:r>
            <w:rPr>
              <w:rStyle w:val="30"/>
              <w:rFonts w:hint="eastAsia" w:ascii="黑体" w:hAnsi="黑体"/>
            </w:rPr>
            <w:t>摘要</w:t>
          </w:r>
          <w:r>
            <w:tab/>
          </w:r>
          <w:r>
            <w:fldChar w:fldCharType="begin"/>
          </w:r>
          <w:r>
            <w:instrText xml:space="preserve"> PAGEREF _Toc38813000 \h </w:instrText>
          </w:r>
          <w:r>
            <w:fldChar w:fldCharType="separate"/>
          </w:r>
          <w:r>
            <w:t>4</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"_Toc38813001" </w:instrText>
          </w:r>
          <w:r>
            <w:fldChar w:fldCharType="separate"/>
          </w:r>
          <w:r>
            <w:rPr>
              <w:rStyle w:val="30"/>
              <w:rFonts w:hint="eastAsia" w:ascii="黑体" w:hAnsi="黑体"/>
            </w:rPr>
            <w:t>第二部分</w:t>
          </w:r>
          <w:r>
            <w:rPr>
              <w:rStyle w:val="30"/>
              <w:rFonts w:ascii="黑体" w:hAnsi="黑体"/>
            </w:rPr>
            <w:t xml:space="preserve">  </w:t>
          </w:r>
          <w:r>
            <w:rPr>
              <w:rStyle w:val="30"/>
              <w:rFonts w:hint="eastAsia" w:ascii="黑体" w:hAnsi="黑体"/>
            </w:rPr>
            <w:t>绩效评价报告</w:t>
          </w:r>
          <w:r>
            <w:tab/>
          </w:r>
          <w:r>
            <w:fldChar w:fldCharType="begin"/>
          </w:r>
          <w:r>
            <w:instrText xml:space="preserve"> PAGEREF _Toc38813001 \h </w:instrText>
          </w:r>
          <w:r>
            <w:fldChar w:fldCharType="separate"/>
          </w:r>
          <w:r>
            <w:t>8</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"_Toc38813002" </w:instrText>
          </w:r>
          <w:r>
            <w:fldChar w:fldCharType="separate"/>
          </w:r>
          <w:r>
            <w:rPr>
              <w:rStyle w:val="30"/>
              <w:rFonts w:hint="eastAsia" w:ascii="黑体" w:hAnsi="黑体" w:cs="楷体"/>
            </w:rPr>
            <w:t>一、基本情况</w:t>
          </w:r>
          <w:r>
            <w:tab/>
          </w:r>
          <w:r>
            <w:fldChar w:fldCharType="begin"/>
          </w:r>
          <w:r>
            <w:instrText xml:space="preserve"> PAGEREF _Toc38813002 \h </w:instrText>
          </w:r>
          <w:r>
            <w:fldChar w:fldCharType="separate"/>
          </w:r>
          <w:r>
            <w:t>8</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"_Toc38813003" </w:instrText>
          </w:r>
          <w:r>
            <w:fldChar w:fldCharType="separate"/>
          </w:r>
          <w:r>
            <w:rPr>
              <w:rStyle w:val="30"/>
              <w:rFonts w:hint="eastAsia" w:ascii="楷体_GB2312" w:hAnsi="Tahoma" w:eastAsia="楷体_GB2312" w:cs="DengXian-Regular"/>
            </w:rPr>
            <w:t>（一）单位概况</w:t>
          </w:r>
          <w:r>
            <w:tab/>
          </w:r>
          <w:r>
            <w:fldChar w:fldCharType="begin"/>
          </w:r>
          <w:r>
            <w:instrText xml:space="preserve"> PAGEREF _Toc38813003 \h </w:instrText>
          </w:r>
          <w:r>
            <w:fldChar w:fldCharType="separate"/>
          </w:r>
          <w:r>
            <w:t>8</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"_Toc38813004" </w:instrText>
          </w:r>
          <w:r>
            <w:fldChar w:fldCharType="separate"/>
          </w:r>
          <w:r>
            <w:rPr>
              <w:rStyle w:val="30"/>
              <w:rFonts w:hint="eastAsia" w:ascii="楷体_GB2312" w:hAnsi="Tahoma" w:eastAsia="楷体_GB2312" w:cs="DengXian-Regular"/>
            </w:rPr>
            <w:t>（二）评价内容及收支情况</w:t>
          </w:r>
          <w:r>
            <w:tab/>
          </w:r>
          <w:r>
            <w:fldChar w:fldCharType="begin"/>
          </w:r>
          <w:r>
            <w:instrText xml:space="preserve"> PAGEREF _Toc38813004 \h </w:instrText>
          </w:r>
          <w:r>
            <w:fldChar w:fldCharType="separate"/>
          </w:r>
          <w:r>
            <w:t>9</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"_Toc38813005" </w:instrText>
          </w:r>
          <w:r>
            <w:fldChar w:fldCharType="separate"/>
          </w:r>
          <w:r>
            <w:rPr>
              <w:rStyle w:val="30"/>
              <w:rFonts w:hint="eastAsia" w:ascii="黑体"/>
            </w:rPr>
            <w:t>二、绩效评价工作开展情况</w:t>
          </w:r>
          <w:r>
            <w:tab/>
          </w:r>
          <w:r>
            <w:fldChar w:fldCharType="begin"/>
          </w:r>
          <w:r>
            <w:instrText xml:space="preserve"> PAGEREF _Toc38813005 \h </w:instrText>
          </w:r>
          <w:r>
            <w:fldChar w:fldCharType="separate"/>
          </w:r>
          <w:r>
            <w:t>10</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"_Toc38813006" </w:instrText>
          </w:r>
          <w:r>
            <w:fldChar w:fldCharType="separate"/>
          </w:r>
          <w:r>
            <w:rPr>
              <w:rStyle w:val="30"/>
              <w:rFonts w:hint="eastAsia" w:ascii="楷体_GB2312" w:hAnsi="Tahoma" w:eastAsia="楷体_GB2312" w:cs="DengXian-Regular"/>
            </w:rPr>
            <w:t>（一）绩效评价目的、对象和范围</w:t>
          </w:r>
          <w:r>
            <w:tab/>
          </w:r>
          <w:r>
            <w:fldChar w:fldCharType="begin"/>
          </w:r>
          <w:r>
            <w:instrText xml:space="preserve"> PAGEREF _Toc38813006 \h </w:instrText>
          </w:r>
          <w:r>
            <w:fldChar w:fldCharType="separate"/>
          </w:r>
          <w:r>
            <w:t>10</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"_Toc38813007" </w:instrText>
          </w:r>
          <w:r>
            <w:fldChar w:fldCharType="separate"/>
          </w:r>
          <w:r>
            <w:rPr>
              <w:rStyle w:val="30"/>
              <w:rFonts w:hint="eastAsia" w:ascii="楷体_GB2312" w:hAnsi="楷体" w:eastAsia="楷体_GB2312"/>
            </w:rPr>
            <w:t>（二）绩效评价指标体系</w:t>
          </w:r>
          <w:r>
            <w:tab/>
          </w:r>
          <w:r>
            <w:fldChar w:fldCharType="begin"/>
          </w:r>
          <w:r>
            <w:instrText xml:space="preserve"> PAGEREF _Toc38813007 \h </w:instrText>
          </w:r>
          <w:r>
            <w:fldChar w:fldCharType="separate"/>
          </w:r>
          <w:r>
            <w:t>10</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"_Toc38813008" </w:instrText>
          </w:r>
          <w:r>
            <w:fldChar w:fldCharType="separate"/>
          </w:r>
          <w:r>
            <w:rPr>
              <w:rStyle w:val="30"/>
              <w:rFonts w:hint="eastAsia" w:ascii="楷体_GB2312" w:hAnsi="楷体" w:eastAsia="楷体_GB2312"/>
            </w:rPr>
            <w:t>（三）绩效评价原则、依据、方法及标准</w:t>
          </w:r>
          <w:r>
            <w:tab/>
          </w:r>
          <w:r>
            <w:fldChar w:fldCharType="begin"/>
          </w:r>
          <w:r>
            <w:instrText xml:space="preserve"> PAGEREF _Toc38813008 \h </w:instrText>
          </w:r>
          <w:r>
            <w:fldChar w:fldCharType="separate"/>
          </w:r>
          <w:r>
            <w:t>11</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"_Toc38813009" </w:instrText>
          </w:r>
          <w:r>
            <w:fldChar w:fldCharType="separate"/>
          </w:r>
          <w:r>
            <w:rPr>
              <w:rStyle w:val="30"/>
              <w:rFonts w:ascii="仿宋_GB2312" w:hAnsi="Tahoma" w:cs="DengXian-Regular"/>
            </w:rPr>
            <w:t>1.</w:t>
          </w:r>
          <w:r>
            <w:rPr>
              <w:rStyle w:val="30"/>
              <w:rFonts w:hint="eastAsia" w:ascii="仿宋_GB2312" w:hAnsi="Tahoma" w:cs="DengXian-Regular"/>
            </w:rPr>
            <w:t>评价原则</w:t>
          </w:r>
          <w:r>
            <w:tab/>
          </w:r>
          <w:r>
            <w:fldChar w:fldCharType="begin"/>
          </w:r>
          <w:r>
            <w:instrText xml:space="preserve"> PAGEREF _Toc38813009 \h </w:instrText>
          </w:r>
          <w:r>
            <w:fldChar w:fldCharType="separate"/>
          </w:r>
          <w:r>
            <w:t>11</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"_Toc38813010" </w:instrText>
          </w:r>
          <w:r>
            <w:fldChar w:fldCharType="separate"/>
          </w:r>
          <w:r>
            <w:rPr>
              <w:rStyle w:val="30"/>
              <w:rFonts w:ascii="仿宋_GB2312" w:hAnsi="Tahoma" w:cs="DengXian-Regular"/>
            </w:rPr>
            <w:t>2.</w:t>
          </w:r>
          <w:r>
            <w:rPr>
              <w:rStyle w:val="30"/>
              <w:rFonts w:hint="eastAsia" w:ascii="仿宋_GB2312" w:hAnsi="Tahoma" w:cs="DengXian-Regular"/>
            </w:rPr>
            <w:t>评价依据</w:t>
          </w:r>
          <w:r>
            <w:tab/>
          </w:r>
          <w:r>
            <w:fldChar w:fldCharType="begin"/>
          </w:r>
          <w:r>
            <w:instrText xml:space="preserve"> PAGEREF _Toc38813010 \h </w:instrText>
          </w:r>
          <w:r>
            <w:fldChar w:fldCharType="separate"/>
          </w:r>
          <w:r>
            <w:t>12</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"_Toc38813011" </w:instrText>
          </w:r>
          <w:r>
            <w:fldChar w:fldCharType="separate"/>
          </w:r>
          <w:r>
            <w:rPr>
              <w:rStyle w:val="30"/>
              <w:rFonts w:ascii="仿宋_GB2312" w:hAnsi="Tahoma" w:cs="DengXian-Regular"/>
            </w:rPr>
            <w:t>3.</w:t>
          </w:r>
          <w:r>
            <w:rPr>
              <w:rStyle w:val="30"/>
              <w:rFonts w:hint="eastAsia" w:ascii="仿宋_GB2312" w:hAnsi="Tahoma" w:cs="DengXian-Regular"/>
            </w:rPr>
            <w:t>评价方法</w:t>
          </w:r>
          <w:r>
            <w:tab/>
          </w:r>
          <w:r>
            <w:fldChar w:fldCharType="begin"/>
          </w:r>
          <w:r>
            <w:instrText xml:space="preserve"> PAGEREF _Toc38813011 \h </w:instrText>
          </w:r>
          <w:r>
            <w:fldChar w:fldCharType="separate"/>
          </w:r>
          <w:r>
            <w:t>12</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"_Toc38813012" </w:instrText>
          </w:r>
          <w:r>
            <w:fldChar w:fldCharType="separate"/>
          </w:r>
          <w:r>
            <w:rPr>
              <w:rStyle w:val="30"/>
              <w:rFonts w:ascii="仿宋_GB2312" w:hAnsi="Tahoma" w:cs="DengXian-Regular"/>
            </w:rPr>
            <w:t>4.</w:t>
          </w:r>
          <w:r>
            <w:rPr>
              <w:rStyle w:val="30"/>
              <w:rFonts w:hint="eastAsia" w:ascii="仿宋_GB2312" w:hAnsi="Tahoma" w:cs="DengXian-Regular"/>
            </w:rPr>
            <w:t>评价标准</w:t>
          </w:r>
          <w:r>
            <w:tab/>
          </w:r>
          <w:r>
            <w:fldChar w:fldCharType="begin"/>
          </w:r>
          <w:r>
            <w:instrText xml:space="preserve"> PAGEREF _Toc38813012 \h </w:instrText>
          </w:r>
          <w:r>
            <w:fldChar w:fldCharType="separate"/>
          </w:r>
          <w:r>
            <w:t>13</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"_Toc38813013" </w:instrText>
          </w:r>
          <w:r>
            <w:fldChar w:fldCharType="separate"/>
          </w:r>
          <w:r>
            <w:rPr>
              <w:rStyle w:val="30"/>
              <w:rFonts w:hint="eastAsia" w:ascii="楷体_GB2312" w:hAnsi="楷体" w:eastAsia="楷体_GB2312"/>
            </w:rPr>
            <w:t>（四）绩效评价工作过程</w:t>
          </w:r>
          <w:r>
            <w:tab/>
          </w:r>
          <w:r>
            <w:fldChar w:fldCharType="begin"/>
          </w:r>
          <w:r>
            <w:instrText xml:space="preserve"> PAGEREF _Toc38813013 \h </w:instrText>
          </w:r>
          <w:r>
            <w:fldChar w:fldCharType="separate"/>
          </w:r>
          <w:r>
            <w:t>13</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"_Toc38813014" </w:instrText>
          </w:r>
          <w:r>
            <w:fldChar w:fldCharType="separate"/>
          </w:r>
          <w:r>
            <w:rPr>
              <w:rStyle w:val="30"/>
              <w:rFonts w:hint="eastAsia" w:ascii="黑体"/>
            </w:rPr>
            <w:t>三、综合评价情况及评价结论</w:t>
          </w:r>
          <w:r>
            <w:tab/>
          </w:r>
          <w:r>
            <w:fldChar w:fldCharType="begin"/>
          </w:r>
          <w:r>
            <w:instrText xml:space="preserve"> PAGEREF _Toc38813014 \h </w:instrText>
          </w:r>
          <w:r>
            <w:fldChar w:fldCharType="separate"/>
          </w:r>
          <w:r>
            <w:t>14</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"_Toc38813015" </w:instrText>
          </w:r>
          <w:r>
            <w:fldChar w:fldCharType="separate"/>
          </w:r>
          <w:r>
            <w:rPr>
              <w:rStyle w:val="30"/>
              <w:rFonts w:hint="eastAsia" w:ascii="黑体"/>
            </w:rPr>
            <w:t>四、绩效评价指标分析</w:t>
          </w:r>
          <w:r>
            <w:tab/>
          </w:r>
          <w:r>
            <w:fldChar w:fldCharType="begin"/>
          </w:r>
          <w:r>
            <w:instrText xml:space="preserve"> PAGEREF _Toc38813015 \h </w:instrText>
          </w:r>
          <w:r>
            <w:fldChar w:fldCharType="separate"/>
          </w:r>
          <w:r>
            <w:t>16</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"_Toc38813016" </w:instrText>
          </w:r>
          <w:r>
            <w:fldChar w:fldCharType="separate"/>
          </w:r>
          <w:r>
            <w:rPr>
              <w:rStyle w:val="30"/>
              <w:rFonts w:hint="eastAsia" w:ascii="楷体_GB2312" w:eastAsia="楷体_GB2312" w:hAnsiTheme="minorEastAsia"/>
            </w:rPr>
            <w:t>（一）决策（</w:t>
          </w:r>
          <w:r>
            <w:rPr>
              <w:rStyle w:val="30"/>
              <w:rFonts w:ascii="楷体_GB2312" w:eastAsia="楷体_GB2312" w:hAnsiTheme="minorEastAsia"/>
            </w:rPr>
            <w:t>12</w:t>
          </w:r>
          <w:r>
            <w:rPr>
              <w:rStyle w:val="30"/>
              <w:rFonts w:hint="eastAsia" w:ascii="楷体_GB2312" w:eastAsia="楷体_GB2312" w:hAnsiTheme="minorEastAsia"/>
            </w:rPr>
            <w:t>分）</w:t>
          </w:r>
          <w:r>
            <w:tab/>
          </w:r>
          <w:r>
            <w:fldChar w:fldCharType="begin"/>
          </w:r>
          <w:r>
            <w:instrText xml:space="preserve"> PAGEREF _Toc38813016 \h </w:instrText>
          </w:r>
          <w:r>
            <w:fldChar w:fldCharType="separate"/>
          </w:r>
          <w:r>
            <w:t>16</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"_Toc38813017" </w:instrText>
          </w:r>
          <w:r>
            <w:fldChar w:fldCharType="separate"/>
          </w:r>
          <w:r>
            <w:rPr>
              <w:rStyle w:val="30"/>
              <w:rFonts w:hint="eastAsia" w:ascii="楷体_GB2312" w:hAnsi="楷体" w:eastAsia="楷体_GB2312"/>
            </w:rPr>
            <w:t>（二）过程（</w:t>
          </w:r>
          <w:r>
            <w:rPr>
              <w:rStyle w:val="30"/>
              <w:rFonts w:ascii="楷体_GB2312" w:hAnsi="楷体" w:eastAsia="楷体_GB2312"/>
            </w:rPr>
            <w:t>48</w:t>
          </w:r>
          <w:r>
            <w:rPr>
              <w:rStyle w:val="30"/>
              <w:rFonts w:hint="eastAsia" w:ascii="楷体_GB2312" w:hAnsi="楷体" w:eastAsia="楷体_GB2312"/>
            </w:rPr>
            <w:t>分）</w:t>
          </w:r>
          <w:r>
            <w:tab/>
          </w:r>
          <w:r>
            <w:fldChar w:fldCharType="begin"/>
          </w:r>
          <w:r>
            <w:instrText xml:space="preserve"> PAGEREF _Toc38813017 \h </w:instrText>
          </w:r>
          <w:r>
            <w:fldChar w:fldCharType="separate"/>
          </w:r>
          <w:r>
            <w:t>19</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"_Toc38813018" </w:instrText>
          </w:r>
          <w:r>
            <w:fldChar w:fldCharType="separate"/>
          </w:r>
          <w:r>
            <w:rPr>
              <w:rStyle w:val="30"/>
              <w:rFonts w:hint="eastAsia" w:ascii="楷体_GB2312" w:hAnsi="楷体" w:eastAsia="楷体_GB2312"/>
            </w:rPr>
            <w:t>（三）产出（</w:t>
          </w:r>
          <w:r>
            <w:rPr>
              <w:rStyle w:val="30"/>
              <w:rFonts w:ascii="楷体_GB2312" w:hAnsi="楷体" w:eastAsia="楷体_GB2312"/>
            </w:rPr>
            <w:t>20</w:t>
          </w:r>
          <w:r>
            <w:rPr>
              <w:rStyle w:val="30"/>
              <w:rFonts w:hint="eastAsia" w:ascii="楷体_GB2312" w:hAnsi="楷体" w:eastAsia="楷体_GB2312"/>
            </w:rPr>
            <w:t>分）</w:t>
          </w:r>
          <w:r>
            <w:tab/>
          </w:r>
          <w:r>
            <w:fldChar w:fldCharType="begin"/>
          </w:r>
          <w:r>
            <w:instrText xml:space="preserve"> PAGEREF _Toc38813018 \h </w:instrText>
          </w:r>
          <w:r>
            <w:fldChar w:fldCharType="separate"/>
          </w:r>
          <w:r>
            <w:t>24</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"_Toc38813019" </w:instrText>
          </w:r>
          <w:r>
            <w:fldChar w:fldCharType="separate"/>
          </w:r>
          <w:r>
            <w:rPr>
              <w:rStyle w:val="30"/>
              <w:rFonts w:hint="eastAsia" w:ascii="楷体_GB2312" w:hAnsi="楷体" w:eastAsia="楷体_GB2312"/>
            </w:rPr>
            <w:t>（四）效果（</w:t>
          </w:r>
          <w:r>
            <w:rPr>
              <w:rStyle w:val="30"/>
              <w:rFonts w:ascii="楷体_GB2312" w:hAnsi="楷体" w:eastAsia="楷体_GB2312"/>
            </w:rPr>
            <w:t>20</w:t>
          </w:r>
          <w:r>
            <w:rPr>
              <w:rStyle w:val="30"/>
              <w:rFonts w:hint="eastAsia" w:ascii="楷体_GB2312" w:hAnsi="楷体" w:eastAsia="楷体_GB2312"/>
            </w:rPr>
            <w:t>分）</w:t>
          </w:r>
          <w:r>
            <w:tab/>
          </w:r>
          <w:r>
            <w:fldChar w:fldCharType="begin"/>
          </w:r>
          <w:r>
            <w:instrText xml:space="preserve"> PAGEREF _Toc38813019 \h </w:instrText>
          </w:r>
          <w:r>
            <w:fldChar w:fldCharType="separate"/>
          </w:r>
          <w:r>
            <w:t>26</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"_Toc38813020" </w:instrText>
          </w:r>
          <w:r>
            <w:fldChar w:fldCharType="separate"/>
          </w:r>
          <w:r>
            <w:rPr>
              <w:rStyle w:val="30"/>
              <w:rFonts w:hint="eastAsia" w:ascii="黑体"/>
            </w:rPr>
            <w:t>五、绩效评价发现的问题</w:t>
          </w:r>
          <w:r>
            <w:tab/>
          </w:r>
          <w:r>
            <w:fldChar w:fldCharType="begin"/>
          </w:r>
          <w:r>
            <w:instrText xml:space="preserve"> PAGEREF _Toc38813020 \h </w:instrText>
          </w:r>
          <w:r>
            <w:fldChar w:fldCharType="separate"/>
          </w:r>
          <w:r>
            <w:t>29</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"_Toc38813021" </w:instrText>
          </w:r>
          <w:r>
            <w:fldChar w:fldCharType="separate"/>
          </w:r>
          <w:r>
            <w:rPr>
              <w:rStyle w:val="30"/>
              <w:rFonts w:hint="eastAsia" w:ascii="楷体_GB2312" w:hAnsi="楷体" w:eastAsia="楷体_GB2312"/>
            </w:rPr>
            <w:t>（一）预算管理方面</w:t>
          </w:r>
          <w:r>
            <w:tab/>
          </w:r>
          <w:r>
            <w:fldChar w:fldCharType="begin"/>
          </w:r>
          <w:r>
            <w:instrText xml:space="preserve"> PAGEREF _Toc38813021 \h </w:instrText>
          </w:r>
          <w:r>
            <w:fldChar w:fldCharType="separate"/>
          </w:r>
          <w:r>
            <w:t>29</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"_Toc38813022" </w:instrText>
          </w:r>
          <w:r>
            <w:fldChar w:fldCharType="separate"/>
          </w:r>
          <w:r>
            <w:rPr>
              <w:rStyle w:val="30"/>
              <w:rFonts w:hint="eastAsia" w:ascii="楷体_GB2312" w:hAnsi="楷体" w:eastAsia="楷体_GB2312"/>
            </w:rPr>
            <w:t>（二）预算执行方面</w:t>
          </w:r>
          <w:r>
            <w:tab/>
          </w:r>
          <w:r>
            <w:fldChar w:fldCharType="begin"/>
          </w:r>
          <w:r>
            <w:instrText xml:space="preserve"> PAGEREF _Toc38813022 \h </w:instrText>
          </w:r>
          <w:r>
            <w:fldChar w:fldCharType="separate"/>
          </w:r>
          <w:r>
            <w:t>29</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"_Toc38813023" </w:instrText>
          </w:r>
          <w:r>
            <w:fldChar w:fldCharType="separate"/>
          </w:r>
          <w:r>
            <w:rPr>
              <w:rStyle w:val="30"/>
              <w:rFonts w:hint="eastAsia" w:ascii="楷体_GB2312" w:hAnsi="楷体" w:eastAsia="楷体_GB2312"/>
            </w:rPr>
            <w:t>（三）工作活动方面</w:t>
          </w:r>
          <w:r>
            <w:tab/>
          </w:r>
          <w:r>
            <w:fldChar w:fldCharType="begin"/>
          </w:r>
          <w:r>
            <w:instrText xml:space="preserve"> PAGEREF _Toc38813023 \h </w:instrText>
          </w:r>
          <w:r>
            <w:fldChar w:fldCharType="separate"/>
          </w:r>
          <w:r>
            <w:t>30</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"_Toc38813024" </w:instrText>
          </w:r>
          <w:r>
            <w:fldChar w:fldCharType="separate"/>
          </w:r>
          <w:r>
            <w:rPr>
              <w:rStyle w:val="30"/>
              <w:rFonts w:hint="eastAsia" w:ascii="楷体_GB2312" w:hAnsi="楷体" w:eastAsia="楷体_GB2312"/>
            </w:rPr>
            <w:t>（四）产出效益方面</w:t>
          </w:r>
          <w:r>
            <w:tab/>
          </w:r>
          <w:r>
            <w:fldChar w:fldCharType="begin"/>
          </w:r>
          <w:r>
            <w:instrText xml:space="preserve"> PAGEREF _Toc38813024 \h </w:instrText>
          </w:r>
          <w:r>
            <w:fldChar w:fldCharType="separate"/>
          </w:r>
          <w:r>
            <w:t>30</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"_Toc38813025" </w:instrText>
          </w:r>
          <w:r>
            <w:fldChar w:fldCharType="separate"/>
          </w:r>
          <w:r>
            <w:rPr>
              <w:rStyle w:val="30"/>
              <w:rFonts w:hint="eastAsia" w:ascii="黑体"/>
            </w:rPr>
            <w:t>六、绩效评价意见及建议</w:t>
          </w:r>
          <w:r>
            <w:tab/>
          </w:r>
          <w:r>
            <w:fldChar w:fldCharType="begin"/>
          </w:r>
          <w:r>
            <w:instrText xml:space="preserve"> PAGEREF _Toc38813025 \h </w:instrText>
          </w:r>
          <w:r>
            <w:fldChar w:fldCharType="separate"/>
          </w:r>
          <w:r>
            <w:t>30</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"_Toc38813026" </w:instrText>
          </w:r>
          <w:r>
            <w:fldChar w:fldCharType="separate"/>
          </w:r>
          <w:r>
            <w:rPr>
              <w:rStyle w:val="30"/>
              <w:rFonts w:hint="eastAsia" w:ascii="楷体_GB2312" w:hAnsi="楷体" w:eastAsia="楷体_GB2312"/>
            </w:rPr>
            <w:t>（一）预算管理方面</w:t>
          </w:r>
          <w:r>
            <w:tab/>
          </w:r>
          <w:r>
            <w:fldChar w:fldCharType="begin"/>
          </w:r>
          <w:r>
            <w:instrText xml:space="preserve"> PAGEREF _Toc38813026 \h </w:instrText>
          </w:r>
          <w:r>
            <w:fldChar w:fldCharType="separate"/>
          </w:r>
          <w:r>
            <w:t>31</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"_Toc38813027" </w:instrText>
          </w:r>
          <w:r>
            <w:fldChar w:fldCharType="separate"/>
          </w:r>
          <w:r>
            <w:rPr>
              <w:rStyle w:val="30"/>
              <w:rFonts w:hint="eastAsia" w:ascii="楷体_GB2312" w:hAnsi="楷体" w:eastAsia="楷体_GB2312"/>
            </w:rPr>
            <w:t>（二）预算执行方面</w:t>
          </w:r>
          <w:r>
            <w:tab/>
          </w:r>
          <w:r>
            <w:fldChar w:fldCharType="begin"/>
          </w:r>
          <w:r>
            <w:instrText xml:space="preserve"> PAGEREF _Toc38813027 \h </w:instrText>
          </w:r>
          <w:r>
            <w:fldChar w:fldCharType="separate"/>
          </w:r>
          <w:r>
            <w:t>31</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"_Toc38813028" </w:instrText>
          </w:r>
          <w:r>
            <w:fldChar w:fldCharType="separate"/>
          </w:r>
          <w:r>
            <w:rPr>
              <w:rStyle w:val="30"/>
              <w:rFonts w:hint="eastAsia" w:ascii="楷体_GB2312" w:hAnsi="楷体" w:eastAsia="楷体_GB2312"/>
            </w:rPr>
            <w:t>（三）工作活动方面</w:t>
          </w:r>
          <w:r>
            <w:tab/>
          </w:r>
          <w:r>
            <w:fldChar w:fldCharType="begin"/>
          </w:r>
          <w:r>
            <w:instrText xml:space="preserve"> PAGEREF _Toc38813028 \h </w:instrText>
          </w:r>
          <w:r>
            <w:fldChar w:fldCharType="separate"/>
          </w:r>
          <w:r>
            <w:t>31</w:t>
          </w:r>
          <w:r>
            <w:fldChar w:fldCharType="end"/>
          </w:r>
          <w:r>
            <w:fldChar w:fldCharType="end"/>
          </w:r>
        </w:p>
        <w:p>
          <w:pPr>
            <w:pStyle w:val="11"/>
            <w:tabs>
              <w:tab w:val="right" w:leader="dot" w:pos="8302"/>
            </w:tabs>
            <w:ind w:left="880"/>
            <w:rPr>
              <w:rFonts w:asciiTheme="minorHAnsi" w:hAnsiTheme="minorHAnsi" w:eastAsiaTheme="minorEastAsia" w:cstheme="minorBidi"/>
              <w:sz w:val="21"/>
              <w:szCs w:val="22"/>
            </w:rPr>
          </w:pPr>
          <w:r>
            <w:fldChar w:fldCharType="begin"/>
          </w:r>
          <w:r>
            <w:instrText xml:space="preserve"> HYPERLINK \l "_Toc38813029" </w:instrText>
          </w:r>
          <w:r>
            <w:fldChar w:fldCharType="separate"/>
          </w:r>
          <w:r>
            <w:rPr>
              <w:rStyle w:val="30"/>
              <w:rFonts w:hint="eastAsia" w:ascii="楷体_GB2312" w:hAnsi="楷体" w:eastAsia="楷体_GB2312"/>
            </w:rPr>
            <w:t>（四）产出效益方面</w:t>
          </w:r>
          <w:r>
            <w:tab/>
          </w:r>
          <w:r>
            <w:fldChar w:fldCharType="begin"/>
          </w:r>
          <w:r>
            <w:instrText xml:space="preserve"> PAGEREF _Toc38813029 \h </w:instrText>
          </w:r>
          <w:r>
            <w:fldChar w:fldCharType="separate"/>
          </w:r>
          <w:r>
            <w:t>32</w:t>
          </w:r>
          <w:r>
            <w:fldChar w:fldCharType="end"/>
          </w:r>
          <w:r>
            <w:fldChar w:fldCharType="end"/>
          </w:r>
        </w:p>
        <w:p>
          <w:pPr>
            <w:pStyle w:val="19"/>
            <w:tabs>
              <w:tab w:val="right" w:leader="dot" w:pos="8302"/>
            </w:tabs>
            <w:ind w:left="440"/>
            <w:rPr>
              <w:rFonts w:asciiTheme="minorHAnsi" w:hAnsiTheme="minorHAnsi" w:eastAsiaTheme="minorEastAsia" w:cstheme="minorBidi"/>
              <w:sz w:val="21"/>
              <w:szCs w:val="22"/>
            </w:rPr>
          </w:pPr>
          <w:r>
            <w:fldChar w:fldCharType="begin"/>
          </w:r>
          <w:r>
            <w:instrText xml:space="preserve"> HYPERLINK \l "_Toc38813030" </w:instrText>
          </w:r>
          <w:r>
            <w:fldChar w:fldCharType="separate"/>
          </w:r>
          <w:r>
            <w:rPr>
              <w:rStyle w:val="30"/>
              <w:rFonts w:hint="eastAsia" w:ascii="黑体"/>
            </w:rPr>
            <w:t>七、其他说明事项</w:t>
          </w:r>
          <w:r>
            <w:tab/>
          </w:r>
          <w:r>
            <w:fldChar w:fldCharType="begin"/>
          </w:r>
          <w:r>
            <w:instrText xml:space="preserve"> PAGEREF _Toc38813030 \h </w:instrText>
          </w:r>
          <w:r>
            <w:fldChar w:fldCharType="separate"/>
          </w:r>
          <w:r>
            <w:t>32</w:t>
          </w:r>
          <w:r>
            <w:fldChar w:fldCharType="end"/>
          </w:r>
          <w:r>
            <w:fldChar w:fldCharType="end"/>
          </w:r>
        </w:p>
        <w:p>
          <w:r>
            <w:fldChar w:fldCharType="end"/>
          </w:r>
        </w:p>
      </w:sdtContent>
    </w:sdt>
    <w:p>
      <w:pPr>
        <w:spacing w:after="0" w:line="540" w:lineRule="exact"/>
        <w:jc w:val="both"/>
        <w:textAlignment w:val="baseline"/>
        <w:rPr>
          <w:rFonts w:ascii="仿宋_GB2312" w:eastAsia="仿宋_GB2312" w:cs="DengXian-Regular"/>
          <w:sz w:val="32"/>
          <w:szCs w:val="32"/>
        </w:rPr>
        <w:sectPr>
          <w:footerReference r:id="rId4" w:type="default"/>
          <w:pgSz w:w="11906" w:h="16838"/>
          <w:pgMar w:top="1440" w:right="1797" w:bottom="1191" w:left="1797" w:header="709" w:footer="709" w:gutter="0"/>
          <w:pgNumType w:start="1"/>
          <w:cols w:space="708" w:num="1"/>
          <w:docGrid w:linePitch="360" w:charSpace="0"/>
        </w:sectPr>
      </w:pPr>
    </w:p>
    <w:p>
      <w:pPr>
        <w:pStyle w:val="17"/>
        <w:tabs>
          <w:tab w:val="right" w:leader="dot" w:pos="8296"/>
        </w:tabs>
        <w:spacing w:line="540" w:lineRule="exact"/>
        <w:rPr>
          <w:rFonts w:ascii="楷体_GB2312" w:hAnsi="新宋体" w:eastAsia="楷体_GB2312"/>
          <w:bCs/>
        </w:rPr>
      </w:pPr>
      <w:r>
        <w:rPr>
          <w:rFonts w:hint="eastAsia" w:ascii="楷体_GB2312" w:hAnsi="新宋体" w:eastAsia="楷体_GB2312"/>
        </w:rPr>
        <w:drawing>
          <wp:anchor distT="0" distB="0" distL="114300" distR="114300" simplePos="0" relativeHeight="251659264" behindDoc="0" locked="0" layoutInCell="1" allowOverlap="1">
            <wp:simplePos x="0" y="0"/>
            <wp:positionH relativeFrom="column">
              <wp:posOffset>-19050</wp:posOffset>
            </wp:positionH>
            <wp:positionV relativeFrom="paragraph">
              <wp:posOffset>28575</wp:posOffset>
            </wp:positionV>
            <wp:extent cx="914400" cy="891540"/>
            <wp:effectExtent l="19050" t="0" r="0" b="0"/>
            <wp:wrapSquare wrapText="bothSides"/>
            <wp:docPr id="2" name="图片 2" descr="标2 拷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标2 拷贝"/>
                    <pic:cNvPicPr>
                      <a:picLocks noChangeAspect="1" noChangeArrowheads="1"/>
                    </pic:cNvPicPr>
                  </pic:nvPicPr>
                  <pic:blipFill>
                    <a:blip r:embed="rId7" cstate="print"/>
                    <a:srcRect l="15385" r="23076"/>
                    <a:stretch>
                      <a:fillRect/>
                    </a:stretch>
                  </pic:blipFill>
                  <pic:spPr>
                    <a:xfrm>
                      <a:off x="0" y="0"/>
                      <a:ext cx="914400" cy="891540"/>
                    </a:xfrm>
                    <a:prstGeom prst="rect">
                      <a:avLst/>
                    </a:prstGeom>
                    <a:noFill/>
                    <a:ln w="9525" cmpd="sng">
                      <a:noFill/>
                      <a:miter lim="800000"/>
                      <a:headEnd/>
                      <a:tailEnd/>
                    </a:ln>
                  </pic:spPr>
                </pic:pic>
              </a:graphicData>
            </a:graphic>
          </wp:anchor>
        </w:drawing>
      </w:r>
      <w:r>
        <w:rPr>
          <w:rFonts w:hint="eastAsia" w:ascii="楷体_GB2312" w:hAnsi="新宋体" w:eastAsia="楷体_GB2312"/>
          <w:bCs/>
        </w:rPr>
        <w:t>河 北 德 永 会 计 师 事 务 所 有 限 公 司</w:t>
      </w:r>
    </w:p>
    <w:p>
      <w:pPr>
        <w:pStyle w:val="17"/>
        <w:tabs>
          <w:tab w:val="right" w:leader="dot" w:pos="8296"/>
        </w:tabs>
        <w:rPr>
          <w:rFonts w:ascii="幼圆" w:hAnsi="华文仿宋" w:eastAsia="幼圆"/>
          <w:b/>
          <w:bCs/>
          <w:sz w:val="18"/>
        </w:rPr>
      </w:pPr>
      <w:r>
        <w:rPr>
          <w:rFonts w:hint="eastAsia" w:ascii="幼圆" w:hAnsi="华文仿宋" w:eastAsia="幼圆"/>
          <w:b/>
          <w:bCs/>
          <w:sz w:val="18"/>
        </w:rPr>
        <w:t>石家庄市建设大街269号   No．269Jianshe Street  Shijiazhuang</w:t>
      </w:r>
      <w:r>
        <w:rPr>
          <w:rFonts w:ascii="幼圆" w:hAnsi="华文仿宋" w:eastAsia="幼圆"/>
          <w:b/>
          <w:bCs/>
          <w:sz w:val="18"/>
        </w:rPr>
        <w:t xml:space="preserve"> </w:t>
      </w:r>
      <w:r>
        <w:rPr>
          <w:rFonts w:hint="eastAsia" w:ascii="幼圆" w:hAnsi="华文仿宋" w:eastAsia="幼圆"/>
          <w:b/>
          <w:bCs/>
          <w:sz w:val="18"/>
        </w:rPr>
        <w:t>China</w:t>
      </w:r>
    </w:p>
    <w:p>
      <w:pPr>
        <w:pStyle w:val="17"/>
        <w:tabs>
          <w:tab w:val="right" w:leader="dot" w:pos="8296"/>
        </w:tabs>
        <w:rPr>
          <w:rFonts w:ascii="幼圆" w:hAnsi="华文仿宋" w:eastAsia="幼圆"/>
          <w:b/>
          <w:bCs/>
          <w:sz w:val="18"/>
        </w:rPr>
      </w:pPr>
      <w:r>
        <w:rPr>
          <w:rFonts w:hint="eastAsia" w:ascii="幼圆" w:hAnsi="华文仿宋" w:eastAsia="幼圆"/>
          <w:b/>
          <w:bCs/>
          <w:sz w:val="18"/>
        </w:rPr>
        <w:t>Tel： （031</w:t>
      </w:r>
      <w:r>
        <w:rPr>
          <w:rFonts w:ascii="幼圆" w:hAnsi="华文仿宋" w:eastAsia="幼圆"/>
          <w:b/>
          <w:bCs/>
          <w:sz w:val="18"/>
        </w:rPr>
        <w:t>1</w:t>
      </w:r>
      <w:r>
        <w:rPr>
          <w:rFonts w:hint="eastAsia" w:ascii="幼圆" w:hAnsi="华文仿宋" w:eastAsia="幼圆"/>
          <w:b/>
          <w:bCs/>
          <w:sz w:val="18"/>
        </w:rPr>
        <w:t xml:space="preserve">）69053103   69053105              Fax： （0311）69053103 </w:t>
      </w:r>
    </w:p>
    <w:p>
      <w:pPr>
        <w:pStyle w:val="17"/>
        <w:tabs>
          <w:tab w:val="right" w:leader="dot" w:pos="8296"/>
        </w:tabs>
        <w:rPr>
          <w:rFonts w:ascii="幼圆" w:hAnsi="华文仿宋" w:eastAsia="幼圆"/>
          <w:b/>
          <w:bCs/>
          <w:sz w:val="18"/>
        </w:rPr>
      </w:pPr>
      <w:r>
        <w:rPr>
          <w:rFonts w:ascii="幼圆" w:eastAsia="幼圆"/>
          <w:b/>
          <w:bCs/>
          <w:sz w:val="20"/>
        </w:rPr>
        <w:pict>
          <v:line id="直线 45" o:spid="_x0000_s1027" o:spt="20" style="position:absolute;left:0pt;flip:y;margin-left:-92.1pt;margin-top:13pt;height:0pt;width:450pt;z-index:251660288;mso-width-relative:page;mso-height-relative:page;" coordsize="21600,21600">
            <v:path arrowok="t"/>
            <v:fill focussize="0,0"/>
            <v:stroke weight="1pt"/>
            <v:imagedata o:title=""/>
            <o:lock v:ext="edit"/>
          </v:line>
        </w:pict>
      </w:r>
      <w:r>
        <w:rPr>
          <w:rFonts w:hint="eastAsia" w:ascii="幼圆" w:hAnsi="华文仿宋" w:eastAsia="幼圆"/>
          <w:b/>
          <w:bCs/>
          <w:sz w:val="18"/>
        </w:rPr>
        <w:t>E-Mail: hebeidey@126.com</w:t>
      </w:r>
    </w:p>
    <w:p>
      <w:pPr>
        <w:spacing w:after="0" w:line="540" w:lineRule="exact"/>
        <w:ind w:firstLine="5022" w:firstLineChars="2274"/>
        <w:jc w:val="both"/>
        <w:rPr>
          <w:rFonts w:asciiTheme="minorEastAsia" w:hAnsiTheme="minorEastAsia" w:eastAsiaTheme="minorEastAsia"/>
          <w:b/>
        </w:rPr>
      </w:pPr>
      <w:r>
        <w:rPr>
          <w:rFonts w:hint="eastAsia" w:asciiTheme="minorEastAsia" w:hAnsiTheme="minorEastAsia" w:eastAsiaTheme="minorEastAsia"/>
          <w:b/>
        </w:rPr>
        <w:t>冀德永评价字（2020）</w:t>
      </w:r>
      <w:r>
        <w:rPr>
          <w:rFonts w:hint="eastAsia" w:asciiTheme="minorEastAsia" w:hAnsiTheme="minorEastAsia" w:eastAsiaTheme="minorEastAsia"/>
          <w:b/>
          <w:highlight w:val="yellow"/>
        </w:rPr>
        <w:t>第6031号</w:t>
      </w:r>
    </w:p>
    <w:p>
      <w:pPr>
        <w:spacing w:beforeLines="100" w:line="580" w:lineRule="exact"/>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无极县污水处理费征收管理中心</w:t>
      </w:r>
    </w:p>
    <w:p>
      <w:pPr>
        <w:spacing w:beforeLines="100" w:line="580" w:lineRule="exact"/>
        <w:jc w:val="center"/>
        <w:rPr>
          <w:rFonts w:asciiTheme="minorEastAsia" w:hAnsiTheme="minorEastAsia" w:eastAsiaTheme="minorEastAsia"/>
          <w:b/>
          <w:sz w:val="44"/>
          <w:szCs w:val="44"/>
        </w:rPr>
      </w:pPr>
      <w:r>
        <w:rPr>
          <w:rFonts w:hint="eastAsia" w:asciiTheme="minorEastAsia" w:hAnsiTheme="minorEastAsia" w:eastAsiaTheme="minorEastAsia"/>
          <w:b/>
          <w:sz w:val="44"/>
          <w:szCs w:val="44"/>
        </w:rPr>
        <w:t>2019年单位整体支出绩效评价报告</w:t>
      </w:r>
    </w:p>
    <w:p>
      <w:pPr>
        <w:spacing w:after="0" w:line="580" w:lineRule="exact"/>
        <w:jc w:val="both"/>
        <w:textAlignment w:val="baseline"/>
        <w:rPr>
          <w:rFonts w:ascii="仿宋_GB2312" w:eastAsia="仿宋_GB2312" w:cs="DengXian-Regular"/>
          <w:sz w:val="32"/>
          <w:szCs w:val="32"/>
        </w:rPr>
      </w:pPr>
      <w:r>
        <w:rPr>
          <w:rFonts w:hint="eastAsia" w:ascii="仿宋_GB2312" w:eastAsia="仿宋_GB2312" w:cs="DengXian-Regular"/>
          <w:sz w:val="32"/>
          <w:szCs w:val="32"/>
        </w:rPr>
        <w:t>无极县财政局：</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我们接受贵单位的委托，于</w:t>
      </w:r>
      <w:r>
        <w:rPr>
          <w:rFonts w:hint="eastAsia" w:ascii="仿宋_GB2312" w:eastAsia="仿宋_GB2312" w:cs="DengXian-Regular"/>
          <w:sz w:val="32"/>
          <w:szCs w:val="32"/>
          <w:highlight w:val="yellow"/>
        </w:rPr>
        <w:t>2020年4月1日至2020年4月30日</w:t>
      </w:r>
      <w:r>
        <w:rPr>
          <w:rFonts w:hint="eastAsia" w:ascii="仿宋_GB2312" w:eastAsia="仿宋_GB2312" w:cs="DengXian-Regular"/>
          <w:sz w:val="32"/>
          <w:szCs w:val="32"/>
        </w:rPr>
        <w:t>对无极县污水处理费征收管理中心（以下简称“县污水处理费征管中心”）2019年单位整体支出情况进行了绩效评价。县污水处理费征管中心提供与绩效评价有关的资料，并对资料的真实性、完整性、合法性负责，我们的责任是根据相关资料，对县污水处理费征管中心2019年单位整体支出的决策、过程、产出、效果四个方面和执行国家相关法律、法规情况发表评价意见。</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我们的绩效评价工作是依据《中国注册会计师执业准则》和财政部门的相关规定进行的。在评价工作中，我们结合无极县污水处理费征收管理中心的实际情况制定了绩效评价工作方案和绩效评价指标体系，实施了包括询问、资料查看、问卷调查等我们认为必要的评价手段。绩效评价工作现已完成，具体评价情况汇总如下：</w:t>
      </w: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jc w:val="both"/>
        <w:textAlignment w:val="baseline"/>
        <w:rPr>
          <w:rFonts w:ascii="仿宋_GB2312" w:eastAsia="仿宋_GB2312" w:cs="DengXian-Regular"/>
          <w:sz w:val="32"/>
          <w:szCs w:val="32"/>
        </w:rPr>
      </w:pPr>
    </w:p>
    <w:p>
      <w:pPr>
        <w:pStyle w:val="3"/>
        <w:spacing w:line="540" w:lineRule="exact"/>
        <w:jc w:val="center"/>
        <w:rPr>
          <w:rFonts w:ascii="黑体" w:hAnsi="黑体"/>
          <w:b w:val="0"/>
        </w:rPr>
      </w:pPr>
      <w:bookmarkStart w:id="0" w:name="_Toc38813000"/>
      <w:r>
        <w:rPr>
          <w:rFonts w:hint="eastAsia" w:ascii="黑体" w:hAnsi="黑体"/>
          <w:b w:val="0"/>
        </w:rPr>
        <w:t>第一部分  摘要</w:t>
      </w:r>
      <w:bookmarkEnd w:id="0"/>
    </w:p>
    <w:p>
      <w:pPr>
        <w:spacing w:after="0" w:line="580" w:lineRule="exact"/>
        <w:ind w:firstLine="640" w:firstLineChars="200"/>
        <w:jc w:val="both"/>
        <w:textAlignment w:val="baseline"/>
        <w:rPr>
          <w:rFonts w:ascii="仿宋_GB2312" w:eastAsia="仿宋_GB2312" w:cs="DengXian-Regular"/>
          <w:sz w:val="32"/>
          <w:szCs w:val="32"/>
        </w:rPr>
      </w:pPr>
      <w:bookmarkStart w:id="1" w:name="_Toc427"/>
      <w:bookmarkStart w:id="2" w:name="_Toc492652763"/>
      <w:r>
        <w:rPr>
          <w:rFonts w:hint="eastAsia" w:ascii="仿宋_GB2312" w:eastAsia="仿宋_GB2312" w:cs="DengXian-Regular"/>
          <w:sz w:val="32"/>
          <w:szCs w:val="32"/>
        </w:rPr>
        <w:t>为深入贯彻落实中共中央国务院《关于全面实施预算绩效管理的意见》、中共河北省委河北省人民政府《关于全面实施预算绩效管理的实施意见》，进一步加强和规范预算绩效运行监控工作，确保绩效目标如期保质保量实现，提高预算执行效率和财政资金使用效益，我们接受无极县财政局委托，对无极县污水处理费征收管理中心2019年单位整体支出情况开展了绩效评价工作。</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无极县污水处理费征收管理中心为副科级事业单位，经费来源为财政补助和县财政按规定比例划拨，主要职责有征收县区内排污企业（含个体工商户）的污水处理费，完成县政府交办的其他工作事项等。</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无极县政府于2018年成立污水运输车队，由县污水处理费征管中心代管，污水运输车队的收入及支出均由县污水处理费征管中心统一核算。</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本单位预决算只包含单位经费及运输车队经费，不包含征收的污水处理费。</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2019年财政拨款收入3,220,681.17元，其中：运输车队收入306,103.19元、单位经费收入2,914,577.98元；2019年事业支出3,220,373.35元，其中：运输车队支出302,687.00元、单位经费支出2,917,686.35元；结余资金307.82元。</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2019年非税收入预算表中预算金额21,700,000.00元,其中：污水处理费收入20,000,000.00元、罚款收入1,700,000.00元；2019年实际征收污水处理费25,487,200.00元，无罚款收入，预算完成率117.45%。</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县污水处理费征管中心2019年单位整体支出综合评价得分为73.65分，评价等级为“中”。</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通过本次绩效评价工作，我们发现县污水处理费征管中心在以下几个方面存在一些不足之处，具体如下：</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1.预算管理方面：设定绩效目标及绩效指标；预算编制不完整；预算调整较大。</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2.预算执行方面：决算报表数不实，与账面金额不一致。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3.工作活动方面：基础数据信息不完整，未能进行闭环考核，履职行为作用不明显。</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w:t>
      </w:r>
      <w:r>
        <w:rPr>
          <w:rFonts w:hint="eastAsia"/>
        </w:rPr>
        <w:t xml:space="preserve"> </w:t>
      </w:r>
      <w:r>
        <w:rPr>
          <w:rFonts w:hint="eastAsia" w:ascii="仿宋_GB2312" w:eastAsia="仿宋_GB2312" w:cs="DengXian-Regular"/>
          <w:sz w:val="32"/>
          <w:szCs w:val="32"/>
        </w:rPr>
        <w:t>产出效益方面：现场评价中，有些企业反映污水运输不够及时。</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针对此次绩效评价过程中发现的问题，我们建议：</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1.预算管理方面</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（1）年初预算时加强对绩效目标、绩效指标的设定</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绩效目标不仅为资金管理使用提供了绩效导向和规划性目标，还通过绩效目标的管理增强了预算的绩效约束力，通过清晰、可评价、可衡量的绩效指标，使绩效目标可量化，便于对目标实现情况进行考核。建议单位强化绩效意识，在申报预算时设定合理的绩效目标及清晰、可评价、可衡量的绩效指标，从而使单位能够准确科学的衡量财政资金的产出及效益。</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（2）提高预算编制质量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预算编制工作要全面反映和体现单位职责，根据单位实际情况将单位全部收入、支出纳入预算，并及时调整预算的编制，缩小预算与决算差额，减少预算调整，提高预算编制质量，发挥预算约束作用。</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2.预算执行方面</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提高决算报表数据准确性。要充分认识到决算工作的重要性，扎实做好会计基础工作，确保决算报表的真实准确性，使决算报表客观、真实、准确、完整的反映单位的财务状况。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3.工作活动方面</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建议对征收工作进行全面梳理，规范管理流程，实行工作闭环管理，保证数据资料的完整性和可查阅性，既便于对污水处理费应征收金额与实际征收金额进行比较，提高工作量的可考核性。同时，进一步明确工作职责，理顺工作流程，把工作做细做优。</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4.产出效果方面</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拓宽消息接收渠道，不仅靠排污企业单方面电话通知的方式得知需要运输污水的消息，还应建立多方位的信息获取渠道，可以利用多种信息途径，保证信息的时效，提高污水运输车队运输污水的及时性。</w:t>
      </w: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spacing w:after="0" w:line="580" w:lineRule="exact"/>
        <w:ind w:firstLine="640" w:firstLineChars="200"/>
        <w:jc w:val="both"/>
        <w:textAlignment w:val="baseline"/>
        <w:rPr>
          <w:rFonts w:ascii="仿宋_GB2312" w:eastAsia="仿宋_GB2312" w:cs="DengXian-Regular"/>
          <w:sz w:val="32"/>
          <w:szCs w:val="32"/>
        </w:rPr>
      </w:pPr>
    </w:p>
    <w:p>
      <w:pPr>
        <w:pStyle w:val="3"/>
        <w:spacing w:line="540" w:lineRule="exact"/>
        <w:jc w:val="center"/>
        <w:rPr>
          <w:rFonts w:ascii="黑体" w:hAnsi="黑体"/>
          <w:b w:val="0"/>
        </w:rPr>
      </w:pPr>
      <w:bookmarkStart w:id="3" w:name="_Toc38813001"/>
      <w:r>
        <w:rPr>
          <w:rFonts w:hint="eastAsia" w:ascii="黑体" w:hAnsi="黑体"/>
          <w:b w:val="0"/>
        </w:rPr>
        <w:t>第二部分  绩效评价报告</w:t>
      </w:r>
      <w:bookmarkEnd w:id="3"/>
    </w:p>
    <w:p>
      <w:pPr>
        <w:pStyle w:val="3"/>
        <w:spacing w:before="0" w:after="0" w:line="580" w:lineRule="exact"/>
        <w:ind w:firstLine="643" w:firstLineChars="200"/>
        <w:rPr>
          <w:rFonts w:ascii="黑体" w:hAnsi="黑体" w:cs="楷体"/>
        </w:rPr>
      </w:pPr>
      <w:bookmarkStart w:id="4" w:name="_Toc38813002"/>
      <w:r>
        <w:rPr>
          <w:rFonts w:hint="eastAsia" w:ascii="黑体" w:hAnsi="黑体" w:cs="楷体"/>
        </w:rPr>
        <w:t>一、基本情况</w:t>
      </w:r>
      <w:bookmarkEnd w:id="1"/>
      <w:bookmarkEnd w:id="2"/>
      <w:bookmarkEnd w:id="4"/>
      <w:bookmarkStart w:id="5" w:name="_Toc492652764"/>
    </w:p>
    <w:p>
      <w:pPr>
        <w:pStyle w:val="4"/>
        <w:spacing w:before="0" w:after="0" w:line="580" w:lineRule="exact"/>
        <w:ind w:firstLine="643" w:firstLineChars="200"/>
        <w:jc w:val="both"/>
        <w:rPr>
          <w:rFonts w:ascii="楷体_GB2312" w:hAnsi="Tahoma" w:eastAsia="楷体_GB2312" w:cs="DengXian-Regular"/>
          <w:sz w:val="32"/>
        </w:rPr>
      </w:pPr>
      <w:bookmarkStart w:id="6" w:name="_Toc11473"/>
      <w:bookmarkStart w:id="7" w:name="_Toc38813003"/>
      <w:r>
        <w:rPr>
          <w:rFonts w:hint="eastAsia" w:ascii="楷体_GB2312" w:hAnsi="Tahoma" w:eastAsia="楷体_GB2312" w:cs="DengXian-Regular"/>
          <w:sz w:val="32"/>
        </w:rPr>
        <w:t>（一）</w:t>
      </w:r>
      <w:bookmarkEnd w:id="5"/>
      <w:bookmarkEnd w:id="6"/>
      <w:r>
        <w:rPr>
          <w:rFonts w:hint="eastAsia" w:ascii="楷体_GB2312" w:hAnsi="Tahoma" w:eastAsia="楷体_GB2312" w:cs="DengXian-Regular"/>
          <w:sz w:val="32"/>
        </w:rPr>
        <w:t>单位概况</w:t>
      </w:r>
      <w:bookmarkEnd w:id="7"/>
    </w:p>
    <w:p>
      <w:pPr>
        <w:spacing w:after="0" w:line="580" w:lineRule="exact"/>
        <w:ind w:firstLine="640" w:firstLineChars="200"/>
        <w:rPr>
          <w:rFonts w:ascii="仿宋_GB2312" w:eastAsia="仿宋_GB2312" w:cs="DengXian-Regular"/>
          <w:sz w:val="32"/>
          <w:szCs w:val="32"/>
        </w:rPr>
      </w:pPr>
      <w:bookmarkStart w:id="8" w:name="_Toc492652765"/>
      <w:bookmarkStart w:id="9" w:name="_Toc465149499"/>
      <w:r>
        <w:rPr>
          <w:rFonts w:hint="eastAsia" w:ascii="仿宋_GB2312" w:eastAsia="仿宋_GB2312" w:cs="DengXian-Regular"/>
          <w:sz w:val="32"/>
          <w:szCs w:val="32"/>
        </w:rPr>
        <w:t>无极县污水处理费征收管理中心成立于2011年，是隶属于无极县住房和城乡建设局的副科级事业单位，但人员编制及单位预决算均不包含在无极县住房和城乡建设局的预决算中。</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主要职责：负责全县污水处理费的征收和管理工作，完成县政府交办的其他工作事项。一是征收向制革污水处理厂收水管网排放污水、废水企业及个体工商户的污水处理费；二是征收县域内皮革后整饰（含涂饰和移膜）企业的污水处理费；三是征收向城北污水处理厂收水管网排放污水、废水且不属于经济开发区北区范围的企、事业单位及个体工商户的污水处理费；四是征收向城市综合污水处理厂收水管网排放污水、废水企业的污水处理费；五是完成县政府交办的其他工作事项等工作。</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2.机构编制：县污水处理费征管中心下设4个科室、4个中队，共37个人员（包含1个劳务派遣人员）。</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3.经费来源：财政补助和县财政按规定比例划拨。</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4.无极县政府于2018年成立污水运输车队，由县污水处理费征管中心代管，污水运输车队的收入及支出均由县污水处理费征管中心统一核算。</w:t>
      </w:r>
    </w:p>
    <w:p>
      <w:pPr>
        <w:pStyle w:val="4"/>
        <w:spacing w:before="0" w:after="0" w:line="580" w:lineRule="exact"/>
        <w:ind w:firstLine="643" w:firstLineChars="200"/>
        <w:jc w:val="both"/>
        <w:rPr>
          <w:rFonts w:ascii="楷体_GB2312" w:hAnsi="Tahoma" w:eastAsia="楷体_GB2312" w:cs="DengXian-Regular"/>
          <w:sz w:val="32"/>
        </w:rPr>
      </w:pPr>
      <w:bookmarkStart w:id="10" w:name="_Toc7075"/>
      <w:bookmarkStart w:id="11" w:name="_Toc38813004"/>
      <w:r>
        <w:rPr>
          <w:rFonts w:hint="eastAsia" w:ascii="楷体_GB2312" w:hAnsi="Tahoma" w:eastAsia="楷体_GB2312" w:cs="DengXian-Regular"/>
          <w:sz w:val="32"/>
        </w:rPr>
        <w:t>（二）</w:t>
      </w:r>
      <w:bookmarkEnd w:id="8"/>
      <w:bookmarkEnd w:id="9"/>
      <w:bookmarkEnd w:id="10"/>
      <w:r>
        <w:rPr>
          <w:rFonts w:hint="eastAsia" w:ascii="楷体_GB2312" w:hAnsi="Tahoma" w:eastAsia="楷体_GB2312" w:cs="DengXian-Regular"/>
          <w:sz w:val="32"/>
        </w:rPr>
        <w:t>评价内容及收支情况</w:t>
      </w:r>
      <w:bookmarkEnd w:id="11"/>
    </w:p>
    <w:p>
      <w:pPr>
        <w:spacing w:after="0" w:line="580" w:lineRule="exact"/>
        <w:ind w:firstLine="640" w:firstLineChars="200"/>
        <w:jc w:val="both"/>
        <w:textAlignment w:val="baseline"/>
        <w:rPr>
          <w:rFonts w:ascii="仿宋_GB2312" w:eastAsia="仿宋_GB2312" w:cs="DengXian-Regular"/>
          <w:sz w:val="32"/>
          <w:szCs w:val="32"/>
        </w:rPr>
      </w:pPr>
      <w:bookmarkStart w:id="12" w:name="_Toc492652766"/>
      <w:bookmarkStart w:id="13" w:name="_Toc465149500"/>
      <w:r>
        <w:rPr>
          <w:rFonts w:hint="eastAsia" w:ascii="仿宋_GB2312" w:eastAsia="仿宋_GB2312" w:cs="DengXian-Regular"/>
          <w:sz w:val="32"/>
          <w:szCs w:val="32"/>
        </w:rPr>
        <w:t>本次评价针对2019年县污水处理费征管中心预决算执行情况、财政资金使用情况、固定资产使用状况及相关政策执行情况等进行考评。</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本单位决算只包含单位经费及运输车队经费，不包含征收的污水处理费，污水处理费由排污企业直接交至行政审批大厅，未在县污水处理费征管中心决算中体现。</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1.预决算执行情况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县污水处理费征管中心2019年预算支出3,280,000.00元（不含污水运输车队支出），2019年实际支出3,220,373.35元（包含污水运输车队支出302,687.00元），预算执行率98.18%。</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2.账面收、支、余情况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2019年财政拨款收入3,220,681.17元，其中：运输车队收入306,103.19元、单位经费收入2,914,577.98元；2019年事业支出3,220,373.35元，其中：运输车队支出302,687.00元、单位经费支出</w:t>
      </w:r>
      <w:r>
        <w:rPr>
          <w:rFonts w:ascii="仿宋_GB2312" w:eastAsia="仿宋_GB2312" w:cs="DengXian-Regular"/>
          <w:sz w:val="32"/>
          <w:szCs w:val="32"/>
        </w:rPr>
        <w:t>2,917,686.35</w:t>
      </w:r>
      <w:r>
        <w:rPr>
          <w:rFonts w:hint="eastAsia" w:ascii="仿宋_GB2312" w:eastAsia="仿宋_GB2312" w:cs="DengXian-Regular"/>
          <w:sz w:val="32"/>
          <w:szCs w:val="32"/>
        </w:rPr>
        <w:t>元；结余资金307.82元。</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3.非税收入情况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2019年非税收入预算表中预算金额21,700,000.00元,其中：污水处理费收入20,000,000.00元、罚款收入1,700,000.00元；2019年实际征收污水处理费25,487,200.00元，无罚款收入，预算完成率117.45%。</w:t>
      </w:r>
    </w:p>
    <w:bookmarkEnd w:id="12"/>
    <w:bookmarkEnd w:id="13"/>
    <w:p>
      <w:pPr>
        <w:pStyle w:val="3"/>
        <w:spacing w:before="0" w:after="0" w:line="580" w:lineRule="exact"/>
        <w:ind w:firstLine="643" w:firstLineChars="200"/>
        <w:rPr>
          <w:rFonts w:ascii="黑体" w:hAnsiTheme="minorEastAsia"/>
          <w:u w:color="000000"/>
        </w:rPr>
      </w:pPr>
      <w:bookmarkStart w:id="14" w:name="_Toc492652770"/>
      <w:bookmarkStart w:id="15" w:name="_Toc20454"/>
      <w:bookmarkStart w:id="16" w:name="_Toc38813005"/>
      <w:bookmarkStart w:id="17" w:name="_Toc465149504"/>
      <w:r>
        <w:rPr>
          <w:rFonts w:hint="eastAsia" w:ascii="黑体"/>
        </w:rPr>
        <w:t>二、</w:t>
      </w:r>
      <w:bookmarkEnd w:id="14"/>
      <w:bookmarkEnd w:id="15"/>
      <w:r>
        <w:rPr>
          <w:rFonts w:hint="eastAsia" w:ascii="黑体"/>
        </w:rPr>
        <w:t>绩效评价工作开展情况</w:t>
      </w:r>
      <w:bookmarkEnd w:id="16"/>
    </w:p>
    <w:p>
      <w:pPr>
        <w:pStyle w:val="4"/>
        <w:spacing w:before="0" w:after="0" w:line="580" w:lineRule="exact"/>
        <w:ind w:firstLine="643" w:firstLineChars="200"/>
        <w:jc w:val="both"/>
        <w:rPr>
          <w:rFonts w:ascii="楷体_GB2312" w:hAnsi="Tahoma" w:eastAsia="楷体_GB2312" w:cs="DengXian-Regular"/>
          <w:sz w:val="32"/>
        </w:rPr>
      </w:pPr>
      <w:bookmarkStart w:id="18" w:name="_Toc492652771"/>
      <w:bookmarkStart w:id="19" w:name="_Toc9569"/>
      <w:bookmarkStart w:id="20" w:name="_Toc38813006"/>
      <w:r>
        <w:rPr>
          <w:rFonts w:hint="eastAsia" w:ascii="楷体_GB2312" w:hAnsi="Tahoma" w:eastAsia="楷体_GB2312" w:cs="DengXian-Regular"/>
          <w:sz w:val="32"/>
        </w:rPr>
        <w:t>（一）</w:t>
      </w:r>
      <w:bookmarkEnd w:id="18"/>
      <w:bookmarkEnd w:id="19"/>
      <w:r>
        <w:rPr>
          <w:rFonts w:hint="eastAsia" w:ascii="楷体_GB2312" w:hAnsi="Tahoma" w:eastAsia="楷体_GB2312" w:cs="DengXian-Regular"/>
          <w:sz w:val="32"/>
        </w:rPr>
        <w:t>绩效评价目的、对象和范围</w:t>
      </w:r>
      <w:bookmarkEnd w:id="20"/>
    </w:p>
    <w:p>
      <w:pPr>
        <w:spacing w:after="0" w:line="580" w:lineRule="exact"/>
        <w:ind w:firstLine="640" w:firstLineChars="200"/>
        <w:rPr>
          <w:rFonts w:ascii="仿宋_GB2312" w:eastAsia="仿宋_GB2312" w:cs="DengXian-Regular"/>
          <w:sz w:val="32"/>
          <w:szCs w:val="32"/>
          <w:u w:color="000000"/>
        </w:rPr>
      </w:pPr>
      <w:r>
        <w:rPr>
          <w:rFonts w:hint="eastAsia" w:ascii="仿宋_GB2312" w:eastAsia="仿宋_GB2312" w:cs="DengXian-Regular"/>
          <w:sz w:val="32"/>
          <w:szCs w:val="32"/>
          <w:u w:color="000000"/>
        </w:rPr>
        <w:t>1.绩效评价目的。通过对县污水处理费征管中心2019年单位整体支出绩效评价，首先是了解单位整体资金预算情况、实际收支情况及结转结余情况、绩效目标和指标的设置及完成情况、单位履职对社会发展所带来的直接或间接影响及服务对象对单位履职效果的满意程度；其次是促使相关单位根据绩效评价过程中发现的问题，及时整改并总结经验，提高部门管理水平，牢固树立预算绩效理念，强化部门支出责任，提高预算执行效率和财政资金使用效益。</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2.绩效评价对象。本次评价对象为无极县污水处理费征收管理中心。</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绩效评价范围。本次评价范围为无极县污水处理费征收管理中心2019年单位整体资金预算情况、实际收支情况及结转结余情况；绩效目标、绩效指标的设定及完成情况；单位履职对社会发展所带来的直接或间接影响及服务对象对单位履职效果的满意程度。</w:t>
      </w:r>
    </w:p>
    <w:p>
      <w:pPr>
        <w:pStyle w:val="4"/>
        <w:spacing w:before="0" w:after="0" w:line="580" w:lineRule="exact"/>
        <w:ind w:firstLine="643" w:firstLineChars="200"/>
        <w:jc w:val="both"/>
        <w:rPr>
          <w:rFonts w:ascii="楷体_GB2312" w:hAnsi="楷体" w:eastAsia="楷体_GB2312"/>
          <w:kern w:val="2"/>
          <w:sz w:val="32"/>
        </w:rPr>
      </w:pPr>
      <w:bookmarkStart w:id="21" w:name="_Toc492652772"/>
      <w:bookmarkStart w:id="22" w:name="_Toc30221"/>
      <w:bookmarkStart w:id="23" w:name="_Toc38813007"/>
      <w:r>
        <w:rPr>
          <w:rFonts w:hint="eastAsia" w:ascii="楷体_GB2312" w:hAnsi="楷体" w:eastAsia="楷体_GB2312"/>
          <w:kern w:val="2"/>
          <w:sz w:val="32"/>
        </w:rPr>
        <w:t>（二）</w:t>
      </w:r>
      <w:bookmarkEnd w:id="21"/>
      <w:bookmarkEnd w:id="22"/>
      <w:r>
        <w:rPr>
          <w:rFonts w:hint="eastAsia" w:ascii="楷体_GB2312" w:hAnsi="楷体" w:eastAsia="楷体_GB2312"/>
          <w:kern w:val="2"/>
          <w:sz w:val="32"/>
        </w:rPr>
        <w:t>绩效评价指标体系</w:t>
      </w:r>
      <w:bookmarkEnd w:id="23"/>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根据绩效预算管理改革的有关政策和文件规定，并与无极县污水处理费征收管理中心沟通，绩效评价工作组以绩效预算架构为指导，以单位预算文本及相关资料为基础，制定了单位整体支出绩效评价指标体系。</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本次绩效评价指标体系分三级设置，一级指标4个，二级指标8个，三级指标24个。其中一级指标分为决策、过程、产出和效果四个维度，二级指标从绩效目标设定、投入、预算管理、资产管理、职责履行、经济效益、社会效益、满意度八个方面进行了细化分解，三级指标是在结合单位具体情况基础上，对二级指标进行细化，突出可量化、可评价。</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指标体系设定满分100分，绩效评价分值≥90为“优”；80≤分值＜90为“良”；60≤分值＜80为“中”；60分以下为“差”（具体指标体系详见附表1）。</w:t>
      </w:r>
    </w:p>
    <w:p>
      <w:pPr>
        <w:pStyle w:val="4"/>
        <w:spacing w:before="0" w:after="0" w:line="580" w:lineRule="exact"/>
        <w:ind w:firstLine="643" w:firstLineChars="200"/>
        <w:jc w:val="both"/>
        <w:rPr>
          <w:rFonts w:ascii="楷体_GB2312" w:hAnsi="楷体" w:eastAsia="楷体_GB2312"/>
          <w:kern w:val="2"/>
          <w:sz w:val="32"/>
        </w:rPr>
      </w:pPr>
      <w:bookmarkStart w:id="24" w:name="_Toc38813008"/>
      <w:r>
        <w:rPr>
          <w:rFonts w:hint="eastAsia" w:ascii="楷体_GB2312" w:hAnsi="楷体" w:eastAsia="楷体_GB2312"/>
          <w:kern w:val="2"/>
          <w:sz w:val="32"/>
        </w:rPr>
        <w:t>（三）绩效评价原则、依据、方法及标准</w:t>
      </w:r>
      <w:bookmarkEnd w:id="24"/>
    </w:p>
    <w:p>
      <w:pPr>
        <w:pStyle w:val="4"/>
        <w:spacing w:before="0" w:after="0" w:line="580" w:lineRule="exact"/>
        <w:ind w:firstLine="643" w:firstLineChars="200"/>
        <w:jc w:val="both"/>
        <w:rPr>
          <w:rFonts w:ascii="仿宋_GB2312" w:hAnsi="Tahoma" w:cs="DengXian-Regular"/>
          <w:sz w:val="32"/>
        </w:rPr>
      </w:pPr>
      <w:bookmarkStart w:id="25" w:name="_Toc38813009"/>
      <w:r>
        <w:rPr>
          <w:rFonts w:hint="eastAsia" w:ascii="仿宋_GB2312" w:hAnsi="Tahoma" w:cs="DengXian-Regular"/>
          <w:sz w:val="32"/>
        </w:rPr>
        <w:t>1.评价原则</w:t>
      </w:r>
      <w:bookmarkEnd w:id="25"/>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本次评价依据科学公正、统筹兼顾、激励约束、公开透明原则开展绩效评价工作。</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（1）科学公正。绩效评价应当运用科学合理的方法，按照规范的程序，对项目绩效进行客观、公正的反映。</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（2）统筹兼顾。单位自评、部门评价和财政评价应职责明确，各有侧重，相互衔接。</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（3）激励约束。绩效评价结果应与预算安排、政策调整、改进管理实质性挂钩，体现奖优罚劣和激励相容导向，有效要安排、低效要压减、无效要问责。</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（4）公开透明。绩效评价结果应依法依规公开，并自觉接受社会监督。</w:t>
      </w:r>
    </w:p>
    <w:p>
      <w:pPr>
        <w:pStyle w:val="4"/>
        <w:spacing w:before="0" w:after="0" w:line="580" w:lineRule="exact"/>
        <w:ind w:firstLine="643" w:firstLineChars="200"/>
        <w:jc w:val="both"/>
        <w:rPr>
          <w:rFonts w:ascii="仿宋_GB2312" w:hAnsi="Tahoma" w:cs="DengXian-Regular"/>
          <w:sz w:val="32"/>
        </w:rPr>
      </w:pPr>
      <w:bookmarkStart w:id="26" w:name="_Toc38813010"/>
      <w:r>
        <w:rPr>
          <w:rFonts w:hint="eastAsia" w:ascii="仿宋_GB2312" w:hAnsi="Tahoma" w:cs="DengXian-Regular"/>
          <w:sz w:val="32"/>
        </w:rPr>
        <w:t>2.评价依据</w:t>
      </w:r>
      <w:bookmarkEnd w:id="26"/>
    </w:p>
    <w:p>
      <w:pPr>
        <w:spacing w:after="0" w:line="360" w:lineRule="auto"/>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w:t>
      </w:r>
      <w:r>
        <w:rPr>
          <w:rFonts w:ascii="仿宋_GB2312" w:eastAsia="仿宋_GB2312" w:cs="DengXian-Regular"/>
          <w:sz w:val="32"/>
          <w:szCs w:val="32"/>
        </w:rPr>
        <w:t>《中华人民共和国预算法》；</w:t>
      </w:r>
    </w:p>
    <w:p>
      <w:pPr>
        <w:spacing w:after="0" w:line="360" w:lineRule="auto"/>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（2）中共中央国务院《关于全面实施预算绩效管理的意见》（中发〔2018〕34号）；</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w:t>
      </w:r>
      <w:r>
        <w:rPr>
          <w:rFonts w:ascii="仿宋_GB2312" w:eastAsia="仿宋_GB2312" w:cs="DengXian-Regular"/>
          <w:sz w:val="32"/>
          <w:szCs w:val="32"/>
        </w:rPr>
        <w:t>《</w:t>
      </w:r>
      <w:r>
        <w:rPr>
          <w:rFonts w:hint="eastAsia" w:ascii="仿宋_GB2312" w:eastAsia="仿宋_GB2312" w:cs="DengXian-Regular"/>
          <w:sz w:val="32"/>
          <w:szCs w:val="32"/>
        </w:rPr>
        <w:t>河北省部门工作活动绩效评价指标框架体系</w:t>
      </w:r>
      <w:r>
        <w:rPr>
          <w:rFonts w:ascii="仿宋_GB2312" w:eastAsia="仿宋_GB2312" w:cs="DengXian-Regular"/>
          <w:sz w:val="32"/>
          <w:szCs w:val="32"/>
        </w:rPr>
        <w:t>》（冀财预</w:t>
      </w:r>
      <w:r>
        <w:rPr>
          <w:rFonts w:hint="eastAsia" w:ascii="仿宋_GB2312" w:eastAsia="仿宋_GB2312" w:cs="DengXian-Regular"/>
          <w:sz w:val="32"/>
          <w:szCs w:val="32"/>
        </w:rPr>
        <w:t xml:space="preserve">〔2016〕43号）； </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（4）中共河北省委河北省人民政府</w:t>
      </w:r>
      <w:r>
        <w:rPr>
          <w:rFonts w:ascii="仿宋_GB2312" w:eastAsia="仿宋_GB2312" w:cs="DengXian-Regular"/>
          <w:sz w:val="32"/>
          <w:szCs w:val="32"/>
        </w:rPr>
        <w:t>《</w:t>
      </w:r>
      <w:r>
        <w:rPr>
          <w:rFonts w:hint="eastAsia" w:ascii="仿宋_GB2312" w:eastAsia="仿宋_GB2312" w:cs="DengXian-Regular"/>
          <w:sz w:val="32"/>
          <w:szCs w:val="32"/>
        </w:rPr>
        <w:t>关于全面实施预算绩效管理的实施意见</w:t>
      </w:r>
      <w:r>
        <w:rPr>
          <w:rFonts w:ascii="仿宋_GB2312" w:eastAsia="仿宋_GB2312" w:cs="DengXian-Regular"/>
          <w:sz w:val="32"/>
          <w:szCs w:val="32"/>
        </w:rPr>
        <w:t>》（冀</w:t>
      </w:r>
      <w:r>
        <w:rPr>
          <w:rFonts w:hint="eastAsia" w:ascii="仿宋_GB2312" w:eastAsia="仿宋_GB2312" w:cs="DengXian-Regular"/>
          <w:sz w:val="32"/>
          <w:szCs w:val="32"/>
        </w:rPr>
        <w:t>发〔2018〕54</w:t>
      </w:r>
      <w:r>
        <w:rPr>
          <w:rFonts w:ascii="仿宋_GB2312" w:eastAsia="仿宋_GB2312" w:cs="DengXian-Regular"/>
          <w:sz w:val="32"/>
          <w:szCs w:val="32"/>
        </w:rPr>
        <w:t>号）</w:t>
      </w:r>
      <w:r>
        <w:rPr>
          <w:rFonts w:hint="eastAsia" w:ascii="仿宋_GB2312" w:eastAsia="仿宋_GB2312" w:cs="DengXian-Regular"/>
          <w:sz w:val="32"/>
          <w:szCs w:val="32"/>
        </w:rPr>
        <w:t>；</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（5）财政部《项目支出绩效评价管理办法》（财预〔2020〕10</w:t>
      </w:r>
      <w:r>
        <w:rPr>
          <w:rFonts w:ascii="仿宋_GB2312" w:eastAsia="仿宋_GB2312" w:cs="DengXian-Regular"/>
          <w:sz w:val="32"/>
          <w:szCs w:val="32"/>
        </w:rPr>
        <w:t>号</w:t>
      </w:r>
      <w:r>
        <w:rPr>
          <w:rFonts w:hint="eastAsia" w:ascii="仿宋_GB2312" w:eastAsia="仿宋_GB2312" w:cs="DengXian-Regular"/>
          <w:sz w:val="32"/>
          <w:szCs w:val="32"/>
        </w:rPr>
        <w:t>）；</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（6）其他与部门绩效评价工作相关的文件。</w:t>
      </w:r>
    </w:p>
    <w:p>
      <w:pPr>
        <w:pStyle w:val="4"/>
        <w:spacing w:before="0" w:after="0" w:line="580" w:lineRule="exact"/>
        <w:ind w:firstLine="643" w:firstLineChars="200"/>
        <w:jc w:val="both"/>
        <w:rPr>
          <w:rFonts w:ascii="仿宋_GB2312" w:hAnsi="Tahoma" w:cs="DengXian-Regular"/>
          <w:sz w:val="32"/>
        </w:rPr>
      </w:pPr>
      <w:bookmarkStart w:id="27" w:name="_Toc38813011"/>
      <w:r>
        <w:rPr>
          <w:rFonts w:hint="eastAsia" w:ascii="仿宋_GB2312" w:hAnsi="Tahoma" w:cs="DengXian-Regular"/>
          <w:sz w:val="32"/>
        </w:rPr>
        <w:t>3.评价方法</w:t>
      </w:r>
      <w:bookmarkEnd w:id="27"/>
    </w:p>
    <w:p>
      <w:pPr>
        <w:spacing w:after="0" w:line="580" w:lineRule="exact"/>
        <w:ind w:firstLine="640" w:firstLineChars="200"/>
        <w:jc w:val="both"/>
        <w:textAlignment w:val="baseline"/>
        <w:rPr>
          <w:rFonts w:ascii="仿宋_GB2312" w:eastAsia="仿宋_GB2312" w:cs="DengXian-Regular"/>
          <w:sz w:val="32"/>
          <w:szCs w:val="32"/>
        </w:rPr>
      </w:pPr>
      <w:r>
        <w:rPr>
          <w:rFonts w:ascii="仿宋_GB2312" w:eastAsia="仿宋_GB2312" w:cs="DengXian-Regular"/>
          <w:sz w:val="32"/>
          <w:szCs w:val="32"/>
        </w:rPr>
        <w:t>本次评价采取</w:t>
      </w:r>
      <w:r>
        <w:rPr>
          <w:rFonts w:hint="eastAsia" w:ascii="仿宋_GB2312" w:eastAsia="仿宋_GB2312" w:cs="DengXian-Regular"/>
          <w:sz w:val="32"/>
          <w:szCs w:val="32"/>
        </w:rPr>
        <w:t>成本效益分析法、比较法、因素分析法、公众评判法</w:t>
      </w:r>
      <w:r>
        <w:rPr>
          <w:rFonts w:ascii="仿宋_GB2312" w:eastAsia="仿宋_GB2312" w:cs="DengXian-Regular"/>
          <w:sz w:val="32"/>
          <w:szCs w:val="32"/>
        </w:rPr>
        <w:t>等方法开展</w:t>
      </w:r>
      <w:r>
        <w:rPr>
          <w:rFonts w:hint="eastAsia" w:ascii="仿宋_GB2312" w:eastAsia="仿宋_GB2312" w:cs="DengXian-Regular"/>
          <w:sz w:val="32"/>
          <w:szCs w:val="32"/>
        </w:rPr>
        <w:t>绩效</w:t>
      </w:r>
      <w:r>
        <w:rPr>
          <w:rFonts w:ascii="仿宋_GB2312" w:eastAsia="仿宋_GB2312" w:cs="DengXian-Regular"/>
          <w:sz w:val="32"/>
          <w:szCs w:val="32"/>
        </w:rPr>
        <w:t>评价工作。</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（1）成本效益分析法：是指将投入与产出、效益进行关联性分析的方法。</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（2）比较法：是指将实施情况与绩效目标、历史情况、不同部门和地区同类支出情况进行比较的方法。</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（3）因素分析法：是指综合分析影响绩效目标实现、实施效果的内外部因素的方法。</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（4）公众评判法：是指通过专家评估、公众问卷及抽样调查等方式进行评判。</w:t>
      </w:r>
    </w:p>
    <w:p>
      <w:pPr>
        <w:pStyle w:val="4"/>
        <w:spacing w:before="0" w:after="0" w:line="580" w:lineRule="exact"/>
        <w:ind w:firstLine="643" w:firstLineChars="200"/>
        <w:jc w:val="both"/>
        <w:rPr>
          <w:rFonts w:ascii="仿宋_GB2312" w:hAnsi="Tahoma" w:cs="DengXian-Regular"/>
          <w:sz w:val="32"/>
        </w:rPr>
      </w:pPr>
      <w:bookmarkStart w:id="28" w:name="_Toc38813012"/>
      <w:r>
        <w:rPr>
          <w:rFonts w:hint="eastAsia" w:ascii="仿宋_GB2312" w:hAnsi="Tahoma" w:cs="DengXian-Regular"/>
          <w:sz w:val="32"/>
        </w:rPr>
        <w:t>4.评价标准</w:t>
      </w:r>
      <w:bookmarkEnd w:id="28"/>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本次评价运用计划标准、行业标准、历史标准等标准对绩效指标完成情况进行评价。</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（1）计划标准：是指以预先制定的目标、计划、定额等作为评价标准。</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（2）行业标准：是指参照国家公布的行业指标数据制定的评价标准。</w:t>
      </w:r>
    </w:p>
    <w:p>
      <w:pPr>
        <w:spacing w:after="0" w:line="580" w:lineRule="exact"/>
        <w:ind w:firstLine="640" w:firstLineChars="200"/>
        <w:jc w:val="both"/>
        <w:rPr>
          <w:rFonts w:ascii="仿宋_GB2312" w:eastAsia="仿宋_GB2312" w:cs="DengXian-Regular"/>
          <w:sz w:val="32"/>
          <w:szCs w:val="32"/>
        </w:rPr>
      </w:pPr>
      <w:r>
        <w:rPr>
          <w:rFonts w:hint="eastAsia" w:ascii="仿宋_GB2312" w:eastAsia="仿宋_GB2312" w:cs="DengXian-Regular"/>
          <w:sz w:val="32"/>
          <w:szCs w:val="32"/>
        </w:rPr>
        <w:t>（3）历史标准：是指参照历史数据制定的评价标准，为体现绩效改进的原则，在可实现的条件下应当确定相对较高的评价标准。</w:t>
      </w:r>
    </w:p>
    <w:p>
      <w:pPr>
        <w:pStyle w:val="4"/>
        <w:spacing w:before="0" w:after="0" w:line="580" w:lineRule="exact"/>
        <w:ind w:firstLine="643" w:firstLineChars="200"/>
        <w:jc w:val="both"/>
        <w:rPr>
          <w:rFonts w:ascii="楷体_GB2312" w:hAnsi="楷体" w:eastAsia="楷体_GB2312"/>
          <w:kern w:val="2"/>
          <w:sz w:val="32"/>
        </w:rPr>
      </w:pPr>
      <w:bookmarkStart w:id="29" w:name="_Toc38813013"/>
      <w:r>
        <w:rPr>
          <w:rFonts w:hint="eastAsia" w:ascii="楷体_GB2312" w:hAnsi="楷体" w:eastAsia="楷体_GB2312"/>
          <w:kern w:val="2"/>
          <w:sz w:val="32"/>
        </w:rPr>
        <w:t>（四）绩效评价工作过程</w:t>
      </w:r>
      <w:bookmarkEnd w:id="29"/>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本次绩效评价工作经过了前期准备、绩效评价实施方案和指标体系制定、组织实施、绩效评价报告撰写四个阶段。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1.前期准备阶段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经与无极县污水处理费征收管理中心充分沟通，并充分收集相关资料，主要包括单位职责、预决算文本、相关管理制度、资金使用等相关资料，为制定绩效评价实施方案和指标体系奠定了基础。</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2.制定绩效评价实施方案和指标体系</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基于对无极县污水处理费征收管理中心的沟通了解及相关资料的收集，制定绩效评价实施方案和指标体系，由无极县财政局相关人员对评价方案及指标体系进行修正，确定最终方案。</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3.组织实施阶段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绩效评价实施方案和指标体系，对无极县污水处理费征收管理中心开展现场评价工作，包括查看预决算报表及单位工作活动绩效目标和指标；比对预决算的调整及执行情况；核查固定资产管理的规范性；核查明细账与决算报表项目的一致性；随机选取服务对象进行满意度调查；对一些专业的问题咨询相关专家等。根据收集的数据、资料进行核对、比较、计算，对单位整体支出进行评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4.撰写绩效评价报告</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在完成对各评价指标评分定级的基础上，开始进行报告撰写工作。在该阶段，我们对所有的指标评分值进行了重新复核，确保其一致性。报告撰写完成后经过内部讨论、与委托方交换沟通、审核修改报告，最终形成正式报告。</w:t>
      </w:r>
    </w:p>
    <w:p>
      <w:pPr>
        <w:pStyle w:val="3"/>
        <w:spacing w:before="0" w:after="0" w:line="580" w:lineRule="exact"/>
        <w:ind w:firstLine="643" w:firstLineChars="200"/>
        <w:rPr>
          <w:rFonts w:ascii="黑体"/>
        </w:rPr>
      </w:pPr>
      <w:bookmarkStart w:id="30" w:name="_Toc11842"/>
      <w:bookmarkStart w:id="31" w:name="_Toc492652775"/>
      <w:bookmarkStart w:id="32" w:name="_Toc38813014"/>
      <w:r>
        <w:rPr>
          <w:rFonts w:hint="eastAsia" w:ascii="黑体"/>
        </w:rPr>
        <w:t>三、综合</w:t>
      </w:r>
      <w:bookmarkEnd w:id="17"/>
      <w:bookmarkEnd w:id="30"/>
      <w:bookmarkEnd w:id="31"/>
      <w:bookmarkStart w:id="33" w:name="_Toc492652776"/>
      <w:bookmarkStart w:id="34" w:name="_Toc465149505"/>
      <w:r>
        <w:rPr>
          <w:rFonts w:hint="eastAsia" w:ascii="黑体"/>
        </w:rPr>
        <w:t>评价情况及评价结论</w:t>
      </w:r>
      <w:bookmarkEnd w:id="32"/>
    </w:p>
    <w:p>
      <w:pPr>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经综合评价，县污水处理费征管中心2019年度单位整体支出绩效评价得分73.65分，评价等级为“中”。各项得分具体情况如下：</w:t>
      </w:r>
    </w:p>
    <w:tbl>
      <w:tblPr>
        <w:tblStyle w:val="2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705"/>
        <w:gridCol w:w="1705"/>
        <w:gridCol w:w="1706"/>
        <w:gridCol w:w="1706"/>
        <w:gridCol w:w="1706"/>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一级指标</w:t>
            </w:r>
          </w:p>
        </w:tc>
        <w:tc>
          <w:tcPr>
            <w:tcW w:w="1705"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二级指标</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三级指标</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分值权重</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得分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决策</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（12分）</w:t>
            </w: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绩效目标设定（8分）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绩效目标合理性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绩效指标明确性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投入</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预算编制完整性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在职人员控制率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过程</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（48分）</w:t>
            </w: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预算管理</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（24分）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预算调整率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1.64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收入完成率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人员经费控制率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公用经费控制率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“三公”经费控制率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资产管理</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（24分）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管理制度健全性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资金使用合规性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决算真实性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基础信息完善性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资产管理规范性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固定资产利用率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产出</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（20分）</w:t>
            </w: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职责履行</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（20分）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污水处理费征收率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污水运输及时性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2.22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污水处理费征收及时性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污水处理费上缴及时性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效果</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（20分）</w:t>
            </w:r>
          </w:p>
        </w:tc>
        <w:tc>
          <w:tcPr>
            <w:tcW w:w="1705"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经济效益</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污水处理费征收增长率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社会效益</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（10分）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污水征收点地域覆盖率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污水运输辐射率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满意度</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污水运输车队服务企业满意度</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5</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3.79</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5116" w:type="dxa"/>
            <w:gridSpan w:val="3"/>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合计</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100</w:t>
            </w:r>
          </w:p>
        </w:tc>
        <w:tc>
          <w:tcPr>
            <w:tcW w:w="1706" w:type="dxa"/>
            <w:vAlign w:val="center"/>
          </w:tcPr>
          <w:p>
            <w:pPr>
              <w:spacing w:after="0"/>
              <w:jc w:val="center"/>
              <w:textAlignment w:val="baseline"/>
              <w:rPr>
                <w:rFonts w:cs="Times New Roman" w:asciiTheme="minorEastAsia" w:hAnsiTheme="minorEastAsia" w:eastAsiaTheme="minorEastAsia"/>
                <w:sz w:val="21"/>
                <w:szCs w:val="21"/>
                <w:highlight w:val="yellow"/>
                <w:u w:color="000000"/>
              </w:rPr>
            </w:pPr>
            <w:r>
              <w:rPr>
                <w:rFonts w:hint="eastAsia" w:cs="Times New Roman" w:asciiTheme="minorEastAsia" w:hAnsiTheme="minorEastAsia" w:eastAsiaTheme="minorEastAsia"/>
                <w:sz w:val="21"/>
                <w:szCs w:val="21"/>
                <w:u w:color="000000"/>
              </w:rPr>
              <w:t>73.65</w:t>
            </w:r>
          </w:p>
        </w:tc>
      </w:tr>
    </w:tbl>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结合单位职责、年初预算及绩效评价指标体系等内容，对县污水处理费征管中心作出如下评价：</w:t>
      </w:r>
    </w:p>
    <w:p>
      <w:pPr>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一是污水处理费征收增长率逐年提高。</w:t>
      </w:r>
      <w:r>
        <w:rPr>
          <w:rFonts w:hint="eastAsia" w:ascii="仿宋_GB2312" w:eastAsia="仿宋_GB2312" w:cs="DengXian-Regular"/>
          <w:sz w:val="32"/>
          <w:szCs w:val="32"/>
        </w:rPr>
        <w:t>2017年污水处理费及罚款征收总额947.85万元，2018年污水处理费及罚款征收总额2370.46,万元，2019年污水处理费征收总额2548.72万元，2019年征收总额较2018年增长7.52%，较2017年增长168.89%。</w:t>
      </w:r>
    </w:p>
    <w:p>
      <w:pPr>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二是资产管理较规范。</w:t>
      </w:r>
      <w:r>
        <w:rPr>
          <w:rFonts w:hint="eastAsia" w:ascii="仿宋_GB2312" w:eastAsia="仿宋_GB2312" w:cs="DengXian-Regular"/>
          <w:sz w:val="32"/>
          <w:szCs w:val="32"/>
        </w:rPr>
        <w:t>县污水处理费征管中心建立了固定资产台账，且新增及报废固定资产流程完善合规，固定资产状态均为在用，固定资产利用率较高。</w:t>
      </w:r>
    </w:p>
    <w:p>
      <w:pPr>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三是污水处理费征收点及污水运输车队覆盖率较高。</w:t>
      </w:r>
      <w:r>
        <w:rPr>
          <w:rFonts w:hint="eastAsia" w:ascii="仿宋_GB2312" w:eastAsia="仿宋_GB2312" w:cs="DengXian-Regular"/>
          <w:sz w:val="32"/>
          <w:szCs w:val="32"/>
        </w:rPr>
        <w:t>排污企业需要每年和县污水处理费征管中心签订《污水委托处置协议》，未签订协议的企业不允许进行生产，且污水运输车队的组建，使无污水管网的企业处置污水更加方便。</w:t>
      </w:r>
    </w:p>
    <w:p>
      <w:pPr>
        <w:spacing w:after="0" w:line="580" w:lineRule="exact"/>
        <w:ind w:firstLine="640" w:firstLineChars="200"/>
        <w:rPr>
          <w:rFonts w:ascii="仿宋_GB2312" w:eastAsia="仿宋_GB2312" w:cs="DengXian-Regular"/>
          <w:b/>
          <w:sz w:val="32"/>
          <w:szCs w:val="32"/>
        </w:rPr>
      </w:pPr>
      <w:r>
        <w:rPr>
          <w:rFonts w:hint="eastAsia" w:ascii="仿宋_GB2312" w:eastAsia="仿宋_GB2312" w:cs="DengXian-Regular"/>
          <w:sz w:val="32"/>
          <w:szCs w:val="32"/>
        </w:rPr>
        <w:t>通过本次绩效评价工作，我们也发现县污水处理费征管中心在预算管理、预算执行、工作活动、产出效益等方面仍存在一些不足之处。</w:t>
      </w:r>
    </w:p>
    <w:bookmarkEnd w:id="33"/>
    <w:bookmarkEnd w:id="34"/>
    <w:p>
      <w:pPr>
        <w:pStyle w:val="3"/>
        <w:spacing w:before="0" w:after="0" w:line="580" w:lineRule="exact"/>
        <w:ind w:firstLine="643" w:firstLineChars="200"/>
        <w:rPr>
          <w:rFonts w:ascii="黑体"/>
        </w:rPr>
      </w:pPr>
      <w:bookmarkStart w:id="35" w:name="_Toc492652781"/>
      <w:bookmarkStart w:id="36" w:name="_Toc465149511"/>
      <w:bookmarkStart w:id="37" w:name="_Toc38813015"/>
      <w:bookmarkStart w:id="38" w:name="_Toc6467"/>
      <w:r>
        <w:rPr>
          <w:rFonts w:hint="eastAsia" w:ascii="黑体"/>
        </w:rPr>
        <w:t>四、</w:t>
      </w:r>
      <w:bookmarkEnd w:id="35"/>
      <w:bookmarkEnd w:id="36"/>
      <w:bookmarkStart w:id="39" w:name="_Toc492652782"/>
      <w:r>
        <w:rPr>
          <w:rFonts w:hint="eastAsia" w:ascii="黑体"/>
        </w:rPr>
        <w:t>绩效评价指标分析</w:t>
      </w:r>
      <w:bookmarkEnd w:id="37"/>
      <w:bookmarkEnd w:id="38"/>
    </w:p>
    <w:bookmarkEnd w:id="39"/>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DengXian-Regular"/>
          <w:sz w:val="32"/>
          <w:szCs w:val="32"/>
        </w:rPr>
        <w:t>无极县污水处理征收管理中心整体支出绩效评价总得分为73.65分，综合绩效评价等级为“中”。各项得分情况如下</w:t>
      </w:r>
      <w:r>
        <w:rPr>
          <w:rFonts w:hint="eastAsia" w:ascii="仿宋_GB2312" w:eastAsia="仿宋_GB2312" w:cs="Times New Roman" w:hAnsiTheme="minorEastAsia"/>
          <w:sz w:val="32"/>
          <w:szCs w:val="32"/>
          <w:u w:color="000000"/>
        </w:rPr>
        <w:t>：</w:t>
      </w:r>
      <w:r>
        <w:rPr>
          <w:rFonts w:ascii="仿宋_GB2312" w:eastAsia="仿宋_GB2312" w:cs="Times New Roman" w:hAnsiTheme="minorEastAsia"/>
          <w:sz w:val="32"/>
          <w:szCs w:val="32"/>
          <w:u w:color="000000"/>
        </w:rPr>
        <w:t xml:space="preserve"> </w:t>
      </w:r>
    </w:p>
    <w:p>
      <w:pPr>
        <w:pStyle w:val="4"/>
        <w:spacing w:before="0" w:after="0" w:line="580" w:lineRule="exact"/>
        <w:ind w:firstLine="643" w:firstLineChars="200"/>
        <w:jc w:val="both"/>
        <w:rPr>
          <w:rFonts w:ascii="楷体_GB2312" w:eastAsia="楷体_GB2312" w:hAnsiTheme="minorEastAsia"/>
          <w:kern w:val="2"/>
          <w:sz w:val="32"/>
        </w:rPr>
      </w:pPr>
      <w:bookmarkStart w:id="40" w:name="_Toc492652783"/>
      <w:bookmarkStart w:id="41" w:name="_Toc38813016"/>
      <w:bookmarkStart w:id="42" w:name="_Toc4390"/>
      <w:r>
        <w:rPr>
          <w:rFonts w:hint="eastAsia" w:ascii="楷体_GB2312" w:eastAsia="楷体_GB2312" w:hAnsiTheme="minorEastAsia"/>
          <w:kern w:val="2"/>
          <w:sz w:val="32"/>
        </w:rPr>
        <w:t>（一）</w:t>
      </w:r>
      <w:bookmarkEnd w:id="40"/>
      <w:r>
        <w:rPr>
          <w:rFonts w:hint="eastAsia" w:ascii="楷体_GB2312" w:eastAsia="楷体_GB2312" w:hAnsiTheme="minorEastAsia"/>
          <w:kern w:val="2"/>
          <w:sz w:val="32"/>
        </w:rPr>
        <w:t>决策（12分）</w:t>
      </w:r>
      <w:bookmarkEnd w:id="41"/>
      <w:bookmarkEnd w:id="42"/>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DengXian-Regular"/>
          <w:sz w:val="32"/>
          <w:szCs w:val="32"/>
        </w:rPr>
        <w:t>该一级指标包含绩效目标设定和投入两个二级指标，主要反映绩效目标设定是否合理、科学，绩效指标的制定是否清晰、可衡量，预算编制是否完整及在职人员控制情况。</w:t>
      </w:r>
      <w:r>
        <w:rPr>
          <w:rFonts w:hint="eastAsia" w:ascii="仿宋_GB2312" w:eastAsia="仿宋_GB2312" w:cs="Times New Roman" w:hAnsiTheme="minorEastAsia"/>
          <w:sz w:val="32"/>
          <w:szCs w:val="32"/>
          <w:u w:color="000000"/>
        </w:rPr>
        <w:tab/>
      </w:r>
      <w:r>
        <w:rPr>
          <w:rFonts w:hint="eastAsia" w:ascii="仿宋_GB2312" w:eastAsia="仿宋_GB2312" w:cs="Times New Roman" w:hAnsiTheme="minorEastAsia"/>
          <w:sz w:val="32"/>
          <w:szCs w:val="32"/>
          <w:u w:color="000000"/>
        </w:rPr>
        <w:t>该一级指标分值12分，得分3分。</w:t>
      </w:r>
    </w:p>
    <w:tbl>
      <w:tblPr>
        <w:tblStyle w:val="2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705"/>
        <w:gridCol w:w="1705"/>
        <w:gridCol w:w="1706"/>
        <w:gridCol w:w="1706"/>
        <w:gridCol w:w="1706"/>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一级指标</w:t>
            </w:r>
          </w:p>
        </w:tc>
        <w:tc>
          <w:tcPr>
            <w:tcW w:w="1705"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二级指标</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三级指标</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分值权重</w:t>
            </w:r>
          </w:p>
        </w:tc>
        <w:tc>
          <w:tcPr>
            <w:tcW w:w="1706" w:type="dxa"/>
            <w:vAlign w:val="center"/>
          </w:tcPr>
          <w:p>
            <w:pPr>
              <w:spacing w:after="0"/>
              <w:jc w:val="center"/>
              <w:textAlignment w:val="baseline"/>
              <w:rPr>
                <w:rFonts w:cs="Times New Roman" w:asciiTheme="minorEastAsia" w:hAnsiTheme="minorEastAsia" w:eastAsiaTheme="minorEastAsia"/>
                <w:b/>
                <w:sz w:val="21"/>
                <w:szCs w:val="21"/>
                <w:u w:color="000000"/>
              </w:rPr>
            </w:pPr>
            <w:r>
              <w:rPr>
                <w:rFonts w:hint="eastAsia" w:cs="Times New Roman" w:asciiTheme="minorEastAsia" w:hAnsiTheme="minorEastAsia" w:eastAsiaTheme="minorEastAsia"/>
                <w:b/>
                <w:sz w:val="21"/>
                <w:szCs w:val="21"/>
                <w:u w:color="000000"/>
              </w:rPr>
              <w:t>得分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决策</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（12分）</w:t>
            </w: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绩效目标设定（8分）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绩效目标合理性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绩效指标明确性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restart"/>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投入</w:t>
            </w:r>
          </w:p>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（4分）</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预算编制完整性</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5" w:type="dxa"/>
            <w:vMerge w:val="continue"/>
            <w:vAlign w:val="center"/>
          </w:tcPr>
          <w:p>
            <w:pPr>
              <w:spacing w:after="0"/>
              <w:jc w:val="center"/>
              <w:textAlignment w:val="baseline"/>
              <w:rPr>
                <w:rFonts w:cs="Times New Roman" w:asciiTheme="minorEastAsia" w:hAnsiTheme="minorEastAsia" w:eastAsiaTheme="minorEastAsia"/>
                <w:sz w:val="21"/>
                <w:szCs w:val="21"/>
                <w:u w:color="000000"/>
              </w:rPr>
            </w:pP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在职人员控制率</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5116" w:type="dxa"/>
            <w:gridSpan w:val="3"/>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合计</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12</w:t>
            </w:r>
          </w:p>
        </w:tc>
        <w:tc>
          <w:tcPr>
            <w:tcW w:w="1706" w:type="dxa"/>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3</w:t>
            </w:r>
          </w:p>
        </w:tc>
      </w:tr>
    </w:tbl>
    <w:p>
      <w:pPr>
        <w:spacing w:after="0" w:line="580" w:lineRule="exact"/>
        <w:ind w:firstLine="640" w:firstLineChars="200"/>
        <w:jc w:val="both"/>
        <w:textAlignment w:val="baseline"/>
        <w:rPr>
          <w:rFonts w:ascii="仿宋_GB2312" w:eastAsia="仿宋_GB2312" w:cs="DengXian-Regular"/>
          <w:sz w:val="32"/>
          <w:szCs w:val="32"/>
        </w:rPr>
      </w:pPr>
      <w:bookmarkStart w:id="43" w:name="_Toc465149513"/>
      <w:bookmarkStart w:id="44" w:name="_Toc464638478"/>
      <w:r>
        <w:rPr>
          <w:rFonts w:hint="eastAsia" w:ascii="仿宋_GB2312" w:eastAsia="仿宋_GB2312" w:cs="DengXian-Regular"/>
          <w:sz w:val="32"/>
          <w:szCs w:val="32"/>
        </w:rPr>
        <w:t>1.绩效目标设定（8分）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（1）绩效目标合理性(4分)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该指标主要评价单位的职责设定是否符合“三定”方案中所赋予的职责；工作活动是否与单位职责、工作规划和重点工作相关；预算项目是否合理，是否与工作活动密切相关；工作活动和预算安排是否合理。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县污水处理费征管中心未设定绩效目标。</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该指标实际得分0分。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（2）绩效指标明确性（4分）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是否将单位整体的绩效目标细化分解为具体的工作任务，工作活动、预算项目绩效指标是否清晰、细化、可评价、可衡量；工作活动、预算项目绩效指标的评价标准是否清晰、可衡量；是否与单位年度的任务数或计划数相对应。</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县污水处理费征管中心未设定绩效指标。</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该指标实际得分0分。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2.投入（4分）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（1）预算编制完整性（2分）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该指标主要评价单位所有收入是否全部纳入单位预算，单位支出预算是否统筹各类支出，按基本支出、项目支出分别编制。</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决算报表及相关会计资料，县污水处理费征管中心单位支出按基本支出、项目支出分别编制，但预算收入只包含县财政按规定比例划拨的业务分成收入，未包含财政补助收入，预算收入编制不完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该指标实际得分1分。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（2）在职人员控制率（2分）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该指标主要考核截至2019年底县污水处理费征管中心在职人员控制情况，通过在职人员控制率衡量。</w:t>
      </w:r>
    </w:p>
    <w:p>
      <w:pPr>
        <w:spacing w:after="0" w:line="580" w:lineRule="exact"/>
        <w:ind w:firstLine="640" w:firstLineChars="200"/>
        <w:jc w:val="both"/>
        <w:textAlignment w:val="baseline"/>
        <w:rPr>
          <w:rFonts w:ascii="仿宋_GB2312" w:eastAsia="仿宋_GB2312" w:cs="DengXian-Regular"/>
          <w:sz w:val="32"/>
          <w:szCs w:val="32"/>
          <w:highlight w:val="yellow"/>
        </w:rPr>
      </w:pPr>
      <w:r>
        <w:rPr>
          <w:rFonts w:hint="eastAsia" w:ascii="仿宋_GB2312" w:eastAsia="仿宋_GB2312" w:cs="DengXian-Regular"/>
          <w:sz w:val="32"/>
          <w:szCs w:val="32"/>
        </w:rPr>
        <w:t>在职人员控制率=在职人员/编制数×100%。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无极县机构编制委员会办公室关于《成立无极县污水处理费征收管理中心》的通知，县污水处理费征管中心人员编制为50人，根据《无极县污水处理费征收管理中心内设机构设置》的批复，县污水处理费征管中心内设机构共设置47个编制，根据县污水处理费征管中心人员花名册，截至2019年底，编制在职人员36人（其中1人未实际在职也未办理相关离职手续），在职人员控制率=（36/47）*100%=76.60%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该指标实际得分2分。</w:t>
      </w:r>
    </w:p>
    <w:bookmarkEnd w:id="43"/>
    <w:bookmarkEnd w:id="44"/>
    <w:p>
      <w:pPr>
        <w:pStyle w:val="4"/>
        <w:spacing w:before="0" w:after="0" w:line="580" w:lineRule="exact"/>
        <w:ind w:firstLine="643" w:firstLineChars="200"/>
        <w:jc w:val="both"/>
        <w:rPr>
          <w:rFonts w:ascii="楷体_GB2312" w:hAnsi="楷体" w:eastAsia="楷体_GB2312"/>
          <w:sz w:val="32"/>
        </w:rPr>
      </w:pPr>
      <w:bookmarkStart w:id="45" w:name="_Toc38813017"/>
      <w:bookmarkStart w:id="46" w:name="_Toc19940"/>
      <w:r>
        <w:rPr>
          <w:rFonts w:hint="eastAsia" w:ascii="楷体_GB2312" w:hAnsi="楷体" w:eastAsia="楷体_GB2312"/>
          <w:sz w:val="32"/>
        </w:rPr>
        <w:t>（二）过程（48分）</w:t>
      </w:r>
      <w:bookmarkEnd w:id="45"/>
      <w:bookmarkEnd w:id="46"/>
    </w:p>
    <w:p>
      <w:pPr>
        <w:spacing w:after="0" w:line="580" w:lineRule="exact"/>
        <w:ind w:firstLine="640" w:firstLineChars="200"/>
        <w:jc w:val="both"/>
        <w:textAlignment w:val="baseline"/>
        <w:rPr>
          <w:rFonts w:ascii="仿宋_GB2312" w:eastAsia="仿宋_GB2312" w:cs="DengXian-Regular"/>
          <w:sz w:val="32"/>
          <w:szCs w:val="32"/>
        </w:rPr>
      </w:pPr>
      <w:bookmarkStart w:id="47" w:name="_Toc464638480"/>
      <w:r>
        <w:rPr>
          <w:rFonts w:hint="eastAsia" w:ascii="仿宋_GB2312" w:eastAsia="仿宋_GB2312" w:cs="DengXian-Regular"/>
          <w:sz w:val="32"/>
          <w:szCs w:val="32"/>
        </w:rPr>
        <w:t>该一级指标包含预算执行和资产管理两个二级指标，主要反映预算调整、收入支出完成情况，经费控制情况，财务管理规范性、资金使用合规性、决算真实性、资产管理情况。该一级指标分值48分，得分39.64分。</w:t>
      </w:r>
    </w:p>
    <w:tbl>
      <w:tblPr>
        <w:tblStyle w:val="2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705"/>
        <w:gridCol w:w="1705"/>
        <w:gridCol w:w="2227"/>
        <w:gridCol w:w="1417"/>
        <w:gridCol w:w="1474"/>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Align w:val="center"/>
          </w:tcPr>
          <w:p>
            <w:pPr>
              <w:spacing w:after="0"/>
              <w:jc w:val="center"/>
              <w:textAlignment w:val="baseline"/>
              <w:rPr>
                <w:rFonts w:cs="DengXian-Regular" w:asciiTheme="minorEastAsia" w:hAnsiTheme="minorEastAsia" w:eastAsiaTheme="minorEastAsia"/>
                <w:b/>
                <w:sz w:val="21"/>
                <w:szCs w:val="21"/>
              </w:rPr>
            </w:pPr>
            <w:r>
              <w:rPr>
                <w:rFonts w:hint="eastAsia" w:cs="DengXian-Regular" w:asciiTheme="minorEastAsia" w:hAnsiTheme="minorEastAsia" w:eastAsiaTheme="minorEastAsia"/>
                <w:b/>
                <w:sz w:val="21"/>
                <w:szCs w:val="21"/>
              </w:rPr>
              <w:t>一级指标</w:t>
            </w:r>
          </w:p>
        </w:tc>
        <w:tc>
          <w:tcPr>
            <w:tcW w:w="1705" w:type="dxa"/>
            <w:vAlign w:val="center"/>
          </w:tcPr>
          <w:p>
            <w:pPr>
              <w:spacing w:after="0"/>
              <w:jc w:val="center"/>
              <w:textAlignment w:val="baseline"/>
              <w:rPr>
                <w:rFonts w:cs="DengXian-Regular" w:asciiTheme="minorEastAsia" w:hAnsiTheme="minorEastAsia" w:eastAsiaTheme="minorEastAsia"/>
                <w:b/>
                <w:sz w:val="21"/>
                <w:szCs w:val="21"/>
              </w:rPr>
            </w:pPr>
            <w:r>
              <w:rPr>
                <w:rFonts w:hint="eastAsia" w:cs="DengXian-Regular" w:asciiTheme="minorEastAsia" w:hAnsiTheme="minorEastAsia" w:eastAsiaTheme="minorEastAsia"/>
                <w:b/>
                <w:sz w:val="21"/>
                <w:szCs w:val="21"/>
              </w:rPr>
              <w:t>二级指标</w:t>
            </w:r>
          </w:p>
        </w:tc>
        <w:tc>
          <w:tcPr>
            <w:tcW w:w="2227" w:type="dxa"/>
            <w:vAlign w:val="center"/>
          </w:tcPr>
          <w:p>
            <w:pPr>
              <w:spacing w:after="0"/>
              <w:jc w:val="center"/>
              <w:textAlignment w:val="baseline"/>
              <w:rPr>
                <w:rFonts w:cs="DengXian-Regular" w:asciiTheme="minorEastAsia" w:hAnsiTheme="minorEastAsia" w:eastAsiaTheme="minorEastAsia"/>
                <w:b/>
                <w:sz w:val="21"/>
                <w:szCs w:val="21"/>
              </w:rPr>
            </w:pPr>
            <w:r>
              <w:rPr>
                <w:rFonts w:hint="eastAsia" w:cs="DengXian-Regular" w:asciiTheme="minorEastAsia" w:hAnsiTheme="minorEastAsia" w:eastAsiaTheme="minorEastAsia"/>
                <w:b/>
                <w:sz w:val="21"/>
                <w:szCs w:val="21"/>
              </w:rPr>
              <w:t>三级指标</w:t>
            </w:r>
          </w:p>
        </w:tc>
        <w:tc>
          <w:tcPr>
            <w:tcW w:w="1417" w:type="dxa"/>
            <w:vAlign w:val="center"/>
          </w:tcPr>
          <w:p>
            <w:pPr>
              <w:spacing w:after="0"/>
              <w:jc w:val="center"/>
              <w:textAlignment w:val="baseline"/>
              <w:rPr>
                <w:rFonts w:cs="DengXian-Regular" w:asciiTheme="minorEastAsia" w:hAnsiTheme="minorEastAsia" w:eastAsiaTheme="minorEastAsia"/>
                <w:b/>
                <w:sz w:val="21"/>
                <w:szCs w:val="21"/>
              </w:rPr>
            </w:pPr>
            <w:r>
              <w:rPr>
                <w:rFonts w:hint="eastAsia" w:cs="DengXian-Regular" w:asciiTheme="minorEastAsia" w:hAnsiTheme="minorEastAsia" w:eastAsiaTheme="minorEastAsia"/>
                <w:b/>
                <w:sz w:val="21"/>
                <w:szCs w:val="21"/>
              </w:rPr>
              <w:t>分值权重</w:t>
            </w:r>
          </w:p>
        </w:tc>
        <w:tc>
          <w:tcPr>
            <w:tcW w:w="1474" w:type="dxa"/>
            <w:vAlign w:val="center"/>
          </w:tcPr>
          <w:p>
            <w:pPr>
              <w:spacing w:after="0"/>
              <w:jc w:val="center"/>
              <w:textAlignment w:val="baseline"/>
              <w:rPr>
                <w:rFonts w:cs="DengXian-Regular" w:asciiTheme="minorEastAsia" w:hAnsiTheme="minorEastAsia" w:eastAsiaTheme="minorEastAsia"/>
                <w:b/>
                <w:sz w:val="21"/>
                <w:szCs w:val="21"/>
              </w:rPr>
            </w:pPr>
            <w:r>
              <w:rPr>
                <w:rFonts w:hint="eastAsia" w:cs="DengXian-Regular" w:asciiTheme="minorEastAsia" w:hAnsiTheme="minorEastAsia" w:eastAsiaTheme="minorEastAsia"/>
                <w:b/>
                <w:sz w:val="21"/>
                <w:szCs w:val="21"/>
              </w:rPr>
              <w:t>得分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过程</w:t>
            </w:r>
          </w:p>
          <w:p>
            <w:pPr>
              <w:spacing w:after="0"/>
              <w:jc w:val="center"/>
              <w:textAlignment w:val="baseline"/>
              <w:rPr>
                <w:rFonts w:cs="DengXian-Regular" w:asciiTheme="minorEastAsia" w:hAnsiTheme="minorEastAsia" w:eastAsiaTheme="minorEastAsia"/>
                <w:sz w:val="21"/>
                <w:szCs w:val="21"/>
                <w:highlight w:val="yellow"/>
              </w:rPr>
            </w:pPr>
            <w:r>
              <w:rPr>
                <w:rFonts w:hint="eastAsia" w:cs="DengXian-Regular" w:asciiTheme="minorEastAsia" w:hAnsiTheme="minorEastAsia" w:eastAsiaTheme="minorEastAsia"/>
                <w:sz w:val="21"/>
                <w:szCs w:val="21"/>
              </w:rPr>
              <w:t>（48分）</w:t>
            </w:r>
          </w:p>
        </w:tc>
        <w:tc>
          <w:tcPr>
            <w:tcW w:w="1705" w:type="dxa"/>
            <w:vMerge w:val="restart"/>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预算管理</w:t>
            </w:r>
          </w:p>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（24分）</w:t>
            </w: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预算调整率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1.64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收入完成率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人员经费控制率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公用经费控制率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“三公”经费控制率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restart"/>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资产管理</w:t>
            </w:r>
          </w:p>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（24分）</w:t>
            </w: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管理制度健全性</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资金使用合规性</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决算真实性</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基础信息完善性</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资产管理规范性</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1705" w:type="dxa"/>
            <w:vMerge w:val="continue"/>
            <w:vAlign w:val="center"/>
          </w:tcPr>
          <w:p>
            <w:pPr>
              <w:spacing w:after="0"/>
              <w:jc w:val="center"/>
              <w:textAlignment w:val="baseline"/>
              <w:rPr>
                <w:rFonts w:cs="DengXian-Regular" w:asciiTheme="minorEastAsia" w:hAnsiTheme="minorEastAsia" w:eastAsiaTheme="minorEastAsia"/>
                <w:sz w:val="21"/>
                <w:szCs w:val="21"/>
                <w:highlight w:val="yellow"/>
              </w:rPr>
            </w:pPr>
          </w:p>
        </w:tc>
        <w:tc>
          <w:tcPr>
            <w:tcW w:w="222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固定资产利用率</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c>
          <w:tcPr>
            <w:tcW w:w="1474"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5637" w:type="dxa"/>
            <w:gridSpan w:val="3"/>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合计</w:t>
            </w:r>
          </w:p>
        </w:tc>
        <w:tc>
          <w:tcPr>
            <w:tcW w:w="1417" w:type="dxa"/>
            <w:vAlign w:val="center"/>
          </w:tcPr>
          <w:p>
            <w:pPr>
              <w:spacing w:after="0"/>
              <w:jc w:val="center"/>
              <w:textAlignment w:val="baseline"/>
              <w:rPr>
                <w:rFonts w:cs="DengXian-Regular" w:asciiTheme="minorEastAsia" w:hAnsiTheme="minorEastAsia" w:eastAsiaTheme="minorEastAsia"/>
                <w:sz w:val="21"/>
                <w:szCs w:val="21"/>
              </w:rPr>
            </w:pPr>
            <w:r>
              <w:rPr>
                <w:rFonts w:hint="eastAsia" w:cs="DengXian-Regular" w:asciiTheme="minorEastAsia" w:hAnsiTheme="minorEastAsia" w:eastAsiaTheme="minorEastAsia"/>
                <w:sz w:val="21"/>
                <w:szCs w:val="21"/>
              </w:rPr>
              <w:t>48</w:t>
            </w:r>
          </w:p>
        </w:tc>
        <w:tc>
          <w:tcPr>
            <w:tcW w:w="1474" w:type="dxa"/>
            <w:vAlign w:val="center"/>
          </w:tcPr>
          <w:p>
            <w:pPr>
              <w:spacing w:after="0"/>
              <w:jc w:val="center"/>
              <w:textAlignment w:val="baseline"/>
              <w:rPr>
                <w:rFonts w:cs="DengXian-Regular" w:asciiTheme="minorEastAsia" w:hAnsiTheme="minorEastAsia" w:eastAsiaTheme="minorEastAsia"/>
                <w:sz w:val="21"/>
                <w:szCs w:val="21"/>
                <w:highlight w:val="yellow"/>
              </w:rPr>
            </w:pPr>
            <w:r>
              <w:rPr>
                <w:rFonts w:hint="eastAsia" w:cs="DengXian-Regular" w:asciiTheme="minorEastAsia" w:hAnsiTheme="minorEastAsia" w:eastAsiaTheme="minorEastAsia"/>
                <w:sz w:val="21"/>
                <w:szCs w:val="21"/>
              </w:rPr>
              <w:t>39.64</w:t>
            </w:r>
          </w:p>
        </w:tc>
      </w:tr>
      <w:bookmarkEnd w:id="47"/>
    </w:tbl>
    <w:p>
      <w:pPr>
        <w:spacing w:after="0" w:line="580" w:lineRule="exact"/>
        <w:ind w:firstLine="640" w:firstLineChars="200"/>
        <w:jc w:val="both"/>
        <w:textAlignment w:val="baseline"/>
        <w:rPr>
          <w:rFonts w:ascii="仿宋_GB2312" w:eastAsia="仿宋_GB2312" w:cs="DengXian-Regular"/>
          <w:sz w:val="32"/>
          <w:szCs w:val="32"/>
        </w:rPr>
      </w:pPr>
      <w:bookmarkStart w:id="48" w:name="_Toc465149514"/>
      <w:bookmarkStart w:id="49" w:name="_Toc464638487"/>
      <w:r>
        <w:rPr>
          <w:rFonts w:hint="eastAsia" w:ascii="仿宋_GB2312" w:eastAsia="仿宋_GB2312" w:cs="DengXian-Regular"/>
          <w:sz w:val="32"/>
          <w:szCs w:val="32"/>
        </w:rPr>
        <w:t>1.预算管理（24分）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（1）预算调整率（4分）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该指标主要评价预算的调整情况，进而衡量预算编制的准确性，通过预算调整率衡量。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预算调整率=（调整预算数-年初预算数）/年初预算数*100%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决算报表，该单位2019年收入预算数为270万元，年终调整为322.07万元，预算调整率为19.29%＞10%，得分=0；2019年支出预算数328万元，年终调整为322.07万元，预算调整率为1.80%，得分=2-1.8*0.2=1.64。</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该项指标实际得分1.64分。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（2）收入完成率（5分）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该指标主要评价单位非税收入的完成情况，用以反映单位预算非税收入的完成程度，通过收入完成率衡量。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收入完成率=（实际收入/预算收入）×100%。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根据县污水处理费征管中心2019年预算报表、收费明细及记账凭证，2019年非税收入预算数2170万元，实际收入数2548.72万元，收入完成率=（2548.72/2170）*100%=117.45%＞95%。</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（3）人员经费控制率（5分）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该指标主要评价人员经费是否得到有效控制，通过人员经费控制率衡量。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人员经费控制率=（人员经费实际支出数/人员经费预算数）*100%。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根据县污水处理费征管中心2019年预算报表、明细账，人员经费年初预算数261万元，实际支出248.72万元，人员经费控制率=（248.72/261）*100%=95.30%≤100%。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（4）公用经费控制率（5分）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该指标主要评价公用经费是否得到有效控制，通过公用经费控制率衡量。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公用经费控制率=（公用经费实际支出数/公用经费预算数）*100%。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根据县污水处理费征管中心2019年预算报表、明细账，公用经费年初预算数67万元，实际支出43.05万元，公用经费控制率=（43.05/67）*100%=64.25%＜100%。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（5）“三公”经费控制率（5分）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该指标主要评价“三公”经费是否得到有效控制，通过“三公”经费控制率来衡量。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“三公”经费控制率=（实际支出数/预算数）*100%。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根据县污水处理费征管中心2019年预算报表、明细账，“三公”经费年初预算数3万元，实际支出0.64万元，“三公”经费控制率=（0.64/3）*100%=21.33%</w:t>
      </w:r>
      <w:r>
        <w:rPr>
          <w:rFonts w:hint="eastAsia" w:ascii="Arial" w:hAnsi="Arial" w:eastAsia="仿宋_GB2312" w:cs="Arial"/>
          <w:sz w:val="32"/>
          <w:szCs w:val="32"/>
        </w:rPr>
        <w:t>＜</w:t>
      </w:r>
      <w:r>
        <w:rPr>
          <w:rFonts w:hint="eastAsia" w:ascii="仿宋_GB2312" w:eastAsia="仿宋_GB2312" w:cs="DengXian-Regular"/>
          <w:sz w:val="32"/>
          <w:szCs w:val="32"/>
        </w:rPr>
        <w:t>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2.资产管理（24分）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（1）管理制度健全性（4分）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该指标主要评价部门是否制定资金管理办法、财务管理制度、会计核算制度等相关内部控制制度，制度执行是否得到有效执行。</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工作制度涵盖了财务制度、考勤制度、收费管理制度、票据管理制度、车辆管理制度、重大事项集体决策制度等相关制度，经检查县污水处理费征管中心付款流程审批单、资产盘点表等资料，县污水处理费征管中心已按照相关管理制度的规定执行。</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该项指标实际得分4分。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（2）资金使用合规性（4分）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该指标主要评价资金使用是否按照相关法律法规和资金管理办法规定的用途使用，财务管理是否符合相关会计准则和财务制度。</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2019年明细账、会计凭证等相关资料，县污水处理费征管中心资金使用符合相关会计准则和财务制度，资金拨付有完备的审批程序和手续，资金使用符合单位预算批复的用途，未发现截留、挤占、挪用财政资金的情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（3）决算真实性（4分）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该指标主要评价决算编制数据是否与账表一致，即决算报表数据与会计账簿数据是否一致。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核查县污水处理费征管中心2019年决算报表数据，支出总额3,220,373.35元与明细账一致，但按支出性质和经济分类的分类支出金额均与明细账、总账不一致。其中：决算报表中人员经费支出2,295,229.77元，明细账人员经费支出</w:t>
      </w:r>
      <w:r>
        <w:rPr>
          <w:rFonts w:ascii="仿宋_GB2312" w:eastAsia="仿宋_GB2312" w:cs="DengXian-Regular"/>
          <w:sz w:val="32"/>
          <w:szCs w:val="32"/>
        </w:rPr>
        <w:t>2</w:t>
      </w:r>
      <w:r>
        <w:rPr>
          <w:rFonts w:hint="eastAsia" w:ascii="仿宋_GB2312" w:eastAsia="仿宋_GB2312" w:cs="DengXian-Regular"/>
          <w:sz w:val="32"/>
          <w:szCs w:val="32"/>
        </w:rPr>
        <w:t>,</w:t>
      </w:r>
      <w:r>
        <w:rPr>
          <w:rFonts w:ascii="仿宋_GB2312" w:eastAsia="仿宋_GB2312" w:cs="DengXian-Regular"/>
          <w:sz w:val="32"/>
          <w:szCs w:val="32"/>
        </w:rPr>
        <w:t>487</w:t>
      </w:r>
      <w:r>
        <w:rPr>
          <w:rFonts w:hint="eastAsia" w:ascii="仿宋_GB2312" w:eastAsia="仿宋_GB2312" w:cs="DengXian-Regular"/>
          <w:sz w:val="32"/>
          <w:szCs w:val="32"/>
        </w:rPr>
        <w:t>,</w:t>
      </w:r>
      <w:r>
        <w:rPr>
          <w:rFonts w:ascii="仿宋_GB2312" w:eastAsia="仿宋_GB2312" w:cs="DengXian-Regular"/>
          <w:sz w:val="32"/>
          <w:szCs w:val="32"/>
        </w:rPr>
        <w:t>169.58</w:t>
      </w:r>
      <w:r>
        <w:rPr>
          <w:rFonts w:hint="eastAsia" w:ascii="仿宋_GB2312" w:eastAsia="仿宋_GB2312" w:cs="DengXian-Regular"/>
          <w:sz w:val="32"/>
          <w:szCs w:val="32"/>
        </w:rPr>
        <w:t>元；决算报表中公用经费支出543,540.39元，明细账公用经费支出430,516.77元；决算报表中污水运输车队经费支出381,603.19元，明细账污水运输车队经费支出</w:t>
      </w:r>
      <w:r>
        <w:rPr>
          <w:rFonts w:ascii="仿宋_GB2312" w:eastAsia="仿宋_GB2312" w:cs="DengXian-Regular"/>
          <w:sz w:val="32"/>
          <w:szCs w:val="32"/>
        </w:rPr>
        <w:t>302,687.00</w:t>
      </w:r>
      <w:r>
        <w:rPr>
          <w:rFonts w:hint="eastAsia" w:ascii="仿宋_GB2312" w:eastAsia="仿宋_GB2312" w:cs="DengXian-Regular"/>
          <w:sz w:val="32"/>
          <w:szCs w:val="32"/>
        </w:rPr>
        <w:t>元；决算报表支出年初预算数为2,700,000.00元，与年初预算表支出数3，280,000.00元不一致。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该指标实际得分0分。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（4）基础信息完善性（4分）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该指标主要评价基础数据信息和财务信息资料是否真实、完整。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根据县污水处理费征管中心提供的会计账簿、凭证及其他相关资料，县污水处理费征管中心会计信息资料真实完整，但县污水处理费征管中心未提供污水处理费征收依据所涉及的污水排放量及企业生产线条数的相关原始资料，部分基础数据信息缺乏完整性。</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该指标实际得分2分。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（5）资产管理规范性（4分）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该指标主要评价资产管理是否规范，是否建立资产台账，新增资产是否符合规定程序和规定标准，资产的配置是否合规，资产保存是否完整。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建立了固定资产台账，资产保存完整，2019年新增固定资产46,164.00元，其中，办公桌椅10,305.00元，电脑、打印机、显示器等17,950.00元，空调、摄像头、蒸箱等其他设备17,909.00元；2019年报废固定资产203,922.00元，资产购置、处置手续完备，资产管理整体较规范。</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该项指标实际得分4分。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（6）固定资产利用率（4分）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该指标主要评价单位固定资产是否均在用，是否存在闲置资产，通过固定资产利用率衡量。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固定资产利用率=（在用固定资产账面价值/全部固定资产账面价值）*100%。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通过查看县污水处理费征管中心固定资产台账及现场抽查，县污水处理费征管中心截至2019年12月31日固定资产账面原值410,720.96元，累计折旧309,137.51元，账面净值101,583.45元，所有固定资产使用状态均在用，固定资产利用率为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该指标实际得分4分。</w:t>
      </w:r>
    </w:p>
    <w:bookmarkEnd w:id="48"/>
    <w:bookmarkEnd w:id="49"/>
    <w:p>
      <w:pPr>
        <w:pStyle w:val="4"/>
        <w:spacing w:before="0" w:after="0" w:line="580" w:lineRule="exact"/>
        <w:ind w:firstLine="643" w:firstLineChars="200"/>
        <w:jc w:val="both"/>
        <w:rPr>
          <w:rFonts w:ascii="楷体_GB2312" w:hAnsi="楷体" w:eastAsia="楷体_GB2312"/>
          <w:sz w:val="32"/>
        </w:rPr>
      </w:pPr>
      <w:bookmarkStart w:id="50" w:name="_Toc12330"/>
      <w:bookmarkStart w:id="51" w:name="_Toc38813018"/>
      <w:r>
        <w:rPr>
          <w:rFonts w:hint="eastAsia" w:ascii="楷体_GB2312" w:hAnsi="楷体" w:eastAsia="楷体_GB2312"/>
          <w:sz w:val="32"/>
        </w:rPr>
        <w:t>（三）产出（20分）</w:t>
      </w:r>
      <w:bookmarkEnd w:id="50"/>
      <w:bookmarkEnd w:id="51"/>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该一级指标包含职责履行一个二级指标，主要反映污水处理费征收率、征收及时性，污水运输车队运输及时性及污水处理费上缴及时性。该一级指标分值20分，得分12.22分。</w:t>
      </w:r>
    </w:p>
    <w:tbl>
      <w:tblPr>
        <w:tblStyle w:val="2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32"/>
        <w:gridCol w:w="1109"/>
        <w:gridCol w:w="2341"/>
        <w:gridCol w:w="1275"/>
        <w:gridCol w:w="1311"/>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232" w:type="dxa"/>
            <w:vAlign w:val="center"/>
          </w:tcPr>
          <w:p>
            <w:pPr>
              <w:tabs>
                <w:tab w:val="left" w:pos="1245"/>
              </w:tabs>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一级指标</w:t>
            </w:r>
          </w:p>
        </w:tc>
        <w:tc>
          <w:tcPr>
            <w:tcW w:w="1109"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二级指标</w:t>
            </w:r>
          </w:p>
        </w:tc>
        <w:tc>
          <w:tcPr>
            <w:tcW w:w="2341"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三级指标</w:t>
            </w:r>
          </w:p>
        </w:tc>
        <w:tc>
          <w:tcPr>
            <w:tcW w:w="1275"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分值权重</w:t>
            </w:r>
          </w:p>
        </w:tc>
        <w:tc>
          <w:tcPr>
            <w:tcW w:w="1311"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得分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232" w:type="dxa"/>
            <w:vMerge w:val="restart"/>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产出</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（20分）</w:t>
            </w:r>
          </w:p>
        </w:tc>
        <w:tc>
          <w:tcPr>
            <w:tcW w:w="1109" w:type="dxa"/>
            <w:vMerge w:val="restart"/>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职责履行</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（20分）</w:t>
            </w:r>
          </w:p>
        </w:tc>
        <w:tc>
          <w:tcPr>
            <w:tcW w:w="234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污水处理费征收率</w:t>
            </w:r>
          </w:p>
        </w:tc>
        <w:tc>
          <w:tcPr>
            <w:tcW w:w="127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31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232"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109"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234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污水运输及时性</w:t>
            </w:r>
          </w:p>
        </w:tc>
        <w:tc>
          <w:tcPr>
            <w:tcW w:w="127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31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2.22</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232"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109"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234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污水处理费征收及时性</w:t>
            </w:r>
          </w:p>
        </w:tc>
        <w:tc>
          <w:tcPr>
            <w:tcW w:w="127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31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232"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109"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234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污水处理费上缴及时性</w:t>
            </w:r>
          </w:p>
        </w:tc>
        <w:tc>
          <w:tcPr>
            <w:tcW w:w="127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31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4682" w:type="dxa"/>
            <w:gridSpan w:val="3"/>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合计</w:t>
            </w:r>
          </w:p>
        </w:tc>
        <w:tc>
          <w:tcPr>
            <w:tcW w:w="127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w:t>
            </w:r>
          </w:p>
        </w:tc>
        <w:tc>
          <w:tcPr>
            <w:tcW w:w="1311"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12.22</w:t>
            </w:r>
          </w:p>
        </w:tc>
      </w:tr>
    </w:tbl>
    <w:p>
      <w:pPr>
        <w:spacing w:after="0" w:line="580" w:lineRule="exact"/>
        <w:ind w:firstLine="640" w:firstLineChars="200"/>
        <w:jc w:val="both"/>
        <w:textAlignment w:val="baseline"/>
        <w:rPr>
          <w:rFonts w:ascii="仿宋_GB2312" w:eastAsia="仿宋_GB2312" w:cs="DengXian-Regular"/>
          <w:sz w:val="32"/>
          <w:szCs w:val="32"/>
        </w:rPr>
      </w:pPr>
      <w:bookmarkStart w:id="52" w:name="_Toc464638518"/>
      <w:bookmarkStart w:id="53" w:name="_Toc465149515"/>
      <w:r>
        <w:rPr>
          <w:rFonts w:hint="eastAsia" w:ascii="仿宋_GB2312" w:eastAsia="仿宋_GB2312" w:cs="DengXian-Regular"/>
          <w:sz w:val="32"/>
          <w:szCs w:val="32"/>
        </w:rPr>
        <w:t>1.污水处理费征收率（5分）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该指标主要评价污水处理费征收情况，是否按应征收数量全部征收，通过实际收数量与应征收数量的比率衡量。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县污水处理费征管中心未提供2019年按产生量征收污水处理费的污水排放量及按生产线条数征收污水处理费的生产线条数等相关数据资料，无法核实2019年应征收污水处理费的数量及生产线条数，该指标暂不给分。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该项指标实际得分0分。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2.污水运输及时性（5分）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该指标主要评价污水运输车队运输各排污企业产生污水的及时性。</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通过现场调查，共收回9份调查问卷，其中5份显示对污水运输及时性的满意度为一般，4份显示对污水运输及时性的满意度为满意，认为污水运输及时的比率为44.44%，得分=5*44.44%=2.22。</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该指标实际得分2.22分。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3.污水处理费征收及时性（5分）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该指标主要评价单位是否按规定时间及时向应缴纳污水处理费的单位和个人及时征收污水处理费。</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了解，县污水处理费征管中心职责范围内的排污企业污水处理费征收采用预交制，当污水排放量超出预交费可排放的污水量时水闸自动关闭，且相关执法部门会对该企业作出停产决定，故污水处理费征收不存在不及时现象。</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4.污水处理费上缴及时性（5分）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该指标主要评价征收的污水处理费是否及时上缴财政。</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经了解，县污水处理费征管中心职责范围内的排污企业缴纳污水处理费时直接通过县行政审批大厅缴纳，污水处理费直接进入财政账户，不通过县污水处理费征管中心账户进行中转，故不存在上缴不及时情况。</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pStyle w:val="4"/>
        <w:spacing w:before="0" w:after="0" w:line="580" w:lineRule="exact"/>
        <w:ind w:firstLine="643" w:firstLineChars="200"/>
        <w:jc w:val="both"/>
        <w:rPr>
          <w:rFonts w:ascii="楷体_GB2312" w:hAnsi="楷体" w:eastAsia="楷体_GB2312"/>
          <w:sz w:val="32"/>
        </w:rPr>
      </w:pPr>
      <w:bookmarkStart w:id="54" w:name="_Toc38813019"/>
      <w:bookmarkStart w:id="55" w:name="_Toc28363"/>
      <w:r>
        <w:rPr>
          <w:rFonts w:hint="eastAsia" w:ascii="楷体_GB2312" w:hAnsi="楷体" w:eastAsia="楷体_GB2312"/>
          <w:sz w:val="32"/>
        </w:rPr>
        <w:t>（四）效果</w:t>
      </w:r>
      <w:bookmarkEnd w:id="52"/>
      <w:bookmarkEnd w:id="53"/>
      <w:r>
        <w:rPr>
          <w:rFonts w:hint="eastAsia" w:ascii="楷体_GB2312" w:hAnsi="楷体" w:eastAsia="楷体_GB2312"/>
          <w:sz w:val="32"/>
        </w:rPr>
        <w:t>（20分）</w:t>
      </w:r>
      <w:bookmarkEnd w:id="54"/>
      <w:bookmarkEnd w:id="55"/>
    </w:p>
    <w:p>
      <w:pPr>
        <w:spacing w:after="0" w:line="580" w:lineRule="exact"/>
        <w:ind w:firstLine="640" w:firstLineChars="200"/>
        <w:jc w:val="both"/>
        <w:textAlignment w:val="baseline"/>
        <w:rPr>
          <w:rFonts w:ascii="仿宋_GB2312" w:eastAsia="仿宋_GB2312" w:cs="DengXian-Regular"/>
          <w:sz w:val="32"/>
          <w:szCs w:val="32"/>
        </w:rPr>
      </w:pPr>
      <w:bookmarkStart w:id="56" w:name="_Toc464638520"/>
      <w:r>
        <w:rPr>
          <w:rFonts w:hint="eastAsia" w:ascii="仿宋_GB2312" w:eastAsia="仿宋_GB2312" w:cs="DengXian-Regular"/>
          <w:sz w:val="32"/>
          <w:szCs w:val="32"/>
        </w:rPr>
        <w:t>该一级指标包含经济效益、社会效益、满意度三个二级指标。主要反映单位履行职责对经济、社会发展所带来的直接或间接效益及单位的服务对象对单位履职效果的满意程度。该一级指标分值20分，得分18.79分。</w:t>
      </w:r>
    </w:p>
    <w:tbl>
      <w:tblPr>
        <w:tblStyle w:val="25"/>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705"/>
        <w:gridCol w:w="1705"/>
        <w:gridCol w:w="1706"/>
        <w:gridCol w:w="1706"/>
        <w:gridCol w:w="1706"/>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Align w:val="center"/>
          </w:tcPr>
          <w:p>
            <w:pPr>
              <w:tabs>
                <w:tab w:val="left" w:pos="1245"/>
              </w:tabs>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一级指标</w:t>
            </w:r>
          </w:p>
        </w:tc>
        <w:tc>
          <w:tcPr>
            <w:tcW w:w="1705"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二级指标</w:t>
            </w:r>
          </w:p>
        </w:tc>
        <w:tc>
          <w:tcPr>
            <w:tcW w:w="1706"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三级指标</w:t>
            </w:r>
          </w:p>
        </w:tc>
        <w:tc>
          <w:tcPr>
            <w:tcW w:w="1706"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分值权重</w:t>
            </w:r>
          </w:p>
        </w:tc>
        <w:tc>
          <w:tcPr>
            <w:tcW w:w="1706" w:type="dxa"/>
            <w:vAlign w:val="center"/>
          </w:tcPr>
          <w:p>
            <w:pPr>
              <w:spacing w:after="0"/>
              <w:jc w:val="center"/>
              <w:textAlignment w:val="baseline"/>
              <w:rPr>
                <w:rFonts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得分</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restart"/>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效果</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（20分）</w:t>
            </w:r>
          </w:p>
        </w:tc>
        <w:tc>
          <w:tcPr>
            <w:tcW w:w="170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经济效益</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（5分）</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污水处理费征收增长率</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454" w:hRule="atLeast"/>
          <w:jc w:val="center"/>
        </w:trPr>
        <w:tc>
          <w:tcPr>
            <w:tcW w:w="1705"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705" w:type="dxa"/>
            <w:vMerge w:val="restart"/>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社会效益</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（10分）</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污水征收点地域覆盖率</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705"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污水运输辐射率</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1705" w:type="dxa"/>
            <w:vMerge w:val="continue"/>
            <w:vAlign w:val="center"/>
          </w:tcPr>
          <w:p>
            <w:pPr>
              <w:spacing w:after="0"/>
              <w:jc w:val="center"/>
              <w:textAlignment w:val="baseline"/>
              <w:rPr>
                <w:rFonts w:asciiTheme="minorEastAsia" w:hAnsiTheme="minorEastAsia" w:eastAsiaTheme="minorEastAsia" w:cstheme="minorEastAsia"/>
                <w:bCs/>
                <w:sz w:val="21"/>
                <w:szCs w:val="21"/>
              </w:rPr>
            </w:pPr>
          </w:p>
        </w:tc>
        <w:tc>
          <w:tcPr>
            <w:tcW w:w="1705"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满意度</w:t>
            </w:r>
          </w:p>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（5分）</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污水运输车队服务企业满意度</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5</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3.79</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4" w:hRule="atLeast"/>
          <w:jc w:val="center"/>
        </w:trPr>
        <w:tc>
          <w:tcPr>
            <w:tcW w:w="5116" w:type="dxa"/>
            <w:gridSpan w:val="3"/>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合计</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20</w:t>
            </w:r>
          </w:p>
        </w:tc>
        <w:tc>
          <w:tcPr>
            <w:tcW w:w="1706" w:type="dxa"/>
            <w:vAlign w:val="center"/>
          </w:tcPr>
          <w:p>
            <w:pPr>
              <w:spacing w:after="0"/>
              <w:jc w:val="center"/>
              <w:textAlignment w:val="baseline"/>
              <w:rPr>
                <w:rFonts w:asciiTheme="minorEastAsia" w:hAnsiTheme="minorEastAsia" w:eastAsiaTheme="minorEastAsia" w:cstheme="minorEastAsia"/>
                <w:bCs/>
                <w:sz w:val="21"/>
                <w:szCs w:val="21"/>
              </w:rPr>
            </w:pPr>
            <w:r>
              <w:rPr>
                <w:rFonts w:hint="eastAsia" w:asciiTheme="minorEastAsia" w:hAnsiTheme="minorEastAsia" w:eastAsiaTheme="minorEastAsia" w:cstheme="minorEastAsia"/>
                <w:bCs/>
                <w:sz w:val="21"/>
                <w:szCs w:val="21"/>
              </w:rPr>
              <w:t>18.79</w:t>
            </w:r>
          </w:p>
        </w:tc>
      </w:tr>
      <w:bookmarkEnd w:id="56"/>
    </w:tbl>
    <w:p>
      <w:pPr>
        <w:spacing w:after="0" w:line="580" w:lineRule="exact"/>
        <w:ind w:firstLine="640" w:firstLineChars="200"/>
        <w:jc w:val="both"/>
        <w:textAlignment w:val="baseline"/>
        <w:rPr>
          <w:rFonts w:ascii="仿宋_GB2312" w:eastAsia="仿宋_GB2312" w:cs="DengXian-Regular"/>
          <w:sz w:val="32"/>
          <w:szCs w:val="32"/>
        </w:rPr>
      </w:pPr>
      <w:bookmarkStart w:id="57" w:name="_Toc465149516"/>
      <w:bookmarkStart w:id="58" w:name="_Toc492652784"/>
      <w:bookmarkStart w:id="59" w:name="_Toc464638561"/>
      <w:r>
        <w:rPr>
          <w:rFonts w:hint="eastAsia" w:ascii="仿宋_GB2312" w:eastAsia="仿宋_GB2312" w:cs="DengXian-Regular"/>
          <w:sz w:val="32"/>
          <w:szCs w:val="32"/>
        </w:rPr>
        <w:t>1.经济效益（5分）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（1）污水处理费征收增长率（5分）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该指标主要评价污水处理费征收金额较去年污水征收金额的增长情况，通过污水处理费征收增长率衡量。</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污水处理费征收增长率=[（2019年污水处理费征收金额-2018年污水处理费征收金额）/2018污水处理费征收金额]*100%。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通过查看2018年、2019年各中队收费任务进度表，2018年污水处理费及罚款征收金额2370.46万元，2019年污水处理费及罚款征收金额2548.72万元，污水处理费征收增长率=[（2548.72-2370.46）/2370.46]*100%=7.52%＞0。</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该项指标实际得分5分。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2.社会效益（10分）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（1）污水征收点地域覆盖率（5分）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该指标主要评价污水征收点位覆盖区域是否辐射单位职责范围内产生污水的所有企业。</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了解，县污水处理费征管中心分四个中队、稽查科、管理科负责职责范围内产生污水企业污水处理费的征收工作，且排污企业需要每年和县污水处理费征管中心签订《污水委托处置协议》，未签订协议的企业不允许进行生产，故不存在未辐射到的职责范围内产生污水的企业。</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（2）污水运输辐射率（5分）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该指标主要评价污水运输车队辐射企业是否辐射单位职责范围内无污水管网的所有排污企业。</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经了解，无污水管网的排污企业产生污水需要运输时通过打电话的方式通知污水运输车队，由车队负责人安排车辆进行运输，辐射了县污水处理费征管中心职责范围内无污水管网的所有排污企业。</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该指标实际得分5分。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3.满意度（5分）</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（1）污水运输车队服务企业满意度</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该指标主要评价污水运输车队的服务对象对污水运输车队的运输服务的满意程度。</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针对该指标，我们随机选取了9个调查对象进行了问卷调查，具体调查情况如下：</w:t>
      </w:r>
    </w:p>
    <w:p>
      <w:pPr>
        <w:spacing w:after="0" w:line="580" w:lineRule="exact"/>
        <w:jc w:val="center"/>
        <w:textAlignment w:val="baseline"/>
        <w:rPr>
          <w:rFonts w:asciiTheme="minorEastAsia" w:hAnsiTheme="minorEastAsia" w:eastAsiaTheme="minorEastAsia" w:cstheme="minorEastAsia"/>
          <w:b/>
          <w:bCs/>
          <w:sz w:val="32"/>
          <w:szCs w:val="32"/>
          <w:u w:color="000000"/>
        </w:rPr>
      </w:pPr>
      <w:r>
        <w:rPr>
          <w:rFonts w:hint="eastAsia" w:asciiTheme="minorEastAsia" w:hAnsiTheme="minorEastAsia" w:eastAsiaTheme="minorEastAsia" w:cstheme="minorEastAsia"/>
          <w:b/>
          <w:bCs/>
          <w:sz w:val="32"/>
          <w:szCs w:val="32"/>
          <w:u w:color="000000"/>
        </w:rPr>
        <w:t>服务对象满意度调查问卷汇总表</w:t>
      </w:r>
    </w:p>
    <w:p>
      <w:pPr>
        <w:spacing w:after="0" w:line="580" w:lineRule="exact"/>
        <w:ind w:firstLine="6930" w:firstLineChars="3300"/>
        <w:jc w:val="both"/>
        <w:textAlignment w:val="baseline"/>
        <w:rPr>
          <w:rFonts w:ascii="仿宋_GB2312" w:eastAsia="仿宋_GB2312" w:cs="Times New Roman" w:hAnsiTheme="minorEastAsia"/>
          <w:sz w:val="32"/>
          <w:szCs w:val="32"/>
          <w:u w:color="000000"/>
        </w:rPr>
      </w:pPr>
      <w:r>
        <w:rPr>
          <w:rFonts w:hint="eastAsia" w:asciiTheme="minorEastAsia" w:hAnsiTheme="minorEastAsia" w:eastAsiaTheme="minorEastAsia" w:cstheme="minorEastAsia"/>
          <w:sz w:val="21"/>
          <w:szCs w:val="21"/>
          <w:u w:color="000000"/>
        </w:rPr>
        <w:t>单位：人次</w:t>
      </w:r>
    </w:p>
    <w:tbl>
      <w:tblPr>
        <w:tblStyle w:val="24"/>
        <w:tblW w:w="7948" w:type="dxa"/>
        <w:jc w:val="center"/>
        <w:tblLayout w:type="fixed"/>
        <w:tblCellMar>
          <w:top w:w="15" w:type="dxa"/>
          <w:left w:w="15" w:type="dxa"/>
          <w:bottom w:w="15" w:type="dxa"/>
          <w:right w:w="15" w:type="dxa"/>
        </w:tblCellMar>
      </w:tblPr>
      <w:tblGrid>
        <w:gridCol w:w="2834"/>
        <w:gridCol w:w="1095"/>
        <w:gridCol w:w="1134"/>
        <w:gridCol w:w="992"/>
        <w:gridCol w:w="993"/>
        <w:gridCol w:w="900"/>
      </w:tblGrid>
      <w:tr>
        <w:tblPrEx>
          <w:tblCellMar>
            <w:top w:w="15" w:type="dxa"/>
            <w:left w:w="15" w:type="dxa"/>
            <w:bottom w:w="15" w:type="dxa"/>
            <w:right w:w="15" w:type="dxa"/>
          </w:tblCellMar>
        </w:tblPrEx>
        <w:trPr>
          <w:trHeight w:val="525" w:hRule="atLeast"/>
          <w:jc w:val="center"/>
        </w:trPr>
        <w:tc>
          <w:tcPr>
            <w:tcW w:w="2834"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调查项目</w:t>
            </w:r>
          </w:p>
        </w:tc>
        <w:tc>
          <w:tcPr>
            <w:tcW w:w="1095"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满意</w:t>
            </w:r>
          </w:p>
        </w:tc>
        <w:tc>
          <w:tcPr>
            <w:tcW w:w="1134"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一般</w:t>
            </w:r>
          </w:p>
        </w:tc>
        <w:tc>
          <w:tcPr>
            <w:tcW w:w="992"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不满意</w:t>
            </w:r>
          </w:p>
        </w:tc>
        <w:tc>
          <w:tcPr>
            <w:tcW w:w="993"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合计</w:t>
            </w:r>
          </w:p>
        </w:tc>
        <w:tc>
          <w:tcPr>
            <w:tcW w:w="900" w:type="dxa"/>
            <w:tcBorders>
              <w:top w:val="single" w:color="auto" w:sz="4" w:space="0"/>
              <w:left w:val="single" w:color="auto" w:sz="4" w:space="0"/>
              <w:bottom w:val="single" w:color="auto" w:sz="4" w:space="0"/>
              <w:right w:val="single" w:color="auto" w:sz="4" w:space="0"/>
            </w:tcBorders>
            <w:vAlign w:val="center"/>
          </w:tcPr>
          <w:p>
            <w:pPr>
              <w:spacing w:after="0" w:line="580" w:lineRule="exact"/>
              <w:jc w:val="center"/>
              <w:textAlignment w:val="baseline"/>
              <w:rPr>
                <w:rFonts w:cs="Times New Roman" w:asciiTheme="minorEastAsia" w:hAnsiTheme="minorEastAsia" w:eastAsiaTheme="minorEastAsia"/>
                <w:b/>
                <w:bCs/>
                <w:sz w:val="21"/>
                <w:szCs w:val="21"/>
                <w:u w:color="000000"/>
              </w:rPr>
            </w:pPr>
            <w:r>
              <w:rPr>
                <w:rFonts w:hint="eastAsia" w:cs="Times New Roman" w:asciiTheme="minorEastAsia" w:hAnsiTheme="minorEastAsia" w:eastAsiaTheme="minorEastAsia"/>
                <w:b/>
                <w:bCs/>
                <w:sz w:val="21"/>
                <w:szCs w:val="21"/>
                <w:u w:color="000000"/>
              </w:rPr>
              <w:t>单项得分</w:t>
            </w:r>
          </w:p>
        </w:tc>
      </w:tr>
      <w:tr>
        <w:tblPrEx>
          <w:tblCellMar>
            <w:top w:w="15" w:type="dxa"/>
            <w:left w:w="15" w:type="dxa"/>
            <w:bottom w:w="15" w:type="dxa"/>
            <w:right w:w="15" w:type="dxa"/>
          </w:tblCellMar>
        </w:tblPrEx>
        <w:trPr>
          <w:trHeight w:val="590" w:hRule="atLeast"/>
          <w:jc w:val="center"/>
        </w:trPr>
        <w:tc>
          <w:tcPr>
            <w:tcW w:w="2834" w:type="dxa"/>
            <w:tcBorders>
              <w:top w:val="single" w:color="000000" w:sz="4" w:space="0"/>
              <w:left w:val="single" w:color="000000" w:sz="4" w:space="0"/>
              <w:bottom w:val="single" w:color="000000" w:sz="4" w:space="0"/>
              <w:right w:val="single" w:color="000000" w:sz="4" w:space="0"/>
            </w:tcBorders>
            <w:vAlign w:val="center"/>
          </w:tcPr>
          <w:p>
            <w:pPr>
              <w:spacing w:after="0"/>
              <w:jc w:val="both"/>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您对污水运输车队服务的及时性是否满意</w:t>
            </w:r>
          </w:p>
        </w:tc>
        <w:tc>
          <w:tcPr>
            <w:tcW w:w="1095"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4</w:t>
            </w:r>
          </w:p>
        </w:tc>
        <w:tc>
          <w:tcPr>
            <w:tcW w:w="1134"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cs="Times New Roman" w:asciiTheme="minorEastAsia" w:hAnsiTheme="minorEastAsia" w:eastAsiaTheme="minorEastAsia"/>
                <w:sz w:val="21"/>
                <w:szCs w:val="21"/>
                <w:u w:color="000000"/>
              </w:rPr>
              <w:t>5</w:t>
            </w:r>
          </w:p>
        </w:tc>
        <w:tc>
          <w:tcPr>
            <w:tcW w:w="992"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cs="Times New Roman" w:asciiTheme="minorEastAsia" w:hAnsiTheme="minorEastAsia" w:eastAsiaTheme="minorEastAsia"/>
                <w:sz w:val="21"/>
                <w:szCs w:val="21"/>
                <w:u w:color="000000"/>
              </w:rPr>
              <w:t>0</w:t>
            </w:r>
          </w:p>
        </w:tc>
        <w:tc>
          <w:tcPr>
            <w:tcW w:w="993"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9</w:t>
            </w:r>
          </w:p>
        </w:tc>
        <w:tc>
          <w:tcPr>
            <w:tcW w:w="900"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77.78</w:t>
            </w:r>
          </w:p>
        </w:tc>
      </w:tr>
      <w:tr>
        <w:tblPrEx>
          <w:tblCellMar>
            <w:top w:w="15" w:type="dxa"/>
            <w:left w:w="15" w:type="dxa"/>
            <w:bottom w:w="15" w:type="dxa"/>
            <w:right w:w="15" w:type="dxa"/>
          </w:tblCellMar>
        </w:tblPrEx>
        <w:trPr>
          <w:trHeight w:val="510" w:hRule="atLeast"/>
          <w:jc w:val="center"/>
        </w:trPr>
        <w:tc>
          <w:tcPr>
            <w:tcW w:w="2834" w:type="dxa"/>
            <w:tcBorders>
              <w:top w:val="single" w:color="000000" w:sz="4" w:space="0"/>
              <w:left w:val="single" w:color="000000" w:sz="4" w:space="0"/>
              <w:bottom w:val="single" w:color="000000" w:sz="4" w:space="0"/>
              <w:right w:val="single" w:color="000000" w:sz="4" w:space="0"/>
            </w:tcBorders>
            <w:vAlign w:val="center"/>
          </w:tcPr>
          <w:p>
            <w:pPr>
              <w:spacing w:after="0"/>
              <w:jc w:val="both"/>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您对污水运输车队服务的效率性是否满意</w:t>
            </w:r>
          </w:p>
        </w:tc>
        <w:tc>
          <w:tcPr>
            <w:tcW w:w="1095"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9</w:t>
            </w:r>
          </w:p>
        </w:tc>
        <w:tc>
          <w:tcPr>
            <w:tcW w:w="1134"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c>
          <w:tcPr>
            <w:tcW w:w="992"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cs="Times New Roman" w:asciiTheme="minorEastAsia" w:hAnsiTheme="minorEastAsia" w:eastAsiaTheme="minorEastAsia"/>
                <w:sz w:val="21"/>
                <w:szCs w:val="21"/>
                <w:u w:color="000000"/>
              </w:rPr>
              <w:t>0</w:t>
            </w:r>
          </w:p>
        </w:tc>
        <w:tc>
          <w:tcPr>
            <w:tcW w:w="993"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9</w:t>
            </w:r>
          </w:p>
        </w:tc>
        <w:tc>
          <w:tcPr>
            <w:tcW w:w="900"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100</w:t>
            </w:r>
          </w:p>
        </w:tc>
      </w:tr>
      <w:tr>
        <w:tblPrEx>
          <w:tblCellMar>
            <w:top w:w="15" w:type="dxa"/>
            <w:left w:w="15" w:type="dxa"/>
            <w:bottom w:w="15" w:type="dxa"/>
            <w:right w:w="15" w:type="dxa"/>
          </w:tblCellMar>
        </w:tblPrEx>
        <w:trPr>
          <w:trHeight w:val="585" w:hRule="atLeast"/>
          <w:jc w:val="center"/>
        </w:trPr>
        <w:tc>
          <w:tcPr>
            <w:tcW w:w="2834" w:type="dxa"/>
            <w:tcBorders>
              <w:top w:val="single" w:color="000000" w:sz="4" w:space="0"/>
              <w:left w:val="single" w:color="000000" w:sz="4" w:space="0"/>
              <w:bottom w:val="single" w:color="000000" w:sz="4" w:space="0"/>
              <w:right w:val="single" w:color="000000" w:sz="4" w:space="0"/>
            </w:tcBorders>
            <w:vAlign w:val="center"/>
          </w:tcPr>
          <w:p>
            <w:pPr>
              <w:spacing w:after="0"/>
              <w:jc w:val="both"/>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您对污水运输车队服务态度及工作是否满意</w:t>
            </w:r>
          </w:p>
        </w:tc>
        <w:tc>
          <w:tcPr>
            <w:tcW w:w="1095"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9</w:t>
            </w:r>
          </w:p>
        </w:tc>
        <w:tc>
          <w:tcPr>
            <w:tcW w:w="1134"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0</w:t>
            </w:r>
          </w:p>
        </w:tc>
        <w:tc>
          <w:tcPr>
            <w:tcW w:w="992"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cs="Times New Roman" w:asciiTheme="minorEastAsia" w:hAnsiTheme="minorEastAsia" w:eastAsiaTheme="minorEastAsia"/>
                <w:sz w:val="21"/>
                <w:szCs w:val="21"/>
                <w:u w:color="000000"/>
              </w:rPr>
              <w:t>0</w:t>
            </w:r>
          </w:p>
        </w:tc>
        <w:tc>
          <w:tcPr>
            <w:tcW w:w="993"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9</w:t>
            </w:r>
          </w:p>
        </w:tc>
        <w:tc>
          <w:tcPr>
            <w:tcW w:w="900" w:type="dxa"/>
            <w:tcBorders>
              <w:top w:val="single" w:color="000000" w:sz="4" w:space="0"/>
              <w:left w:val="single" w:color="000000" w:sz="4" w:space="0"/>
              <w:bottom w:val="single" w:color="000000" w:sz="4" w:space="0"/>
              <w:right w:val="single" w:color="000000" w:sz="4" w:space="0"/>
            </w:tcBorders>
            <w:vAlign w:val="center"/>
          </w:tcPr>
          <w:p>
            <w:pPr>
              <w:spacing w:after="0"/>
              <w:jc w:val="center"/>
              <w:textAlignment w:val="baseline"/>
              <w:rPr>
                <w:rFonts w:cs="Times New Roman" w:asciiTheme="minorEastAsia" w:hAnsiTheme="minorEastAsia" w:eastAsiaTheme="minorEastAsia"/>
                <w:sz w:val="21"/>
                <w:szCs w:val="21"/>
                <w:u w:color="000000"/>
              </w:rPr>
            </w:pPr>
            <w:r>
              <w:rPr>
                <w:rFonts w:hint="eastAsia" w:cs="Times New Roman" w:asciiTheme="minorEastAsia" w:hAnsiTheme="minorEastAsia" w:eastAsiaTheme="minorEastAsia"/>
                <w:sz w:val="21"/>
                <w:szCs w:val="21"/>
                <w:u w:color="000000"/>
              </w:rPr>
              <w:t>100</w:t>
            </w:r>
          </w:p>
        </w:tc>
      </w:tr>
    </w:tbl>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调查问卷共分为3个单项，每个单项满分为100分。其中：每一单项满分为100分：满意为100分，一般为60分，不满意为0分。</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单项满意度得分=总分数/总人数</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总体满意度得分=∑1/3各单项满意度得分</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经计算，总体得分为92.59分，满意度为92.59%，得分=5-（95%-92.59%）*0.5=3.79。</w:t>
      </w:r>
    </w:p>
    <w:p>
      <w:pPr>
        <w:spacing w:after="0" w:line="580" w:lineRule="exact"/>
        <w:ind w:firstLine="640" w:firstLineChars="200"/>
        <w:jc w:val="both"/>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该指标实际得分3.79分。</w:t>
      </w:r>
    </w:p>
    <w:p>
      <w:pPr>
        <w:pStyle w:val="3"/>
        <w:keepNext w:val="0"/>
        <w:keepLines w:val="0"/>
        <w:suppressLineNumbers/>
        <w:spacing w:before="0" w:after="0" w:line="580" w:lineRule="exact"/>
        <w:ind w:firstLine="643" w:firstLineChars="200"/>
        <w:rPr>
          <w:rFonts w:ascii="黑体"/>
        </w:rPr>
      </w:pPr>
      <w:bookmarkStart w:id="60" w:name="_Toc13757"/>
      <w:bookmarkStart w:id="61" w:name="_Toc38813020"/>
      <w:r>
        <w:rPr>
          <w:rFonts w:hint="eastAsia" w:ascii="黑体"/>
        </w:rPr>
        <w:t>五、绩效评价发现的问题</w:t>
      </w:r>
      <w:bookmarkEnd w:id="57"/>
      <w:bookmarkEnd w:id="58"/>
      <w:bookmarkEnd w:id="59"/>
      <w:bookmarkEnd w:id="60"/>
      <w:bookmarkEnd w:id="61"/>
      <w:bookmarkStart w:id="62" w:name="_Toc492652789"/>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通过对各指标得分及扣分原因的分析，发现县污水处理费征管中心2019年单位管理过程中的一些不足之处，具体情况如下：</w:t>
      </w:r>
      <w:bookmarkStart w:id="63" w:name="_Toc20723"/>
    </w:p>
    <w:p>
      <w:pPr>
        <w:pStyle w:val="4"/>
        <w:spacing w:before="0" w:after="0" w:line="580" w:lineRule="exact"/>
        <w:ind w:firstLine="643" w:firstLineChars="200"/>
        <w:jc w:val="both"/>
        <w:rPr>
          <w:rFonts w:ascii="楷体_GB2312" w:hAnsi="楷体" w:eastAsia="楷体_GB2312"/>
          <w:sz w:val="32"/>
        </w:rPr>
      </w:pPr>
      <w:bookmarkStart w:id="64" w:name="_Toc38813021"/>
      <w:r>
        <w:rPr>
          <w:rFonts w:hint="eastAsia" w:ascii="楷体_GB2312" w:hAnsi="楷体" w:eastAsia="楷体_GB2312"/>
          <w:sz w:val="32"/>
        </w:rPr>
        <w:t>（一）预算管理方面</w:t>
      </w:r>
      <w:bookmarkEnd w:id="64"/>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 xml:space="preserve"> 1.未设定绩效目标及绩效指标</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县污水处理费征管中心2019年未设置与单位职责和工作活动相关的绩效目标及可评价、可衡量的绩效指标，不利于对单位工作活动及预算项目的产出及效果实际完成情况进行考核。</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2.预算编制不完整</w:t>
      </w:r>
    </w:p>
    <w:p>
      <w:pPr>
        <w:spacing w:after="0" w:line="580" w:lineRule="exact"/>
        <w:ind w:firstLine="640" w:firstLineChars="200"/>
        <w:rPr>
          <w:rFonts w:ascii="仿宋_GB2312" w:eastAsia="仿宋_GB2312" w:cs="DengXian-Regular"/>
          <w:sz w:val="32"/>
          <w:szCs w:val="32"/>
        </w:rPr>
      </w:pPr>
      <w:r>
        <w:rPr>
          <w:rFonts w:hint="eastAsia" w:ascii="仿宋_GB2312" w:eastAsia="仿宋_GB2312" w:cs="Times New Roman" w:hAnsiTheme="minorEastAsia"/>
          <w:sz w:val="32"/>
          <w:szCs w:val="32"/>
          <w:u w:color="000000"/>
        </w:rPr>
        <w:t>县污水处理费征管中心2019年预算报表中预算收入270万元，</w:t>
      </w:r>
      <w:r>
        <w:rPr>
          <w:rFonts w:hint="eastAsia" w:ascii="仿宋_GB2312" w:eastAsia="仿宋_GB2312" w:cs="DengXian-Regular"/>
          <w:sz w:val="32"/>
          <w:szCs w:val="32"/>
        </w:rPr>
        <w:t>预算收入只包含县财政按规定比例划拨的业务分成收入，未包含财政补助收入，预算收入编制不完整。</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3.预算调整较大</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Times New Roman" w:hAnsiTheme="minorEastAsia"/>
          <w:sz w:val="32"/>
          <w:szCs w:val="32"/>
          <w:u w:color="000000"/>
        </w:rPr>
        <w:t>县污水处理费征管中心2019年</w:t>
      </w:r>
      <w:bookmarkStart w:id="65" w:name="_Toc38813022"/>
      <w:r>
        <w:rPr>
          <w:rFonts w:hint="eastAsia" w:ascii="仿宋_GB2312" w:eastAsia="仿宋_GB2312" w:cs="DengXian-Regular"/>
          <w:sz w:val="32"/>
          <w:szCs w:val="32"/>
        </w:rPr>
        <w:t>收入预算数为270万元，年终调整为322.07万元，预算调整率为19.29%;2019年支出预算数328万元，年终调整为322.07万元，预算调整率为1.80%,预算调整较大。</w:t>
      </w:r>
    </w:p>
    <w:p>
      <w:pPr>
        <w:spacing w:after="0" w:line="580" w:lineRule="exact"/>
        <w:ind w:firstLine="640" w:firstLineChars="200"/>
        <w:jc w:val="both"/>
        <w:textAlignment w:val="baseline"/>
        <w:rPr>
          <w:rFonts w:ascii="楷体_GB2312" w:hAnsi="楷体" w:eastAsia="楷体_GB2312"/>
          <w:sz w:val="32"/>
        </w:rPr>
      </w:pPr>
      <w:r>
        <w:rPr>
          <w:rFonts w:hint="eastAsia" w:ascii="楷体_GB2312" w:hAnsi="楷体" w:eastAsia="楷体_GB2312"/>
          <w:sz w:val="32"/>
        </w:rPr>
        <w:t>（二）预算执行方面</w:t>
      </w:r>
      <w:bookmarkEnd w:id="65"/>
      <w:r>
        <w:rPr>
          <w:rFonts w:ascii="楷体_GB2312" w:hAnsi="楷体" w:eastAsia="楷体_GB2312"/>
          <w:sz w:val="32"/>
        </w:rPr>
        <w:t xml:space="preserve"> </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决算报表数不实，与账面金额不一致。</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县污水处理费征管中心2019年决算报表中 “基本支出-人员经费”、“基本支出-日常公用经费”、“项目支出”、“工资福利支出”、“商品和服务支出”金额均与账面金额不一致，且决算报表“基本支出”年初预算数与年初预算报表数不一致。</w:t>
      </w:r>
    </w:p>
    <w:p>
      <w:pPr>
        <w:pStyle w:val="4"/>
        <w:spacing w:before="0" w:after="0" w:line="580" w:lineRule="exact"/>
        <w:ind w:firstLine="643" w:firstLineChars="200"/>
        <w:jc w:val="both"/>
        <w:rPr>
          <w:rFonts w:ascii="楷体_GB2312" w:hAnsi="楷体" w:eastAsia="楷体_GB2312"/>
          <w:sz w:val="32"/>
        </w:rPr>
      </w:pPr>
      <w:bookmarkStart w:id="66" w:name="_Toc38813023"/>
      <w:r>
        <w:rPr>
          <w:rFonts w:hint="eastAsia" w:ascii="楷体_GB2312" w:hAnsi="楷体" w:eastAsia="楷体_GB2312"/>
          <w:sz w:val="32"/>
        </w:rPr>
        <w:t>（三）工作活动方面</w:t>
      </w:r>
      <w:bookmarkEnd w:id="66"/>
    </w:p>
    <w:p>
      <w:pPr>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基础数据信息不完整，未能进行闭环考核，履职行为作用不明显。在评价工作中，县污水处理费征管中心未提供2019年的污水排放量及按生产线条数征收污水处理费企业的生产线条数，基础数据不完整。评价人员无法核算2019年实际应征收污水处理费金额，仅通过实际征收污水处理费金额无法考核县污水处理费征管中心收入完整性，未能对应征金额、已征金额、欠缴金额进行全面考核，对工作的闭环考核缺乏依据，导致履职行为作用不明显。</w:t>
      </w:r>
    </w:p>
    <w:p>
      <w:pPr>
        <w:pStyle w:val="4"/>
        <w:spacing w:before="0" w:after="0" w:line="580" w:lineRule="exact"/>
        <w:ind w:firstLine="643" w:firstLineChars="200"/>
        <w:jc w:val="both"/>
        <w:rPr>
          <w:rFonts w:ascii="楷体_GB2312" w:hAnsi="楷体" w:eastAsia="楷体_GB2312"/>
          <w:sz w:val="32"/>
        </w:rPr>
      </w:pPr>
      <w:bookmarkStart w:id="67" w:name="_Toc38813024"/>
      <w:r>
        <w:rPr>
          <w:rFonts w:hint="eastAsia" w:ascii="楷体_GB2312" w:hAnsi="楷体" w:eastAsia="楷体_GB2312"/>
          <w:sz w:val="32"/>
        </w:rPr>
        <w:t>（四）产出效益方面</w:t>
      </w:r>
      <w:bookmarkEnd w:id="67"/>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现场评价中，有些企业反映污水运输不够及时。评价通过调查问卷调查，收回的9份调查问卷中5份显示对污水运输及时性的满意度为一般，4份显示对污水运输及时性的满意度为满意，一半以上企业对污水运输的及时性不太满意。</w:t>
      </w:r>
    </w:p>
    <w:p>
      <w:pPr>
        <w:pStyle w:val="3"/>
        <w:keepNext w:val="0"/>
        <w:keepLines w:val="0"/>
        <w:suppressLineNumbers/>
        <w:spacing w:before="0" w:after="0" w:line="580" w:lineRule="exact"/>
        <w:ind w:firstLine="643" w:firstLineChars="200"/>
        <w:rPr>
          <w:rFonts w:ascii="黑体"/>
        </w:rPr>
      </w:pPr>
      <w:bookmarkStart w:id="68" w:name="_Toc38813025"/>
      <w:r>
        <w:rPr>
          <w:rFonts w:hint="eastAsia" w:ascii="黑体"/>
        </w:rPr>
        <w:t>六、绩效评价意见及建议</w:t>
      </w:r>
      <w:bookmarkEnd w:id="63"/>
      <w:bookmarkEnd w:id="68"/>
    </w:p>
    <w:bookmarkEnd w:id="62"/>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bookmarkStart w:id="69" w:name="_Toc465149521"/>
      <w:r>
        <w:rPr>
          <w:rFonts w:hint="eastAsia" w:ascii="仿宋_GB2312" w:eastAsia="仿宋_GB2312" w:cs="Times New Roman" w:hAnsiTheme="minorEastAsia"/>
          <w:sz w:val="32"/>
          <w:szCs w:val="32"/>
          <w:u w:color="000000"/>
        </w:rPr>
        <w:t>针对此次绩效评价过程中发现的问题，我们建议：</w:t>
      </w:r>
    </w:p>
    <w:p>
      <w:pPr>
        <w:pStyle w:val="4"/>
        <w:spacing w:before="0" w:after="0" w:line="580" w:lineRule="exact"/>
        <w:ind w:firstLine="643" w:firstLineChars="200"/>
        <w:jc w:val="both"/>
        <w:rPr>
          <w:rFonts w:ascii="楷体_GB2312" w:hAnsi="楷体" w:eastAsia="楷体_GB2312"/>
          <w:sz w:val="32"/>
        </w:rPr>
      </w:pPr>
      <w:bookmarkStart w:id="70" w:name="_Toc38813026"/>
      <w:r>
        <w:rPr>
          <w:rFonts w:hint="eastAsia" w:ascii="楷体_GB2312" w:hAnsi="楷体" w:eastAsia="楷体_GB2312"/>
          <w:sz w:val="32"/>
        </w:rPr>
        <w:t>（一）预算管理方面</w:t>
      </w:r>
      <w:bookmarkEnd w:id="70"/>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1.年初预算时加强对绩效目标、绩效指标的设定</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绩效目标不仅为资金管理使用提供了绩效导向和规划性目标，还通过绩效目标的管理增强了预算的绩效约束力，通过清晰、可评价、可衡量的绩效指标，使绩效目标可量化，便于对目标实现情况进行考核。建议单位强化绩效意识，在申报预算时设定合理的绩效目标及清晰、可评价、可衡量的绩效指标，从而使单位能够准确科学的衡量财政资金的产出及效益。</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2.提高预算编制质量</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预算编制工作要全面反映和体现单位职责，根据单位实际情况将单位全部收入、支出纳入预算，并及时调整预算的编制，缩小预算与决算差额，减少预算调整，提高预算编制质量，发挥预算约束作用。</w:t>
      </w:r>
    </w:p>
    <w:p>
      <w:pPr>
        <w:pStyle w:val="4"/>
        <w:spacing w:before="0" w:after="0" w:line="580" w:lineRule="exact"/>
        <w:ind w:firstLine="643" w:firstLineChars="200"/>
        <w:jc w:val="both"/>
        <w:rPr>
          <w:rFonts w:ascii="楷体_GB2312" w:hAnsi="楷体" w:eastAsia="楷体_GB2312"/>
          <w:sz w:val="32"/>
        </w:rPr>
      </w:pPr>
      <w:bookmarkStart w:id="71" w:name="_Toc38813027"/>
      <w:r>
        <w:rPr>
          <w:rFonts w:hint="eastAsia" w:ascii="楷体_GB2312" w:hAnsi="楷体" w:eastAsia="楷体_GB2312"/>
          <w:sz w:val="32"/>
        </w:rPr>
        <w:t>（二）预算执行方面</w:t>
      </w:r>
      <w:bookmarkEnd w:id="71"/>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提高决算报表数据准确性</w:t>
      </w:r>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充分认识到决算工作的重要性，扎实做好会计基础工作，确保决算报表的真实准确性，使决算报表客观、真实、准确、完整的反映单位的财务状况。</w:t>
      </w:r>
    </w:p>
    <w:p>
      <w:pPr>
        <w:pStyle w:val="4"/>
        <w:spacing w:before="0" w:after="0" w:line="580" w:lineRule="exact"/>
        <w:ind w:firstLine="643" w:firstLineChars="200"/>
        <w:jc w:val="both"/>
        <w:rPr>
          <w:rFonts w:ascii="楷体_GB2312" w:hAnsi="楷体" w:eastAsia="楷体_GB2312"/>
          <w:sz w:val="32"/>
        </w:rPr>
      </w:pPr>
      <w:bookmarkStart w:id="72" w:name="_Toc38813028"/>
      <w:r>
        <w:rPr>
          <w:rFonts w:hint="eastAsia" w:ascii="楷体_GB2312" w:hAnsi="楷体" w:eastAsia="楷体_GB2312"/>
          <w:sz w:val="32"/>
        </w:rPr>
        <w:t>（三）工作活动方面</w:t>
      </w:r>
      <w:bookmarkEnd w:id="72"/>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建议对征收工作进行全面梳理，规范管理流程，实行工作闭环管理，保证数据资料的完整性和可查阅性，既便于对污水处理费应征收金额与实际征收金额进行比较，提高工作量的可考核性。同时，进一步明确工作职责，理顺工作流程，把工作做细做优。</w:t>
      </w:r>
    </w:p>
    <w:p>
      <w:pPr>
        <w:pStyle w:val="4"/>
        <w:spacing w:before="0" w:after="0" w:line="580" w:lineRule="exact"/>
        <w:ind w:firstLine="643" w:firstLineChars="200"/>
        <w:jc w:val="both"/>
        <w:rPr>
          <w:rFonts w:ascii="楷体_GB2312" w:hAnsi="楷体" w:eastAsia="楷体_GB2312"/>
          <w:sz w:val="32"/>
        </w:rPr>
      </w:pPr>
      <w:bookmarkStart w:id="73" w:name="_Toc38813029"/>
      <w:r>
        <w:rPr>
          <w:rFonts w:hint="eastAsia" w:ascii="楷体_GB2312" w:hAnsi="楷体" w:eastAsia="楷体_GB2312"/>
          <w:sz w:val="32"/>
        </w:rPr>
        <w:t>（四）产出效益方面</w:t>
      </w:r>
      <w:bookmarkEnd w:id="73"/>
    </w:p>
    <w:p>
      <w:pPr>
        <w:spacing w:after="0"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拓宽消息接收渠道，不仅靠排污企业单方面电话通知的方式得知需要运输污水的消息，还应建立多方位的信息获取渠道，可以利用多种信息途径，保证信息的时效，提高污水运输车队运输污水的及时性。</w:t>
      </w:r>
    </w:p>
    <w:p>
      <w:pPr>
        <w:pStyle w:val="3"/>
        <w:keepNext w:val="0"/>
        <w:keepLines w:val="0"/>
        <w:suppressLineNumbers/>
        <w:spacing w:before="0" w:after="0" w:line="580" w:lineRule="exact"/>
        <w:ind w:firstLine="643" w:firstLineChars="200"/>
        <w:rPr>
          <w:rFonts w:ascii="黑体"/>
        </w:rPr>
      </w:pPr>
      <w:bookmarkStart w:id="74" w:name="_Toc38813030"/>
      <w:r>
        <w:rPr>
          <w:rFonts w:hint="eastAsia" w:ascii="黑体"/>
        </w:rPr>
        <w:t>七、其他说明事项</w:t>
      </w:r>
      <w:bookmarkEnd w:id="74"/>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1.2019年期初财政应返还额度余额511,910.94元，其中，污水运输车队98,347.89元，单位经费413,563.05元，均包含在2019年财政拨款收入中。</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2.2019年事业支出明细账中包含2018年人员经费支出</w:t>
      </w:r>
      <w:r>
        <w:rPr>
          <w:rFonts w:ascii="仿宋_GB2312" w:eastAsia="仿宋_GB2312" w:cs="DengXian-Regular"/>
          <w:sz w:val="32"/>
          <w:szCs w:val="32"/>
        </w:rPr>
        <w:t>324,103.36</w:t>
      </w:r>
      <w:r>
        <w:rPr>
          <w:rFonts w:hint="eastAsia" w:ascii="仿宋_GB2312" w:eastAsia="仿宋_GB2312" w:cs="DengXian-Regular"/>
          <w:sz w:val="32"/>
          <w:szCs w:val="32"/>
        </w:rPr>
        <w:t>元，其中，运输车队人员工资</w:t>
      </w:r>
      <w:r>
        <w:rPr>
          <w:rFonts w:ascii="仿宋_GB2312" w:eastAsia="仿宋_GB2312" w:cs="DengXian-Regular"/>
          <w:sz w:val="32"/>
          <w:szCs w:val="32"/>
        </w:rPr>
        <w:t>70,580.00</w:t>
      </w:r>
      <w:r>
        <w:rPr>
          <w:rFonts w:hint="eastAsia" w:ascii="仿宋_GB2312" w:eastAsia="仿宋_GB2312" w:cs="DengXian-Regular"/>
          <w:sz w:val="32"/>
          <w:szCs w:val="32"/>
        </w:rPr>
        <w:t>元，单位自支及劳务派遣人员经费</w:t>
      </w:r>
      <w:r>
        <w:rPr>
          <w:rFonts w:ascii="仿宋_GB2312" w:eastAsia="仿宋_GB2312" w:cs="DengXian-Regular"/>
          <w:sz w:val="32"/>
          <w:szCs w:val="32"/>
        </w:rPr>
        <w:t>253,523.36</w:t>
      </w:r>
      <w:r>
        <w:rPr>
          <w:rFonts w:hint="eastAsia" w:ascii="仿宋_GB2312" w:eastAsia="仿宋_GB2312" w:cs="DengXian-Regular"/>
          <w:sz w:val="32"/>
          <w:szCs w:val="32"/>
        </w:rPr>
        <w:t>元，公用经费金额较小，故未在此处体现。</w:t>
      </w:r>
    </w:p>
    <w:p>
      <w:pPr>
        <w:spacing w:after="0" w:line="580" w:lineRule="exact"/>
        <w:ind w:firstLine="640" w:firstLineChars="200"/>
        <w:jc w:val="both"/>
        <w:textAlignment w:val="baseline"/>
        <w:rPr>
          <w:rFonts w:ascii="仿宋_GB2312" w:eastAsia="仿宋_GB2312" w:cs="DengXian-Regular"/>
          <w:sz w:val="32"/>
          <w:szCs w:val="32"/>
        </w:rPr>
      </w:pPr>
      <w:r>
        <w:rPr>
          <w:rFonts w:hint="eastAsia" w:ascii="仿宋_GB2312" w:eastAsia="仿宋_GB2312" w:cs="DengXian-Regular"/>
          <w:sz w:val="32"/>
          <w:szCs w:val="32"/>
        </w:rPr>
        <w:t>3.2019年经费支出明细账中自支人员工资支付至7月，运输车队人员工资支付至5月。</w:t>
      </w:r>
    </w:p>
    <w:bookmarkEnd w:id="69"/>
    <w:p>
      <w:pPr>
        <w:spacing w:line="580" w:lineRule="exact"/>
        <w:jc w:val="both"/>
        <w:textAlignment w:val="baseline"/>
        <w:rPr>
          <w:rFonts w:hint="eastAsia" w:ascii="仿宋_GB2312" w:eastAsia="仿宋_GB2312" w:cs="Times New Roman" w:hAnsiTheme="minorEastAsia"/>
          <w:sz w:val="32"/>
          <w:szCs w:val="32"/>
          <w:highlight w:val="yellow"/>
          <w:u w:color="000000"/>
        </w:rPr>
      </w:pPr>
    </w:p>
    <w:p>
      <w:pPr>
        <w:spacing w:line="580" w:lineRule="exact"/>
        <w:jc w:val="both"/>
        <w:textAlignment w:val="baseline"/>
        <w:rPr>
          <w:rFonts w:ascii="仿宋_GB2312" w:eastAsia="仿宋_GB2312" w:cs="Times New Roman" w:hAnsiTheme="minorEastAsia"/>
          <w:sz w:val="32"/>
          <w:szCs w:val="32"/>
          <w:highlight w:val="yellow"/>
          <w:u w:color="000000"/>
        </w:rPr>
      </w:pPr>
    </w:p>
    <w:p>
      <w:pPr>
        <w:pStyle w:val="12"/>
        <w:spacing w:line="580" w:lineRule="exact"/>
        <w:ind w:right="220" w:rightChars="100" w:firstLine="0"/>
        <w:rPr>
          <w:rFonts w:ascii="仿宋_GB2312" w:eastAsia="仿宋_GB2312" w:hAnsiTheme="minorEastAsia"/>
          <w:color w:val="auto"/>
          <w:sz w:val="32"/>
          <w:szCs w:val="32"/>
        </w:rPr>
      </w:pPr>
      <w:r>
        <w:rPr>
          <w:rFonts w:hint="eastAsia" w:ascii="仿宋_GB2312" w:eastAsia="仿宋_GB2312" w:hAnsiTheme="minorEastAsia"/>
          <w:color w:val="auto"/>
          <w:sz w:val="32"/>
          <w:szCs w:val="32"/>
        </w:rPr>
        <w:t>河北德永会计师事务所          中国注册会计师：</w:t>
      </w:r>
    </w:p>
    <w:p>
      <w:pPr>
        <w:pStyle w:val="12"/>
        <w:spacing w:line="580" w:lineRule="exact"/>
        <w:ind w:right="220" w:rightChars="100" w:firstLine="640" w:firstLineChars="200"/>
        <w:rPr>
          <w:rFonts w:ascii="仿宋_GB2312" w:eastAsia="仿宋_GB2312" w:hAnsiTheme="minorEastAsia"/>
          <w:color w:val="auto"/>
          <w:sz w:val="32"/>
          <w:szCs w:val="32"/>
        </w:rPr>
      </w:pPr>
      <w:r>
        <w:rPr>
          <w:rFonts w:hint="eastAsia" w:ascii="仿宋_GB2312" w:eastAsia="仿宋_GB2312" w:hAnsiTheme="minorEastAsia"/>
          <w:color w:val="auto"/>
          <w:sz w:val="32"/>
          <w:szCs w:val="32"/>
        </w:rPr>
        <w:t xml:space="preserve">有限公司  </w:t>
      </w:r>
    </w:p>
    <w:p>
      <w:pPr>
        <w:pStyle w:val="12"/>
        <w:spacing w:line="580" w:lineRule="exact"/>
        <w:ind w:firstLine="320" w:firstLineChars="100"/>
        <w:rPr>
          <w:rFonts w:ascii="仿宋_GB2312" w:eastAsia="仿宋_GB2312" w:hAnsiTheme="minorEastAsia"/>
          <w:color w:val="auto"/>
          <w:sz w:val="32"/>
          <w:szCs w:val="32"/>
        </w:rPr>
      </w:pPr>
      <w:r>
        <w:rPr>
          <w:rFonts w:hint="eastAsia" w:ascii="仿宋_GB2312" w:eastAsia="仿宋_GB2312" w:hAnsiTheme="minorEastAsia"/>
          <w:color w:val="auto"/>
          <w:sz w:val="32"/>
          <w:szCs w:val="32"/>
        </w:rPr>
        <w:t>中国·石家庄                中国注册会计师：</w:t>
      </w:r>
    </w:p>
    <w:p>
      <w:pPr>
        <w:spacing w:line="580" w:lineRule="exact"/>
        <w:ind w:firstLine="640" w:firstLineChars="200"/>
        <w:jc w:val="both"/>
        <w:textAlignment w:val="baseline"/>
        <w:rPr>
          <w:rFonts w:ascii="仿宋_GB2312" w:eastAsia="仿宋_GB2312" w:cs="Times New Roman" w:hAnsiTheme="minorEastAsia"/>
          <w:sz w:val="32"/>
          <w:szCs w:val="32"/>
          <w:u w:color="000000"/>
        </w:rPr>
      </w:pPr>
      <w:r>
        <w:rPr>
          <w:rFonts w:hint="eastAsia" w:ascii="仿宋_GB2312" w:eastAsia="仿宋_GB2312" w:cs="Times New Roman" w:hAnsiTheme="minorEastAsia"/>
          <w:sz w:val="32"/>
          <w:szCs w:val="32"/>
          <w:u w:color="000000"/>
        </w:rPr>
        <w:t xml:space="preserve">                      二〇二〇年</w:t>
      </w:r>
      <w:r>
        <w:rPr>
          <w:rFonts w:hint="eastAsia" w:ascii="仿宋_GB2312" w:eastAsia="仿宋_GB2312" w:cs="Times New Roman" w:hAnsiTheme="minorEastAsia"/>
          <w:sz w:val="32"/>
          <w:szCs w:val="32"/>
          <w:highlight w:val="yellow"/>
          <w:u w:color="000000"/>
        </w:rPr>
        <w:t>十一月三十日</w:t>
      </w:r>
    </w:p>
    <w:p>
      <w:pPr>
        <w:spacing w:line="580" w:lineRule="exact"/>
        <w:ind w:firstLine="640" w:firstLineChars="200"/>
        <w:jc w:val="both"/>
        <w:textAlignment w:val="baseline"/>
        <w:rPr>
          <w:rFonts w:ascii="仿宋_GB2312" w:eastAsia="仿宋_GB2312" w:cs="Times New Roman" w:hAnsiTheme="minorEastAsia"/>
          <w:sz w:val="32"/>
          <w:szCs w:val="32"/>
          <w:u w:color="000000"/>
        </w:rPr>
        <w:sectPr>
          <w:footerReference r:id="rId5" w:type="default"/>
          <w:pgSz w:w="11906" w:h="16838"/>
          <w:pgMar w:top="1440" w:right="1797" w:bottom="1191" w:left="1797" w:header="709" w:footer="709" w:gutter="0"/>
          <w:cols w:space="708" w:num="1"/>
          <w:docGrid w:linePitch="360" w:charSpace="0"/>
        </w:sectPr>
      </w:pPr>
    </w:p>
    <w:p>
      <w:pPr>
        <w:spacing w:line="580" w:lineRule="exact"/>
        <w:ind w:firstLine="402" w:firstLineChars="200"/>
        <w:jc w:val="both"/>
        <w:textAlignment w:val="baseline"/>
        <w:rPr>
          <w:rFonts w:ascii="仿宋_GB2312" w:eastAsia="仿宋_GB2312" w:cs="Times New Roman" w:hAnsiTheme="minorEastAsia"/>
          <w:b/>
          <w:sz w:val="20"/>
          <w:szCs w:val="20"/>
          <w:u w:color="000000"/>
        </w:rPr>
      </w:pPr>
      <w:r>
        <w:rPr>
          <w:rFonts w:hint="eastAsia" w:ascii="仿宋_GB2312" w:eastAsia="仿宋_GB2312" w:cs="Times New Roman" w:hAnsiTheme="minorEastAsia"/>
          <w:b/>
          <w:sz w:val="20"/>
          <w:szCs w:val="20"/>
          <w:u w:color="000000"/>
        </w:rPr>
        <w:t>附表1</w:t>
      </w:r>
    </w:p>
    <w:tbl>
      <w:tblPr>
        <w:tblStyle w:val="24"/>
        <w:tblW w:w="15179" w:type="dxa"/>
        <w:jc w:val="center"/>
        <w:tblLayout w:type="autofit"/>
        <w:tblCellMar>
          <w:top w:w="0" w:type="dxa"/>
          <w:left w:w="108" w:type="dxa"/>
          <w:bottom w:w="0" w:type="dxa"/>
          <w:right w:w="108" w:type="dxa"/>
        </w:tblCellMar>
      </w:tblPr>
      <w:tblGrid>
        <w:gridCol w:w="721"/>
        <w:gridCol w:w="1230"/>
        <w:gridCol w:w="1701"/>
        <w:gridCol w:w="6379"/>
        <w:gridCol w:w="3118"/>
        <w:gridCol w:w="937"/>
        <w:gridCol w:w="1093"/>
      </w:tblGrid>
      <w:tr>
        <w:tblPrEx>
          <w:tblCellMar>
            <w:top w:w="0" w:type="dxa"/>
            <w:left w:w="108" w:type="dxa"/>
            <w:bottom w:w="0" w:type="dxa"/>
            <w:right w:w="108" w:type="dxa"/>
          </w:tblCellMar>
        </w:tblPrEx>
        <w:trPr>
          <w:trHeight w:val="525" w:hRule="atLeast"/>
          <w:jc w:val="center"/>
        </w:trPr>
        <w:tc>
          <w:tcPr>
            <w:tcW w:w="15179" w:type="dxa"/>
            <w:gridSpan w:val="7"/>
            <w:tcBorders>
              <w:top w:val="nil"/>
              <w:left w:val="nil"/>
              <w:bottom w:val="nil"/>
              <w:right w:val="nil"/>
            </w:tcBorders>
            <w:shd w:val="clear" w:color="auto" w:fill="auto"/>
            <w:noWrap/>
            <w:vAlign w:val="center"/>
          </w:tcPr>
          <w:p>
            <w:pPr>
              <w:adjustRightInd/>
              <w:snapToGrid/>
              <w:spacing w:after="0"/>
              <w:jc w:val="center"/>
              <w:rPr>
                <w:rFonts w:ascii="宋体" w:hAnsi="宋体" w:eastAsia="宋体" w:cs="宋体"/>
                <w:b/>
                <w:color w:val="000000"/>
                <w:sz w:val="20"/>
                <w:szCs w:val="20"/>
              </w:rPr>
            </w:pPr>
            <w:r>
              <w:rPr>
                <w:rFonts w:hint="eastAsia" w:ascii="宋体" w:hAnsi="宋体" w:eastAsia="宋体" w:cs="宋体"/>
                <w:b/>
                <w:color w:val="000000"/>
                <w:sz w:val="20"/>
                <w:szCs w:val="20"/>
              </w:rPr>
              <w:t>单位整体支出绩效评价指标体系</w:t>
            </w:r>
          </w:p>
        </w:tc>
      </w:tr>
      <w:tr>
        <w:tblPrEx>
          <w:tblCellMar>
            <w:top w:w="0" w:type="dxa"/>
            <w:left w:w="108" w:type="dxa"/>
            <w:bottom w:w="0" w:type="dxa"/>
            <w:right w:w="108" w:type="dxa"/>
          </w:tblCellMar>
        </w:tblPrEx>
        <w:trPr>
          <w:trHeight w:val="585" w:hRule="atLeast"/>
          <w:jc w:val="center"/>
        </w:trPr>
        <w:tc>
          <w:tcPr>
            <w:tcW w:w="10031" w:type="dxa"/>
            <w:gridSpan w:val="4"/>
            <w:tcBorders>
              <w:top w:val="nil"/>
              <w:left w:val="nil"/>
              <w:bottom w:val="single" w:color="auto" w:sz="4" w:space="0"/>
              <w:right w:val="nil"/>
            </w:tcBorders>
            <w:shd w:val="clear" w:color="auto" w:fill="auto"/>
            <w:noWrap/>
            <w:vAlign w:val="center"/>
          </w:tcPr>
          <w:p>
            <w:pPr>
              <w:adjustRightInd/>
              <w:snapToGrid/>
              <w:spacing w:after="0"/>
              <w:rPr>
                <w:rFonts w:ascii="宋体" w:hAnsi="宋体" w:eastAsia="宋体" w:cs="宋体"/>
                <w:color w:val="000000"/>
                <w:sz w:val="20"/>
                <w:szCs w:val="20"/>
              </w:rPr>
            </w:pPr>
            <w:r>
              <w:rPr>
                <w:rFonts w:hint="eastAsia" w:ascii="宋体" w:hAnsi="宋体" w:eastAsia="宋体" w:cs="宋体"/>
                <w:color w:val="000000"/>
                <w:sz w:val="20"/>
                <w:szCs w:val="20"/>
              </w:rPr>
              <w:t>单位名称：无极县污水处理费征收管理中心</w:t>
            </w:r>
          </w:p>
        </w:tc>
        <w:tc>
          <w:tcPr>
            <w:tcW w:w="3118" w:type="dxa"/>
            <w:tcBorders>
              <w:top w:val="nil"/>
              <w:left w:val="nil"/>
              <w:bottom w:val="nil"/>
              <w:right w:val="nil"/>
            </w:tcBorders>
            <w:shd w:val="clear" w:color="auto" w:fill="auto"/>
            <w:noWrap/>
            <w:vAlign w:val="center"/>
          </w:tcPr>
          <w:p>
            <w:pPr>
              <w:adjustRightInd/>
              <w:snapToGrid/>
              <w:spacing w:after="0"/>
              <w:jc w:val="center"/>
              <w:rPr>
                <w:rFonts w:ascii="宋体" w:hAnsi="宋体" w:eastAsia="宋体" w:cs="宋体"/>
                <w:color w:val="000000"/>
                <w:sz w:val="20"/>
                <w:szCs w:val="20"/>
              </w:rPr>
            </w:pPr>
          </w:p>
        </w:tc>
        <w:tc>
          <w:tcPr>
            <w:tcW w:w="937" w:type="dxa"/>
            <w:tcBorders>
              <w:top w:val="nil"/>
              <w:left w:val="nil"/>
              <w:bottom w:val="nil"/>
              <w:right w:val="nil"/>
            </w:tcBorders>
            <w:shd w:val="clear" w:color="auto" w:fill="auto"/>
            <w:noWrap/>
            <w:vAlign w:val="center"/>
          </w:tcPr>
          <w:p>
            <w:pPr>
              <w:adjustRightInd/>
              <w:snapToGrid/>
              <w:spacing w:after="0"/>
              <w:jc w:val="center"/>
              <w:rPr>
                <w:rFonts w:ascii="宋体" w:hAnsi="宋体" w:eastAsia="宋体" w:cs="宋体"/>
                <w:color w:val="000000"/>
                <w:sz w:val="20"/>
                <w:szCs w:val="20"/>
              </w:rPr>
            </w:pPr>
          </w:p>
        </w:tc>
        <w:tc>
          <w:tcPr>
            <w:tcW w:w="1093" w:type="dxa"/>
            <w:tcBorders>
              <w:top w:val="nil"/>
              <w:left w:val="nil"/>
              <w:bottom w:val="nil"/>
              <w:right w:val="nil"/>
            </w:tcBorders>
            <w:shd w:val="clear" w:color="auto" w:fill="auto"/>
            <w:noWrap/>
            <w:vAlign w:val="center"/>
          </w:tcPr>
          <w:p>
            <w:pPr>
              <w:adjustRightInd/>
              <w:snapToGrid/>
              <w:spacing w:after="0"/>
              <w:jc w:val="center"/>
              <w:rPr>
                <w:rFonts w:ascii="宋体" w:hAnsi="宋体" w:eastAsia="宋体" w:cs="宋体"/>
                <w:color w:val="000000"/>
                <w:sz w:val="20"/>
                <w:szCs w:val="20"/>
              </w:rPr>
            </w:pPr>
          </w:p>
        </w:tc>
      </w:tr>
      <w:tr>
        <w:tblPrEx>
          <w:tblCellMar>
            <w:top w:w="0" w:type="dxa"/>
            <w:left w:w="108" w:type="dxa"/>
            <w:bottom w:w="0" w:type="dxa"/>
            <w:right w:w="108" w:type="dxa"/>
          </w:tblCellMar>
        </w:tblPrEx>
        <w:trPr>
          <w:trHeight w:val="420" w:hRule="atLeast"/>
          <w:jc w:val="center"/>
        </w:trPr>
        <w:tc>
          <w:tcPr>
            <w:tcW w:w="721" w:type="dxa"/>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一级指标</w:t>
            </w:r>
          </w:p>
        </w:tc>
        <w:tc>
          <w:tcPr>
            <w:tcW w:w="1230"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二级指标</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三级指标</w:t>
            </w:r>
          </w:p>
        </w:tc>
        <w:tc>
          <w:tcPr>
            <w:tcW w:w="6379"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指标解释</w:t>
            </w:r>
          </w:p>
        </w:tc>
        <w:tc>
          <w:tcPr>
            <w:tcW w:w="3118"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评价标准</w:t>
            </w:r>
          </w:p>
        </w:tc>
        <w:tc>
          <w:tcPr>
            <w:tcW w:w="937"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得分</w:t>
            </w:r>
          </w:p>
        </w:tc>
        <w:tc>
          <w:tcPr>
            <w:tcW w:w="1093"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20"/>
                <w:szCs w:val="20"/>
              </w:rPr>
            </w:pPr>
            <w:r>
              <w:rPr>
                <w:rFonts w:hint="eastAsia" w:ascii="宋体" w:hAnsi="宋体" w:eastAsia="宋体" w:cs="宋体"/>
                <w:color w:val="000000"/>
                <w:sz w:val="20"/>
                <w:szCs w:val="20"/>
              </w:rPr>
              <w:t>备注</w:t>
            </w:r>
          </w:p>
        </w:tc>
      </w:tr>
      <w:tr>
        <w:tblPrEx>
          <w:tblCellMar>
            <w:top w:w="0" w:type="dxa"/>
            <w:left w:w="108" w:type="dxa"/>
            <w:bottom w:w="0" w:type="dxa"/>
            <w:right w:w="108" w:type="dxa"/>
          </w:tblCellMar>
        </w:tblPrEx>
        <w:trPr>
          <w:trHeight w:val="936" w:hRule="atLeast"/>
          <w:jc w:val="center"/>
        </w:trPr>
        <w:tc>
          <w:tcPr>
            <w:tcW w:w="721" w:type="dxa"/>
            <w:vMerge w:val="restart"/>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决策（12分）</w:t>
            </w:r>
          </w:p>
        </w:tc>
        <w:tc>
          <w:tcPr>
            <w:tcW w:w="1230"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绩效目标设定（8分）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绩效目标合理性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1.单位的职责设定是否符合“三定”方案中所赋予的职责；</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2.工作活动是否与单位职责、工作规划和重点工作相关；</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3.预算项目是否合理，是否与工作活动密切相关；</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4.工作活动和预算安排是否合理。</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全部符合得满分；一项不符合，扣1分。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0</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无绩效目标</w:t>
            </w:r>
          </w:p>
        </w:tc>
      </w:tr>
      <w:tr>
        <w:tblPrEx>
          <w:tblCellMar>
            <w:top w:w="0" w:type="dxa"/>
            <w:left w:w="108" w:type="dxa"/>
            <w:bottom w:w="0" w:type="dxa"/>
            <w:right w:w="108" w:type="dxa"/>
          </w:tblCellMar>
        </w:tblPrEx>
        <w:trPr>
          <w:trHeight w:val="978"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绩效指标明确性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1.是否将单位整体的绩效目标细化分解为具体的工作任务；</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2.工作活动、预算项目绩效指标是否清晰、细化、可评价、可衡量；</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 xml:space="preserve">3.工作活动、预算项目绩效指标的评价标准是否清晰、可衡量；  </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4.是否与单位年度的任务数或计划数相对应。</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全部符合得满分；一项不符合，扣1分。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0</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无绩效指标</w:t>
            </w:r>
          </w:p>
        </w:tc>
      </w:tr>
      <w:tr>
        <w:tblPrEx>
          <w:tblCellMar>
            <w:top w:w="0" w:type="dxa"/>
            <w:left w:w="108" w:type="dxa"/>
            <w:bottom w:w="0" w:type="dxa"/>
            <w:right w:w="108" w:type="dxa"/>
          </w:tblCellMar>
        </w:tblPrEx>
        <w:trPr>
          <w:trHeight w:val="912"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restart"/>
            <w:tcBorders>
              <w:top w:val="nil"/>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投入</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预算编制完整性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1.单位所有收入是否全部纳入单位预算；</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2.单位支出预算是否统筹各类支出，按基本支出、项目支出分别编制。</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全部符合得满分；一项不符合，扣1分。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1</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未将财政补助收入纳入预算</w:t>
            </w:r>
          </w:p>
        </w:tc>
      </w:tr>
      <w:tr>
        <w:tblPrEx>
          <w:tblCellMar>
            <w:top w:w="0" w:type="dxa"/>
            <w:left w:w="108" w:type="dxa"/>
            <w:bottom w:w="0" w:type="dxa"/>
            <w:right w:w="108" w:type="dxa"/>
          </w:tblCellMar>
        </w:tblPrEx>
        <w:trPr>
          <w:trHeight w:val="557"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在职人员控制率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（2分）</w:t>
            </w:r>
          </w:p>
        </w:tc>
        <w:tc>
          <w:tcPr>
            <w:tcW w:w="6379"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在职人员控制率=（在职人员/编制数）×100%。</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控制率小于或等于100%，得满分；控制率大于100%，得0分。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2</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1155" w:hRule="atLeast"/>
          <w:jc w:val="center"/>
        </w:trPr>
        <w:tc>
          <w:tcPr>
            <w:tcW w:w="721" w:type="dxa"/>
            <w:vMerge w:val="restart"/>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过程（48分）</w:t>
            </w:r>
          </w:p>
        </w:tc>
        <w:tc>
          <w:tcPr>
            <w:tcW w:w="1230"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预算管理</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（24分）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预算调整率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单位本年度预算调整数与年初预算数的比率。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 xml:space="preserve">预算调整率＝（调整预算数-年初预算数）/年初预算数×100%。 </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按收入、支出分别计算：预算调整率等于0的，得满分； 预算调整率大于或等于10%的，得0分；预算调整率在0-10%之间的，在0分和满分之间确定：每增加一个百分点，扣0.2分。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1.64</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收入调整率为19.29%，支出调整率1.80%。</w:t>
            </w:r>
          </w:p>
        </w:tc>
      </w:tr>
      <w:tr>
        <w:tblPrEx>
          <w:tblCellMar>
            <w:top w:w="0" w:type="dxa"/>
            <w:left w:w="108" w:type="dxa"/>
            <w:bottom w:w="0" w:type="dxa"/>
            <w:right w:w="108" w:type="dxa"/>
          </w:tblCellMar>
        </w:tblPrEx>
        <w:trPr>
          <w:trHeight w:val="1080"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收入完成率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单位收入预算完成数与预算数的比较，用以反映和评价单位收入预算的完成程度。</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收入完成率=（实际收入/预算收入）×100%。</w:t>
            </w:r>
          </w:p>
        </w:tc>
        <w:tc>
          <w:tcPr>
            <w:tcW w:w="3118"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预算完成率大于或等于95%的，得满分；预算完成率小于或等于85%的，得0分；预算完成率在85%-95%之间的，在0分和满分之间计算确定：每降低一个百分点，扣0.5分。</w:t>
            </w:r>
          </w:p>
        </w:tc>
        <w:tc>
          <w:tcPr>
            <w:tcW w:w="937" w:type="dxa"/>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1020"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人员经费控制率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人员经费控制率=（人员经费实际支出数/人员经费预算数）×100%。</w:t>
            </w:r>
          </w:p>
        </w:tc>
        <w:tc>
          <w:tcPr>
            <w:tcW w:w="3118"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人员经费控制率≤100%得满分；大于100%每增加1个百分点扣1分。</w:t>
            </w:r>
          </w:p>
        </w:tc>
        <w:tc>
          <w:tcPr>
            <w:tcW w:w="937"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p>
        </w:tc>
      </w:tr>
      <w:tr>
        <w:tblPrEx>
          <w:tblCellMar>
            <w:top w:w="0" w:type="dxa"/>
            <w:left w:w="108" w:type="dxa"/>
            <w:bottom w:w="0" w:type="dxa"/>
            <w:right w:w="108" w:type="dxa"/>
          </w:tblCellMar>
        </w:tblPrEx>
        <w:trPr>
          <w:trHeight w:val="82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公用经费控制率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公用经费控制率=（公用经费实际支出数/公用经费预算数）×100%。</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公用经费控制率≤100%得满分；大于100%每增加1个百分点扣1分。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810"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“三公”经费控制率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“三公”经费控制率=（“三公”经费实际支出数/“三公”经费预算数）×100%。</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三公经费控制率≤100%得满分；大于100%每增加1个百分点扣1分。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109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资产管理</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（24分）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管理制度健全性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1.是否已制定或具有财务管理制度、会计核算制度、会计岗位制度等管理制度；</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2.相关管理制度是否得到有效执行。</w:t>
            </w:r>
          </w:p>
        </w:tc>
        <w:tc>
          <w:tcPr>
            <w:tcW w:w="3118"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4</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878"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资金使用合规性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1.资金的拨付是否有完整的审批程序和手续；</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2.是否符合部门预算批复的用途；</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3.是否存在截留、挤占、挪用资金情况；</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4.是否存在虚列支出情况。</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全部符合得满分；一项不符合，扣1分。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4</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720"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决算真实性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考核决算编制数据是否账表一致，即决算报表数据与会计账簿数据是否一致。</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对单位决算数据进行抽查，发现账表不一致的，发现一处扣1分。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0</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决算报表数据与账面金额不一致</w:t>
            </w:r>
          </w:p>
        </w:tc>
      </w:tr>
      <w:tr>
        <w:tblPrEx>
          <w:tblCellMar>
            <w:top w:w="0" w:type="dxa"/>
            <w:left w:w="108" w:type="dxa"/>
            <w:bottom w:w="0" w:type="dxa"/>
            <w:right w:w="108" w:type="dxa"/>
          </w:tblCellMar>
        </w:tblPrEx>
        <w:trPr>
          <w:trHeight w:val="600"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基础信息完善性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1.基础数据信息和会计信息资料是否真实；</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2.基础数据信息和会计信息资料是否完整。</w:t>
            </w:r>
          </w:p>
        </w:tc>
        <w:tc>
          <w:tcPr>
            <w:tcW w:w="3118"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一项内容不符合，扣1分。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2</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污水量及生产线条数的原始数据未提供</w:t>
            </w:r>
          </w:p>
        </w:tc>
      </w:tr>
      <w:tr>
        <w:tblPrEx>
          <w:tblCellMar>
            <w:top w:w="0" w:type="dxa"/>
            <w:left w:w="108" w:type="dxa"/>
            <w:bottom w:w="0" w:type="dxa"/>
            <w:right w:w="108" w:type="dxa"/>
          </w:tblCellMar>
        </w:tblPrEx>
        <w:trPr>
          <w:trHeight w:val="828"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资产管理规范性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1.是否建立资产台账，资产报表数据与会计账簿数据是否相符；</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2.新增资产是否符合规定程序和规定标准；</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3.资产配置是否符合有关规定的要求。</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4.资产是否保存完整。</w:t>
            </w:r>
          </w:p>
        </w:tc>
        <w:tc>
          <w:tcPr>
            <w:tcW w:w="3118"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一项不符合，扣1分。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4</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58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固定资产利用率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（4分）</w:t>
            </w:r>
          </w:p>
        </w:tc>
        <w:tc>
          <w:tcPr>
            <w:tcW w:w="6379"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固定资产是否均在用，在用固定资产占全部固定资产的比率。</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全部在用得满分；否则视闲置情况酌情扣分。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4</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705" w:hRule="atLeast"/>
          <w:jc w:val="center"/>
        </w:trPr>
        <w:tc>
          <w:tcPr>
            <w:tcW w:w="721"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产出（20分）</w:t>
            </w:r>
          </w:p>
        </w:tc>
        <w:tc>
          <w:tcPr>
            <w:tcW w:w="123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职责履行</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（20分）</w:t>
            </w:r>
          </w:p>
        </w:tc>
        <w:tc>
          <w:tcPr>
            <w:tcW w:w="1701"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污水处理费征收率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征收污水处理费的污水数量占应征收污水数量的比率。</w:t>
            </w:r>
          </w:p>
        </w:tc>
        <w:tc>
          <w:tcPr>
            <w:tcW w:w="3118"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征收率等于100%，得满分；每降低一个百分点扣1分。</w:t>
            </w:r>
          </w:p>
        </w:tc>
        <w:tc>
          <w:tcPr>
            <w:tcW w:w="937"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0</w:t>
            </w:r>
          </w:p>
        </w:tc>
        <w:tc>
          <w:tcPr>
            <w:tcW w:w="1093"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污水量及生产线条数原始数据未提供</w:t>
            </w:r>
          </w:p>
        </w:tc>
      </w:tr>
      <w:tr>
        <w:tblPrEx>
          <w:tblCellMar>
            <w:top w:w="0" w:type="dxa"/>
            <w:left w:w="108" w:type="dxa"/>
            <w:bottom w:w="0" w:type="dxa"/>
            <w:right w:w="108" w:type="dxa"/>
          </w:tblCellMar>
        </w:tblPrEx>
        <w:trPr>
          <w:trHeight w:val="705" w:hRule="atLeast"/>
          <w:jc w:val="center"/>
        </w:trPr>
        <w:tc>
          <w:tcPr>
            <w:tcW w:w="721" w:type="dxa"/>
            <w:vMerge w:val="continue"/>
            <w:tcBorders>
              <w:top w:val="single" w:color="auto" w:sz="4" w:space="0"/>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single" w:color="auto" w:sz="4" w:space="0"/>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污水运输及时性</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污水运输车队运输各污水产生企业产生污水的及时性。</w:t>
            </w:r>
          </w:p>
        </w:tc>
        <w:tc>
          <w:tcPr>
            <w:tcW w:w="3118"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及时运输得满分；否则按未及时情况酌情扣分。</w:t>
            </w:r>
          </w:p>
        </w:tc>
        <w:tc>
          <w:tcPr>
            <w:tcW w:w="937" w:type="dxa"/>
            <w:tcBorders>
              <w:top w:val="single" w:color="auto" w:sz="4" w:space="0"/>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2.22</w:t>
            </w:r>
          </w:p>
        </w:tc>
        <w:tc>
          <w:tcPr>
            <w:tcW w:w="1093" w:type="dxa"/>
            <w:tcBorders>
              <w:top w:val="single" w:color="auto" w:sz="4" w:space="0"/>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lang w:eastAsia="zh-CN"/>
              </w:rPr>
              <w:t>根据</w:t>
            </w:r>
            <w:r>
              <w:rPr>
                <w:rFonts w:hint="eastAsia" w:ascii="宋体" w:hAnsi="宋体" w:eastAsia="宋体" w:cs="宋体"/>
                <w:color w:val="000000"/>
                <w:sz w:val="16"/>
                <w:szCs w:val="16"/>
              </w:rPr>
              <w:t>调查问卷，及时性满意率44.44%</w:t>
            </w:r>
          </w:p>
        </w:tc>
      </w:tr>
      <w:tr>
        <w:tblPrEx>
          <w:tblCellMar>
            <w:top w:w="0" w:type="dxa"/>
            <w:left w:w="108" w:type="dxa"/>
            <w:bottom w:w="0" w:type="dxa"/>
            <w:right w:w="108" w:type="dxa"/>
          </w:tblCellMar>
        </w:tblPrEx>
        <w:trPr>
          <w:trHeight w:val="70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污水处理费征收及时性（5分）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单位是否按规定及时向应缴纳污水处理费的单位和个人及时征收污水处理费。</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全部及时征收得满分；否则按未及时情况酌情扣分。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70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污水处理费上缴及时性（5分）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单位是否按规定将征收污水处理费上缴财政。</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全部及时上缴得满分；否则按未及时情况酌情扣分。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885" w:hRule="atLeast"/>
          <w:jc w:val="center"/>
        </w:trPr>
        <w:tc>
          <w:tcPr>
            <w:tcW w:w="721" w:type="dxa"/>
            <w:vMerge w:val="restart"/>
            <w:tcBorders>
              <w:top w:val="nil"/>
              <w:left w:val="single" w:color="auto" w:sz="4" w:space="0"/>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效果（20分）</w:t>
            </w:r>
          </w:p>
        </w:tc>
        <w:tc>
          <w:tcPr>
            <w:tcW w:w="1230"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经济效益</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污水处理费征收增长率（5分）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污水处理费征收金额较去年征收金额的增长比率。</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增长率大于等于0，得满分；每降低一个百分点扣1分。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79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restart"/>
            <w:tcBorders>
              <w:top w:val="nil"/>
              <w:left w:val="single" w:color="auto" w:sz="4" w:space="0"/>
              <w:bottom w:val="single" w:color="000000"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社会效益</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（10分）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污水征收点地域覆盖率（5分）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征收点位覆盖区域占全县应征收区域的比率。</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覆盖率等于100%，得满分；覆盖率小于百分之百，得分=覆盖率*分值。</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76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vMerge w:val="continue"/>
            <w:tcBorders>
              <w:top w:val="nil"/>
              <w:left w:val="single" w:color="auto" w:sz="4" w:space="0"/>
              <w:bottom w:val="single" w:color="000000"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污水运输辐射率</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污水运输车队辐射企业数量占本县无污水管网的污水产生企业数量的比率。</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辐射率等于100%，得满分；辐射率小于百分之百，得分=辐射率*分值。</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5</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r>
      <w:tr>
        <w:tblPrEx>
          <w:tblCellMar>
            <w:top w:w="0" w:type="dxa"/>
            <w:left w:w="108" w:type="dxa"/>
            <w:bottom w:w="0" w:type="dxa"/>
            <w:right w:w="108" w:type="dxa"/>
          </w:tblCellMar>
        </w:tblPrEx>
        <w:trPr>
          <w:trHeight w:val="675" w:hRule="atLeast"/>
          <w:jc w:val="center"/>
        </w:trPr>
        <w:tc>
          <w:tcPr>
            <w:tcW w:w="721" w:type="dxa"/>
            <w:vMerge w:val="continue"/>
            <w:tcBorders>
              <w:top w:val="nil"/>
              <w:left w:val="single" w:color="auto" w:sz="4" w:space="0"/>
              <w:bottom w:val="single" w:color="auto" w:sz="4" w:space="0"/>
              <w:right w:val="single" w:color="auto" w:sz="4" w:space="0"/>
            </w:tcBorders>
            <w:vAlign w:val="center"/>
          </w:tcPr>
          <w:p>
            <w:pPr>
              <w:adjustRightInd/>
              <w:snapToGrid/>
              <w:spacing w:after="0"/>
              <w:rPr>
                <w:rFonts w:ascii="宋体" w:hAnsi="宋体" w:eastAsia="宋体" w:cs="宋体"/>
                <w:color w:val="000000"/>
                <w:sz w:val="16"/>
                <w:szCs w:val="16"/>
              </w:rPr>
            </w:pPr>
          </w:p>
        </w:tc>
        <w:tc>
          <w:tcPr>
            <w:tcW w:w="1230"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满意度</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污水运输车队服务企业满意度</w:t>
            </w:r>
            <w:r>
              <w:rPr>
                <w:rFonts w:hint="eastAsia" w:ascii="宋体" w:hAnsi="宋体" w:eastAsia="宋体" w:cs="宋体"/>
                <w:color w:val="000000"/>
                <w:sz w:val="16"/>
                <w:szCs w:val="16"/>
              </w:rPr>
              <w:br w:type="textWrapping"/>
            </w:r>
            <w:r>
              <w:rPr>
                <w:rFonts w:hint="eastAsia" w:ascii="宋体" w:hAnsi="宋体" w:eastAsia="宋体" w:cs="宋体"/>
                <w:color w:val="000000"/>
                <w:sz w:val="16"/>
                <w:szCs w:val="16"/>
              </w:rPr>
              <w:t>（5分）</w:t>
            </w:r>
          </w:p>
        </w:tc>
        <w:tc>
          <w:tcPr>
            <w:tcW w:w="6379" w:type="dxa"/>
            <w:tcBorders>
              <w:top w:val="nil"/>
              <w:left w:val="nil"/>
              <w:bottom w:val="single" w:color="auto" w:sz="4" w:space="0"/>
              <w:right w:val="single" w:color="auto" w:sz="4" w:space="0"/>
            </w:tcBorders>
            <w:shd w:val="clear" w:color="auto" w:fill="auto"/>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无污水管网企业对污水运输车队的运输服务的满意度。</w:t>
            </w:r>
          </w:p>
        </w:tc>
        <w:tc>
          <w:tcPr>
            <w:tcW w:w="3118" w:type="dxa"/>
            <w:tcBorders>
              <w:top w:val="nil"/>
              <w:left w:val="nil"/>
              <w:bottom w:val="single" w:color="auto" w:sz="4" w:space="0"/>
              <w:right w:val="single" w:color="auto" w:sz="4" w:space="0"/>
            </w:tcBorders>
            <w:shd w:val="clear" w:color="auto" w:fill="auto"/>
            <w:vAlign w:val="center"/>
          </w:tcPr>
          <w:p>
            <w:pPr>
              <w:adjustRightInd/>
              <w:snapToGrid/>
              <w:spacing w:after="0"/>
              <w:jc w:val="both"/>
              <w:rPr>
                <w:rFonts w:ascii="宋体" w:hAnsi="宋体" w:eastAsia="宋体" w:cs="宋体"/>
                <w:color w:val="000000"/>
                <w:sz w:val="16"/>
                <w:szCs w:val="16"/>
              </w:rPr>
            </w:pPr>
            <w:r>
              <w:rPr>
                <w:rFonts w:hint="eastAsia" w:ascii="宋体" w:hAnsi="宋体" w:eastAsia="宋体" w:cs="宋体"/>
                <w:color w:val="000000"/>
                <w:sz w:val="16"/>
                <w:szCs w:val="16"/>
              </w:rPr>
              <w:t>满意度达到95%（包含95%）以上的，得5分；每降低1个百分点扣0.5分。</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3.79</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满意度92.59%</w:t>
            </w:r>
          </w:p>
        </w:tc>
      </w:tr>
      <w:tr>
        <w:tblPrEx>
          <w:tblCellMar>
            <w:top w:w="0" w:type="dxa"/>
            <w:left w:w="108" w:type="dxa"/>
            <w:bottom w:w="0" w:type="dxa"/>
            <w:right w:w="108" w:type="dxa"/>
          </w:tblCellMar>
        </w:tblPrEx>
        <w:trPr>
          <w:trHeight w:val="405" w:hRule="atLeast"/>
          <w:jc w:val="center"/>
        </w:trPr>
        <w:tc>
          <w:tcPr>
            <w:tcW w:w="1951" w:type="dxa"/>
            <w:gridSpan w:val="2"/>
            <w:tcBorders>
              <w:top w:val="single" w:color="auto" w:sz="4" w:space="0"/>
              <w:left w:val="single" w:color="auto" w:sz="4" w:space="0"/>
              <w:bottom w:val="single" w:color="auto" w:sz="4" w:space="0"/>
              <w:right w:val="single" w:color="000000"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合计</w:t>
            </w:r>
          </w:p>
        </w:tc>
        <w:tc>
          <w:tcPr>
            <w:tcW w:w="1701" w:type="dxa"/>
            <w:tcBorders>
              <w:top w:val="nil"/>
              <w:left w:val="nil"/>
              <w:bottom w:val="single" w:color="auto" w:sz="4" w:space="0"/>
              <w:right w:val="single" w:color="auto" w:sz="4" w:space="0"/>
            </w:tcBorders>
            <w:shd w:val="clear" w:color="auto" w:fill="auto"/>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100</w:t>
            </w:r>
          </w:p>
        </w:tc>
        <w:tc>
          <w:tcPr>
            <w:tcW w:w="6379"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c>
          <w:tcPr>
            <w:tcW w:w="3118"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16"/>
                <w:szCs w:val="16"/>
              </w:rPr>
            </w:pPr>
            <w:r>
              <w:rPr>
                <w:rFonts w:hint="eastAsia" w:ascii="宋体" w:hAnsi="宋体" w:eastAsia="宋体" w:cs="宋体"/>
                <w:color w:val="000000"/>
                <w:sz w:val="16"/>
                <w:szCs w:val="16"/>
              </w:rPr>
              <w:t>　</w:t>
            </w:r>
          </w:p>
        </w:tc>
        <w:tc>
          <w:tcPr>
            <w:tcW w:w="937" w:type="dxa"/>
            <w:tcBorders>
              <w:top w:val="nil"/>
              <w:left w:val="nil"/>
              <w:bottom w:val="single" w:color="auto" w:sz="4" w:space="0"/>
              <w:right w:val="single" w:color="auto" w:sz="4" w:space="0"/>
            </w:tcBorders>
            <w:shd w:val="clear" w:color="auto" w:fill="auto"/>
            <w:noWrap/>
            <w:vAlign w:val="center"/>
          </w:tcPr>
          <w:p>
            <w:pPr>
              <w:adjustRightInd/>
              <w:snapToGrid/>
              <w:spacing w:after="0"/>
              <w:jc w:val="center"/>
              <w:rPr>
                <w:rFonts w:ascii="宋体" w:hAnsi="宋体" w:eastAsia="宋体" w:cs="宋体"/>
                <w:color w:val="000000"/>
                <w:sz w:val="16"/>
                <w:szCs w:val="16"/>
              </w:rPr>
            </w:pPr>
            <w:r>
              <w:rPr>
                <w:rFonts w:hint="eastAsia" w:ascii="宋体" w:hAnsi="宋体" w:eastAsia="宋体" w:cs="宋体"/>
                <w:color w:val="000000"/>
                <w:sz w:val="16"/>
                <w:szCs w:val="16"/>
              </w:rPr>
              <w:t>73.65</w:t>
            </w:r>
          </w:p>
        </w:tc>
        <w:tc>
          <w:tcPr>
            <w:tcW w:w="1093" w:type="dxa"/>
            <w:tcBorders>
              <w:top w:val="nil"/>
              <w:left w:val="nil"/>
              <w:bottom w:val="single" w:color="auto" w:sz="4" w:space="0"/>
              <w:right w:val="single" w:color="auto" w:sz="4" w:space="0"/>
            </w:tcBorders>
            <w:shd w:val="clear" w:color="auto" w:fill="auto"/>
            <w:noWrap/>
            <w:vAlign w:val="center"/>
          </w:tcPr>
          <w:p>
            <w:pPr>
              <w:adjustRightInd/>
              <w:snapToGrid/>
              <w:spacing w:after="0"/>
              <w:rPr>
                <w:rFonts w:ascii="宋体" w:hAnsi="宋体" w:eastAsia="宋体" w:cs="宋体"/>
                <w:color w:val="000000"/>
                <w:sz w:val="20"/>
                <w:szCs w:val="20"/>
              </w:rPr>
            </w:pPr>
            <w:r>
              <w:rPr>
                <w:rFonts w:hint="eastAsia" w:ascii="宋体" w:hAnsi="宋体" w:eastAsia="宋体" w:cs="宋体"/>
                <w:color w:val="000000"/>
                <w:sz w:val="20"/>
                <w:szCs w:val="20"/>
              </w:rPr>
              <w:t>　</w:t>
            </w:r>
          </w:p>
        </w:tc>
      </w:tr>
    </w:tbl>
    <w:p>
      <w:pPr>
        <w:spacing w:line="580" w:lineRule="exact"/>
        <w:ind w:firstLine="560" w:firstLineChars="200"/>
        <w:jc w:val="both"/>
        <w:textAlignment w:val="baseline"/>
        <w:rPr>
          <w:rFonts w:ascii="仿宋_GB2312" w:eastAsia="仿宋_GB2312" w:cs="Times New Roman" w:hAnsiTheme="minorEastAsia"/>
          <w:sz w:val="28"/>
          <w:szCs w:val="28"/>
          <w:u w:color="000000"/>
        </w:rPr>
      </w:pPr>
    </w:p>
    <w:sectPr>
      <w:pgSz w:w="16838" w:h="11906" w:orient="landscape"/>
      <w:pgMar w:top="1797" w:right="1440" w:bottom="1797" w:left="1191"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新宋体">
    <w:panose1 w:val="02010609030101010101"/>
    <w:charset w:val="86"/>
    <w:family w:val="modern"/>
    <w:pitch w:val="default"/>
    <w:sig w:usb0="00000283" w:usb1="288F0000" w:usb2="00000006" w:usb3="00000000" w:csb0="00040001" w:csb1="00000000"/>
  </w:font>
  <w:font w:name="幼圆">
    <w:altName w:val="微软雅黑"/>
    <w:panose1 w:val="00000000000000000000"/>
    <w:charset w:val="86"/>
    <w:family w:val="modern"/>
    <w:pitch w:val="default"/>
    <w:sig w:usb0="00000000" w:usb1="00000000" w:usb2="00000010" w:usb3="00000000" w:csb0="00040000" w:csb1="00000000"/>
  </w:font>
  <w:font w:name="华文仿宋">
    <w:altName w:val="仿宋"/>
    <w:panose1 w:val="00000000000000000000"/>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p>
  <w:p>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jc w:val="center"/>
    </w:pPr>
    <w:r>
      <w:fldChar w:fldCharType="begin"/>
    </w:r>
    <w:r>
      <w:instrText xml:space="preserve"> PAGE   \* MERGEFORMAT </w:instrText>
    </w:r>
    <w:r>
      <w:fldChar w:fldCharType="separate"/>
    </w:r>
    <w:r>
      <w:rPr>
        <w:lang w:val="zh-CN"/>
      </w:rPr>
      <w:t>32</w:t>
    </w:r>
    <w:r>
      <w:rPr>
        <w:lang w:val="zh-CN"/>
      </w:rPr>
      <w:fldChar w:fldCharType="end"/>
    </w:r>
  </w:p>
  <w:p>
    <w:pPr>
      <w:pStyle w:val="1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hideSpellingErrors/>
  <w:hideGrammaticalErrors/>
  <w:documentProtection w:enforcement="0"/>
  <w:defaultTabStop w:val="720"/>
  <w:drawingGridHorizontalSpacing w:val="110"/>
  <w:displayHorizontalDrawingGridEvery w:val="2"/>
  <w:noPunctuationKerning w:val="1"/>
  <w:characterSpacingControl w:val="doNotCompres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rsids>
    <w:rsidRoot w:val="00D31D50"/>
    <w:rsid w:val="00004179"/>
    <w:rsid w:val="0000439F"/>
    <w:rsid w:val="00005714"/>
    <w:rsid w:val="00007CA0"/>
    <w:rsid w:val="000122EB"/>
    <w:rsid w:val="00015C39"/>
    <w:rsid w:val="0002415F"/>
    <w:rsid w:val="00025620"/>
    <w:rsid w:val="0002705B"/>
    <w:rsid w:val="0002763C"/>
    <w:rsid w:val="000317D7"/>
    <w:rsid w:val="00032B03"/>
    <w:rsid w:val="000334C2"/>
    <w:rsid w:val="0003450B"/>
    <w:rsid w:val="0003465E"/>
    <w:rsid w:val="00034910"/>
    <w:rsid w:val="0003506D"/>
    <w:rsid w:val="000409C0"/>
    <w:rsid w:val="0004123E"/>
    <w:rsid w:val="00041D91"/>
    <w:rsid w:val="00042617"/>
    <w:rsid w:val="00042A45"/>
    <w:rsid w:val="00044599"/>
    <w:rsid w:val="000446E5"/>
    <w:rsid w:val="000453A0"/>
    <w:rsid w:val="00047D7B"/>
    <w:rsid w:val="000509B6"/>
    <w:rsid w:val="00050A62"/>
    <w:rsid w:val="000516BA"/>
    <w:rsid w:val="00051DBC"/>
    <w:rsid w:val="00052010"/>
    <w:rsid w:val="00053899"/>
    <w:rsid w:val="00061096"/>
    <w:rsid w:val="000612A2"/>
    <w:rsid w:val="00063117"/>
    <w:rsid w:val="000643DC"/>
    <w:rsid w:val="000702B8"/>
    <w:rsid w:val="0007190C"/>
    <w:rsid w:val="00072BF5"/>
    <w:rsid w:val="00073341"/>
    <w:rsid w:val="0007401C"/>
    <w:rsid w:val="000752C6"/>
    <w:rsid w:val="00075B78"/>
    <w:rsid w:val="00075BE1"/>
    <w:rsid w:val="00077648"/>
    <w:rsid w:val="00080E48"/>
    <w:rsid w:val="00091D50"/>
    <w:rsid w:val="000935D5"/>
    <w:rsid w:val="0009618D"/>
    <w:rsid w:val="00096195"/>
    <w:rsid w:val="0009756F"/>
    <w:rsid w:val="000977FF"/>
    <w:rsid w:val="000A1F67"/>
    <w:rsid w:val="000A2079"/>
    <w:rsid w:val="000A5467"/>
    <w:rsid w:val="000A6A35"/>
    <w:rsid w:val="000B09F3"/>
    <w:rsid w:val="000B0C4A"/>
    <w:rsid w:val="000B23E8"/>
    <w:rsid w:val="000B62FE"/>
    <w:rsid w:val="000B72BC"/>
    <w:rsid w:val="000B78D7"/>
    <w:rsid w:val="000C0241"/>
    <w:rsid w:val="000C1EA5"/>
    <w:rsid w:val="000C4624"/>
    <w:rsid w:val="000C52FB"/>
    <w:rsid w:val="000C55E6"/>
    <w:rsid w:val="000C6D5A"/>
    <w:rsid w:val="000D09B2"/>
    <w:rsid w:val="000D5FB2"/>
    <w:rsid w:val="000D7C38"/>
    <w:rsid w:val="000E0902"/>
    <w:rsid w:val="000E3830"/>
    <w:rsid w:val="000F070B"/>
    <w:rsid w:val="000F3158"/>
    <w:rsid w:val="000F364D"/>
    <w:rsid w:val="000F4432"/>
    <w:rsid w:val="000F465E"/>
    <w:rsid w:val="000F5E8C"/>
    <w:rsid w:val="001000B2"/>
    <w:rsid w:val="00104C6C"/>
    <w:rsid w:val="0010560E"/>
    <w:rsid w:val="0010612A"/>
    <w:rsid w:val="00106FF7"/>
    <w:rsid w:val="00107111"/>
    <w:rsid w:val="001073D6"/>
    <w:rsid w:val="00107819"/>
    <w:rsid w:val="00111530"/>
    <w:rsid w:val="0011574B"/>
    <w:rsid w:val="00116132"/>
    <w:rsid w:val="00117B9C"/>
    <w:rsid w:val="00117E7D"/>
    <w:rsid w:val="00120D30"/>
    <w:rsid w:val="00120EA6"/>
    <w:rsid w:val="00122196"/>
    <w:rsid w:val="0012439D"/>
    <w:rsid w:val="0012587C"/>
    <w:rsid w:val="0013591D"/>
    <w:rsid w:val="001412B8"/>
    <w:rsid w:val="00141DE8"/>
    <w:rsid w:val="00144105"/>
    <w:rsid w:val="00145B4E"/>
    <w:rsid w:val="00154411"/>
    <w:rsid w:val="001544E1"/>
    <w:rsid w:val="001551CE"/>
    <w:rsid w:val="00164732"/>
    <w:rsid w:val="00164FE1"/>
    <w:rsid w:val="001703D7"/>
    <w:rsid w:val="00170F56"/>
    <w:rsid w:val="001719D0"/>
    <w:rsid w:val="00172245"/>
    <w:rsid w:val="0017403C"/>
    <w:rsid w:val="00174241"/>
    <w:rsid w:val="00176E7D"/>
    <w:rsid w:val="001804B7"/>
    <w:rsid w:val="001827F5"/>
    <w:rsid w:val="00183C43"/>
    <w:rsid w:val="00185652"/>
    <w:rsid w:val="00187750"/>
    <w:rsid w:val="00190292"/>
    <w:rsid w:val="001926B8"/>
    <w:rsid w:val="0019341A"/>
    <w:rsid w:val="001952EC"/>
    <w:rsid w:val="001A0F7A"/>
    <w:rsid w:val="001A1677"/>
    <w:rsid w:val="001A5FD3"/>
    <w:rsid w:val="001B0380"/>
    <w:rsid w:val="001B04A4"/>
    <w:rsid w:val="001B30D5"/>
    <w:rsid w:val="001B382A"/>
    <w:rsid w:val="001B5C88"/>
    <w:rsid w:val="001B6CE6"/>
    <w:rsid w:val="001B7DCA"/>
    <w:rsid w:val="001C046D"/>
    <w:rsid w:val="001C1412"/>
    <w:rsid w:val="001C391F"/>
    <w:rsid w:val="001C5135"/>
    <w:rsid w:val="001C78C2"/>
    <w:rsid w:val="001C796E"/>
    <w:rsid w:val="001C7C81"/>
    <w:rsid w:val="001D1367"/>
    <w:rsid w:val="001D5041"/>
    <w:rsid w:val="001D5930"/>
    <w:rsid w:val="001D5A7C"/>
    <w:rsid w:val="001D76AA"/>
    <w:rsid w:val="001D7D3E"/>
    <w:rsid w:val="001E0859"/>
    <w:rsid w:val="001E21EA"/>
    <w:rsid w:val="001E288A"/>
    <w:rsid w:val="001E3ABB"/>
    <w:rsid w:val="001E4C24"/>
    <w:rsid w:val="001E5C43"/>
    <w:rsid w:val="001F07B6"/>
    <w:rsid w:val="001F0B92"/>
    <w:rsid w:val="001F1094"/>
    <w:rsid w:val="001F2F0E"/>
    <w:rsid w:val="001F33AA"/>
    <w:rsid w:val="001F6236"/>
    <w:rsid w:val="00200051"/>
    <w:rsid w:val="00202D5A"/>
    <w:rsid w:val="00205F02"/>
    <w:rsid w:val="00206E3D"/>
    <w:rsid w:val="002077D2"/>
    <w:rsid w:val="0021307B"/>
    <w:rsid w:val="002142B8"/>
    <w:rsid w:val="002161F4"/>
    <w:rsid w:val="00216E75"/>
    <w:rsid w:val="00221907"/>
    <w:rsid w:val="00221FC6"/>
    <w:rsid w:val="00222FA8"/>
    <w:rsid w:val="0022532A"/>
    <w:rsid w:val="00227AFB"/>
    <w:rsid w:val="002300C6"/>
    <w:rsid w:val="00235741"/>
    <w:rsid w:val="00236B18"/>
    <w:rsid w:val="002401EA"/>
    <w:rsid w:val="00241B9D"/>
    <w:rsid w:val="002439D4"/>
    <w:rsid w:val="00246A44"/>
    <w:rsid w:val="00247637"/>
    <w:rsid w:val="00250BAC"/>
    <w:rsid w:val="00251FF3"/>
    <w:rsid w:val="00256413"/>
    <w:rsid w:val="00260245"/>
    <w:rsid w:val="0026252A"/>
    <w:rsid w:val="00262BB1"/>
    <w:rsid w:val="00263D3A"/>
    <w:rsid w:val="002643BE"/>
    <w:rsid w:val="00265325"/>
    <w:rsid w:val="00266485"/>
    <w:rsid w:val="00266E84"/>
    <w:rsid w:val="002715FC"/>
    <w:rsid w:val="002736FD"/>
    <w:rsid w:val="00274CFA"/>
    <w:rsid w:val="00275677"/>
    <w:rsid w:val="00275A3F"/>
    <w:rsid w:val="0028068C"/>
    <w:rsid w:val="00282A89"/>
    <w:rsid w:val="00283F8F"/>
    <w:rsid w:val="002869F9"/>
    <w:rsid w:val="00292F98"/>
    <w:rsid w:val="002939A0"/>
    <w:rsid w:val="002959A3"/>
    <w:rsid w:val="0029626E"/>
    <w:rsid w:val="00296E59"/>
    <w:rsid w:val="00297CEF"/>
    <w:rsid w:val="002A0364"/>
    <w:rsid w:val="002A1661"/>
    <w:rsid w:val="002A1A25"/>
    <w:rsid w:val="002A563C"/>
    <w:rsid w:val="002A733B"/>
    <w:rsid w:val="002B05EF"/>
    <w:rsid w:val="002B2E34"/>
    <w:rsid w:val="002B6431"/>
    <w:rsid w:val="002B76FA"/>
    <w:rsid w:val="002C029E"/>
    <w:rsid w:val="002C2C71"/>
    <w:rsid w:val="002C5998"/>
    <w:rsid w:val="002C5A65"/>
    <w:rsid w:val="002C71F3"/>
    <w:rsid w:val="002D208A"/>
    <w:rsid w:val="002D2112"/>
    <w:rsid w:val="002D53D7"/>
    <w:rsid w:val="002D5508"/>
    <w:rsid w:val="002D5FC1"/>
    <w:rsid w:val="002D7AB3"/>
    <w:rsid w:val="002E1D3C"/>
    <w:rsid w:val="002E1F73"/>
    <w:rsid w:val="002E269D"/>
    <w:rsid w:val="002E3460"/>
    <w:rsid w:val="002E540A"/>
    <w:rsid w:val="002E70AE"/>
    <w:rsid w:val="002F0C41"/>
    <w:rsid w:val="002F5B6A"/>
    <w:rsid w:val="002F5C73"/>
    <w:rsid w:val="002F5ECA"/>
    <w:rsid w:val="00306572"/>
    <w:rsid w:val="003079C7"/>
    <w:rsid w:val="003169F3"/>
    <w:rsid w:val="0032076E"/>
    <w:rsid w:val="0032078D"/>
    <w:rsid w:val="00321CE0"/>
    <w:rsid w:val="0032231F"/>
    <w:rsid w:val="00323B43"/>
    <w:rsid w:val="00325BCC"/>
    <w:rsid w:val="003309A3"/>
    <w:rsid w:val="003345BC"/>
    <w:rsid w:val="00343662"/>
    <w:rsid w:val="00352B9F"/>
    <w:rsid w:val="0035365E"/>
    <w:rsid w:val="00355403"/>
    <w:rsid w:val="003569A8"/>
    <w:rsid w:val="00360505"/>
    <w:rsid w:val="00361FFF"/>
    <w:rsid w:val="00362340"/>
    <w:rsid w:val="003653A5"/>
    <w:rsid w:val="00366971"/>
    <w:rsid w:val="00367DF7"/>
    <w:rsid w:val="00370AFA"/>
    <w:rsid w:val="0037120F"/>
    <w:rsid w:val="0037242E"/>
    <w:rsid w:val="003743E9"/>
    <w:rsid w:val="0038005F"/>
    <w:rsid w:val="003803CC"/>
    <w:rsid w:val="00382949"/>
    <w:rsid w:val="003903BA"/>
    <w:rsid w:val="00390BCF"/>
    <w:rsid w:val="00390CC3"/>
    <w:rsid w:val="00391AE3"/>
    <w:rsid w:val="00395024"/>
    <w:rsid w:val="00396D4C"/>
    <w:rsid w:val="003A02BE"/>
    <w:rsid w:val="003A1765"/>
    <w:rsid w:val="003A3C32"/>
    <w:rsid w:val="003A4D52"/>
    <w:rsid w:val="003A536E"/>
    <w:rsid w:val="003B6DEC"/>
    <w:rsid w:val="003B79D3"/>
    <w:rsid w:val="003C1F00"/>
    <w:rsid w:val="003C2B92"/>
    <w:rsid w:val="003D1D33"/>
    <w:rsid w:val="003D22C9"/>
    <w:rsid w:val="003D26A4"/>
    <w:rsid w:val="003D28AC"/>
    <w:rsid w:val="003D37D8"/>
    <w:rsid w:val="003D58CC"/>
    <w:rsid w:val="003D5A11"/>
    <w:rsid w:val="003D7B2A"/>
    <w:rsid w:val="003E266C"/>
    <w:rsid w:val="003E376B"/>
    <w:rsid w:val="003E3C05"/>
    <w:rsid w:val="003E6D5B"/>
    <w:rsid w:val="003F282F"/>
    <w:rsid w:val="003F388E"/>
    <w:rsid w:val="00400CC5"/>
    <w:rsid w:val="00400E89"/>
    <w:rsid w:val="00401AB4"/>
    <w:rsid w:val="00402CA2"/>
    <w:rsid w:val="00402D95"/>
    <w:rsid w:val="00403ADD"/>
    <w:rsid w:val="00407629"/>
    <w:rsid w:val="004108EE"/>
    <w:rsid w:val="00410F1A"/>
    <w:rsid w:val="00412A31"/>
    <w:rsid w:val="00415ED8"/>
    <w:rsid w:val="004200B9"/>
    <w:rsid w:val="00423976"/>
    <w:rsid w:val="00425127"/>
    <w:rsid w:val="00426133"/>
    <w:rsid w:val="004300B1"/>
    <w:rsid w:val="00430AF8"/>
    <w:rsid w:val="0043148F"/>
    <w:rsid w:val="0043354D"/>
    <w:rsid w:val="0043497F"/>
    <w:rsid w:val="00434EB0"/>
    <w:rsid w:val="004358AB"/>
    <w:rsid w:val="00435DA7"/>
    <w:rsid w:val="004370A2"/>
    <w:rsid w:val="00445C28"/>
    <w:rsid w:val="004468B5"/>
    <w:rsid w:val="00451E9F"/>
    <w:rsid w:val="0045509E"/>
    <w:rsid w:val="004551F1"/>
    <w:rsid w:val="00456648"/>
    <w:rsid w:val="004569C8"/>
    <w:rsid w:val="00457E00"/>
    <w:rsid w:val="00461E7C"/>
    <w:rsid w:val="004639E0"/>
    <w:rsid w:val="00463A6D"/>
    <w:rsid w:val="00465A21"/>
    <w:rsid w:val="0047047F"/>
    <w:rsid w:val="00472C49"/>
    <w:rsid w:val="00474DE3"/>
    <w:rsid w:val="00477959"/>
    <w:rsid w:val="0048375B"/>
    <w:rsid w:val="00483D84"/>
    <w:rsid w:val="00486217"/>
    <w:rsid w:val="00486CA2"/>
    <w:rsid w:val="00494D73"/>
    <w:rsid w:val="004A19C4"/>
    <w:rsid w:val="004A34C2"/>
    <w:rsid w:val="004A6EA4"/>
    <w:rsid w:val="004B05EA"/>
    <w:rsid w:val="004B146A"/>
    <w:rsid w:val="004B19C8"/>
    <w:rsid w:val="004B1B76"/>
    <w:rsid w:val="004B1E69"/>
    <w:rsid w:val="004B2001"/>
    <w:rsid w:val="004B4146"/>
    <w:rsid w:val="004B5892"/>
    <w:rsid w:val="004B59DD"/>
    <w:rsid w:val="004B5E88"/>
    <w:rsid w:val="004B5EDE"/>
    <w:rsid w:val="004C0341"/>
    <w:rsid w:val="004C1F90"/>
    <w:rsid w:val="004C3E25"/>
    <w:rsid w:val="004C46D3"/>
    <w:rsid w:val="004C5D39"/>
    <w:rsid w:val="004C6F6E"/>
    <w:rsid w:val="004C7656"/>
    <w:rsid w:val="004C7C48"/>
    <w:rsid w:val="004D21B9"/>
    <w:rsid w:val="004D21FF"/>
    <w:rsid w:val="004D2DD5"/>
    <w:rsid w:val="004D41F0"/>
    <w:rsid w:val="004D55F1"/>
    <w:rsid w:val="004D578A"/>
    <w:rsid w:val="004D656B"/>
    <w:rsid w:val="004D7523"/>
    <w:rsid w:val="004E0AA9"/>
    <w:rsid w:val="004E1AEF"/>
    <w:rsid w:val="004E3774"/>
    <w:rsid w:val="004E37C2"/>
    <w:rsid w:val="004E446B"/>
    <w:rsid w:val="004E5448"/>
    <w:rsid w:val="004E5DFC"/>
    <w:rsid w:val="004E642E"/>
    <w:rsid w:val="004E7305"/>
    <w:rsid w:val="004E7ADC"/>
    <w:rsid w:val="004F4875"/>
    <w:rsid w:val="005031BA"/>
    <w:rsid w:val="00507211"/>
    <w:rsid w:val="00507934"/>
    <w:rsid w:val="0051171B"/>
    <w:rsid w:val="00512D1D"/>
    <w:rsid w:val="005131A5"/>
    <w:rsid w:val="00515160"/>
    <w:rsid w:val="00516D5A"/>
    <w:rsid w:val="005170FB"/>
    <w:rsid w:val="00520ED8"/>
    <w:rsid w:val="0052300D"/>
    <w:rsid w:val="00523B77"/>
    <w:rsid w:val="0052474C"/>
    <w:rsid w:val="00525074"/>
    <w:rsid w:val="00525520"/>
    <w:rsid w:val="005319EE"/>
    <w:rsid w:val="00531BE2"/>
    <w:rsid w:val="00534113"/>
    <w:rsid w:val="005421AC"/>
    <w:rsid w:val="00542FFE"/>
    <w:rsid w:val="00544C1A"/>
    <w:rsid w:val="00546D1B"/>
    <w:rsid w:val="0055027D"/>
    <w:rsid w:val="00552C7B"/>
    <w:rsid w:val="00554FA1"/>
    <w:rsid w:val="00556934"/>
    <w:rsid w:val="005607DF"/>
    <w:rsid w:val="005627CD"/>
    <w:rsid w:val="00564377"/>
    <w:rsid w:val="00564538"/>
    <w:rsid w:val="00566A89"/>
    <w:rsid w:val="00567E07"/>
    <w:rsid w:val="005730A3"/>
    <w:rsid w:val="00573248"/>
    <w:rsid w:val="00573A55"/>
    <w:rsid w:val="005771F7"/>
    <w:rsid w:val="00577B7B"/>
    <w:rsid w:val="00583F7F"/>
    <w:rsid w:val="0058600B"/>
    <w:rsid w:val="00587913"/>
    <w:rsid w:val="00593428"/>
    <w:rsid w:val="00593B65"/>
    <w:rsid w:val="005A15D6"/>
    <w:rsid w:val="005A1FD8"/>
    <w:rsid w:val="005A317D"/>
    <w:rsid w:val="005A79F9"/>
    <w:rsid w:val="005B1BCE"/>
    <w:rsid w:val="005C3594"/>
    <w:rsid w:val="005C46B7"/>
    <w:rsid w:val="005C6FBA"/>
    <w:rsid w:val="005C7433"/>
    <w:rsid w:val="005C7C8B"/>
    <w:rsid w:val="005D2214"/>
    <w:rsid w:val="005D3B67"/>
    <w:rsid w:val="005D5617"/>
    <w:rsid w:val="005D6591"/>
    <w:rsid w:val="005D6869"/>
    <w:rsid w:val="005D7446"/>
    <w:rsid w:val="005E5F88"/>
    <w:rsid w:val="005F06F5"/>
    <w:rsid w:val="005F17C8"/>
    <w:rsid w:val="005F46C0"/>
    <w:rsid w:val="005F471D"/>
    <w:rsid w:val="005F5C02"/>
    <w:rsid w:val="005F720A"/>
    <w:rsid w:val="005F7467"/>
    <w:rsid w:val="005F78E7"/>
    <w:rsid w:val="006007F3"/>
    <w:rsid w:val="00600D3C"/>
    <w:rsid w:val="0060402C"/>
    <w:rsid w:val="006048DA"/>
    <w:rsid w:val="00610943"/>
    <w:rsid w:val="00610CBF"/>
    <w:rsid w:val="0061252A"/>
    <w:rsid w:val="00613012"/>
    <w:rsid w:val="006135B3"/>
    <w:rsid w:val="006138D4"/>
    <w:rsid w:val="00615448"/>
    <w:rsid w:val="00616C03"/>
    <w:rsid w:val="00616F30"/>
    <w:rsid w:val="006215A2"/>
    <w:rsid w:val="00621F7D"/>
    <w:rsid w:val="00622AD1"/>
    <w:rsid w:val="00623267"/>
    <w:rsid w:val="00625428"/>
    <w:rsid w:val="006257EF"/>
    <w:rsid w:val="0062670B"/>
    <w:rsid w:val="00626F6A"/>
    <w:rsid w:val="00630B86"/>
    <w:rsid w:val="00630F5B"/>
    <w:rsid w:val="00634C66"/>
    <w:rsid w:val="006352D1"/>
    <w:rsid w:val="00636D2E"/>
    <w:rsid w:val="00636E1A"/>
    <w:rsid w:val="006372D6"/>
    <w:rsid w:val="006428F0"/>
    <w:rsid w:val="00642BA5"/>
    <w:rsid w:val="006434E0"/>
    <w:rsid w:val="00650C90"/>
    <w:rsid w:val="0065172D"/>
    <w:rsid w:val="00652862"/>
    <w:rsid w:val="0065287D"/>
    <w:rsid w:val="0065671B"/>
    <w:rsid w:val="00656A5A"/>
    <w:rsid w:val="00663A42"/>
    <w:rsid w:val="0066418E"/>
    <w:rsid w:val="0066469F"/>
    <w:rsid w:val="00665175"/>
    <w:rsid w:val="00671C66"/>
    <w:rsid w:val="0067780F"/>
    <w:rsid w:val="00686C30"/>
    <w:rsid w:val="00690FA3"/>
    <w:rsid w:val="0069331D"/>
    <w:rsid w:val="00696DF8"/>
    <w:rsid w:val="0069783E"/>
    <w:rsid w:val="00697E26"/>
    <w:rsid w:val="006A0330"/>
    <w:rsid w:val="006A3AE1"/>
    <w:rsid w:val="006A3B57"/>
    <w:rsid w:val="006A6AB2"/>
    <w:rsid w:val="006B117D"/>
    <w:rsid w:val="006B19B7"/>
    <w:rsid w:val="006B2839"/>
    <w:rsid w:val="006B392C"/>
    <w:rsid w:val="006B4CC0"/>
    <w:rsid w:val="006B628F"/>
    <w:rsid w:val="006B65B0"/>
    <w:rsid w:val="006C1456"/>
    <w:rsid w:val="006C5198"/>
    <w:rsid w:val="006C664B"/>
    <w:rsid w:val="006C6A07"/>
    <w:rsid w:val="006E0A3D"/>
    <w:rsid w:val="006E1A1A"/>
    <w:rsid w:val="006E27F1"/>
    <w:rsid w:val="006E5BC8"/>
    <w:rsid w:val="006E7CBA"/>
    <w:rsid w:val="006F222F"/>
    <w:rsid w:val="006F6BFF"/>
    <w:rsid w:val="006F7B69"/>
    <w:rsid w:val="00700A64"/>
    <w:rsid w:val="0070241F"/>
    <w:rsid w:val="007024A9"/>
    <w:rsid w:val="00703C96"/>
    <w:rsid w:val="007130D7"/>
    <w:rsid w:val="00713E98"/>
    <w:rsid w:val="00715591"/>
    <w:rsid w:val="00715AE8"/>
    <w:rsid w:val="00723DA3"/>
    <w:rsid w:val="00723FE5"/>
    <w:rsid w:val="0072516F"/>
    <w:rsid w:val="00726794"/>
    <w:rsid w:val="0073034D"/>
    <w:rsid w:val="00731ADC"/>
    <w:rsid w:val="007330F2"/>
    <w:rsid w:val="00733DB0"/>
    <w:rsid w:val="00735043"/>
    <w:rsid w:val="0073739B"/>
    <w:rsid w:val="00740444"/>
    <w:rsid w:val="00744577"/>
    <w:rsid w:val="007452CF"/>
    <w:rsid w:val="00746055"/>
    <w:rsid w:val="00746DA9"/>
    <w:rsid w:val="00747086"/>
    <w:rsid w:val="0074761C"/>
    <w:rsid w:val="007515E2"/>
    <w:rsid w:val="007537BA"/>
    <w:rsid w:val="00753BFD"/>
    <w:rsid w:val="00756D66"/>
    <w:rsid w:val="007611D6"/>
    <w:rsid w:val="00761D80"/>
    <w:rsid w:val="0076364A"/>
    <w:rsid w:val="00766FC5"/>
    <w:rsid w:val="00770E5B"/>
    <w:rsid w:val="0077157D"/>
    <w:rsid w:val="00772930"/>
    <w:rsid w:val="00774DB8"/>
    <w:rsid w:val="00776E20"/>
    <w:rsid w:val="0077747E"/>
    <w:rsid w:val="007814AF"/>
    <w:rsid w:val="007825F0"/>
    <w:rsid w:val="00787AE8"/>
    <w:rsid w:val="00787F88"/>
    <w:rsid w:val="00791619"/>
    <w:rsid w:val="00791CB8"/>
    <w:rsid w:val="0079721A"/>
    <w:rsid w:val="007A095C"/>
    <w:rsid w:val="007A0AF8"/>
    <w:rsid w:val="007A283A"/>
    <w:rsid w:val="007A65C8"/>
    <w:rsid w:val="007A6B16"/>
    <w:rsid w:val="007A7AC4"/>
    <w:rsid w:val="007B3ED3"/>
    <w:rsid w:val="007B639C"/>
    <w:rsid w:val="007B7036"/>
    <w:rsid w:val="007C0870"/>
    <w:rsid w:val="007C1C3B"/>
    <w:rsid w:val="007C457D"/>
    <w:rsid w:val="007D02A9"/>
    <w:rsid w:val="007D166D"/>
    <w:rsid w:val="007D17C7"/>
    <w:rsid w:val="007D2766"/>
    <w:rsid w:val="007D2FF7"/>
    <w:rsid w:val="007D3628"/>
    <w:rsid w:val="007D74D8"/>
    <w:rsid w:val="007E13A4"/>
    <w:rsid w:val="007E20CA"/>
    <w:rsid w:val="007E3988"/>
    <w:rsid w:val="007E4698"/>
    <w:rsid w:val="007E6959"/>
    <w:rsid w:val="007E6991"/>
    <w:rsid w:val="007E7A36"/>
    <w:rsid w:val="007F222D"/>
    <w:rsid w:val="007F2ED2"/>
    <w:rsid w:val="007F3FB7"/>
    <w:rsid w:val="007F518D"/>
    <w:rsid w:val="007F68FE"/>
    <w:rsid w:val="007F7E7E"/>
    <w:rsid w:val="00803C29"/>
    <w:rsid w:val="00804E5E"/>
    <w:rsid w:val="00804FAA"/>
    <w:rsid w:val="00805678"/>
    <w:rsid w:val="00805D26"/>
    <w:rsid w:val="0081553D"/>
    <w:rsid w:val="00815BE9"/>
    <w:rsid w:val="00815C94"/>
    <w:rsid w:val="00815CF6"/>
    <w:rsid w:val="00816990"/>
    <w:rsid w:val="00817981"/>
    <w:rsid w:val="00822851"/>
    <w:rsid w:val="0082509A"/>
    <w:rsid w:val="00825A51"/>
    <w:rsid w:val="00825D53"/>
    <w:rsid w:val="008272DF"/>
    <w:rsid w:val="00831065"/>
    <w:rsid w:val="008331F9"/>
    <w:rsid w:val="008337A7"/>
    <w:rsid w:val="00835BCB"/>
    <w:rsid w:val="00836773"/>
    <w:rsid w:val="00836E6A"/>
    <w:rsid w:val="008410D0"/>
    <w:rsid w:val="00841559"/>
    <w:rsid w:val="0084558B"/>
    <w:rsid w:val="00845924"/>
    <w:rsid w:val="00846107"/>
    <w:rsid w:val="00847E07"/>
    <w:rsid w:val="00851297"/>
    <w:rsid w:val="00853737"/>
    <w:rsid w:val="008537C3"/>
    <w:rsid w:val="008541B8"/>
    <w:rsid w:val="008543B2"/>
    <w:rsid w:val="00857249"/>
    <w:rsid w:val="00861067"/>
    <w:rsid w:val="00862AE2"/>
    <w:rsid w:val="00862C25"/>
    <w:rsid w:val="00863CA2"/>
    <w:rsid w:val="00864A80"/>
    <w:rsid w:val="008655ED"/>
    <w:rsid w:val="00866942"/>
    <w:rsid w:val="008677EA"/>
    <w:rsid w:val="00871B0D"/>
    <w:rsid w:val="00871B14"/>
    <w:rsid w:val="008735A1"/>
    <w:rsid w:val="00874BBE"/>
    <w:rsid w:val="00875962"/>
    <w:rsid w:val="00880325"/>
    <w:rsid w:val="0088071F"/>
    <w:rsid w:val="00882ABD"/>
    <w:rsid w:val="008844A4"/>
    <w:rsid w:val="008857CC"/>
    <w:rsid w:val="008924E6"/>
    <w:rsid w:val="0089314F"/>
    <w:rsid w:val="0089328E"/>
    <w:rsid w:val="0089513A"/>
    <w:rsid w:val="00896069"/>
    <w:rsid w:val="00896786"/>
    <w:rsid w:val="008976AB"/>
    <w:rsid w:val="0089789B"/>
    <w:rsid w:val="008A2C15"/>
    <w:rsid w:val="008A3DBA"/>
    <w:rsid w:val="008A483E"/>
    <w:rsid w:val="008A5601"/>
    <w:rsid w:val="008B5A79"/>
    <w:rsid w:val="008B7726"/>
    <w:rsid w:val="008C08EC"/>
    <w:rsid w:val="008C234C"/>
    <w:rsid w:val="008C2432"/>
    <w:rsid w:val="008C2997"/>
    <w:rsid w:val="008C3689"/>
    <w:rsid w:val="008C443B"/>
    <w:rsid w:val="008C538A"/>
    <w:rsid w:val="008D0618"/>
    <w:rsid w:val="008D1AEB"/>
    <w:rsid w:val="008D1E23"/>
    <w:rsid w:val="008D2A7C"/>
    <w:rsid w:val="008D3031"/>
    <w:rsid w:val="008D4F00"/>
    <w:rsid w:val="008D7DBC"/>
    <w:rsid w:val="008E08B2"/>
    <w:rsid w:val="008E0AFC"/>
    <w:rsid w:val="008E1E43"/>
    <w:rsid w:val="008E3116"/>
    <w:rsid w:val="008E567A"/>
    <w:rsid w:val="008E637F"/>
    <w:rsid w:val="008E66FE"/>
    <w:rsid w:val="008F27DB"/>
    <w:rsid w:val="008F5B6F"/>
    <w:rsid w:val="008F7D0B"/>
    <w:rsid w:val="009002A3"/>
    <w:rsid w:val="0090038C"/>
    <w:rsid w:val="009007EC"/>
    <w:rsid w:val="00900EF5"/>
    <w:rsid w:val="00901EE5"/>
    <w:rsid w:val="0090421D"/>
    <w:rsid w:val="00906447"/>
    <w:rsid w:val="0091349D"/>
    <w:rsid w:val="009141C7"/>
    <w:rsid w:val="00914835"/>
    <w:rsid w:val="009160EA"/>
    <w:rsid w:val="00920597"/>
    <w:rsid w:val="00921D3A"/>
    <w:rsid w:val="00921E42"/>
    <w:rsid w:val="0092425B"/>
    <w:rsid w:val="00924D39"/>
    <w:rsid w:val="00924FFE"/>
    <w:rsid w:val="009263C3"/>
    <w:rsid w:val="009268AB"/>
    <w:rsid w:val="00927D81"/>
    <w:rsid w:val="00933A70"/>
    <w:rsid w:val="0093485A"/>
    <w:rsid w:val="009364FF"/>
    <w:rsid w:val="00942397"/>
    <w:rsid w:val="009425B4"/>
    <w:rsid w:val="00946EA0"/>
    <w:rsid w:val="00946F52"/>
    <w:rsid w:val="00950F44"/>
    <w:rsid w:val="00951EAC"/>
    <w:rsid w:val="00952A7D"/>
    <w:rsid w:val="00952BF8"/>
    <w:rsid w:val="00953747"/>
    <w:rsid w:val="0095565A"/>
    <w:rsid w:val="00955918"/>
    <w:rsid w:val="00960439"/>
    <w:rsid w:val="00962D93"/>
    <w:rsid w:val="009636EF"/>
    <w:rsid w:val="0096408D"/>
    <w:rsid w:val="009651A8"/>
    <w:rsid w:val="009657E9"/>
    <w:rsid w:val="0096666B"/>
    <w:rsid w:val="009719C3"/>
    <w:rsid w:val="00972408"/>
    <w:rsid w:val="0097578E"/>
    <w:rsid w:val="00976E55"/>
    <w:rsid w:val="009814B0"/>
    <w:rsid w:val="009836A2"/>
    <w:rsid w:val="00984ADF"/>
    <w:rsid w:val="00984D41"/>
    <w:rsid w:val="009852BB"/>
    <w:rsid w:val="009853C4"/>
    <w:rsid w:val="0098547C"/>
    <w:rsid w:val="009860B4"/>
    <w:rsid w:val="00986724"/>
    <w:rsid w:val="0098718E"/>
    <w:rsid w:val="00994269"/>
    <w:rsid w:val="0099439A"/>
    <w:rsid w:val="00997773"/>
    <w:rsid w:val="009A0F00"/>
    <w:rsid w:val="009A37AE"/>
    <w:rsid w:val="009A4059"/>
    <w:rsid w:val="009A47EF"/>
    <w:rsid w:val="009B1979"/>
    <w:rsid w:val="009B1E1B"/>
    <w:rsid w:val="009B2CC0"/>
    <w:rsid w:val="009B45A9"/>
    <w:rsid w:val="009B4C38"/>
    <w:rsid w:val="009C0DAB"/>
    <w:rsid w:val="009C1E20"/>
    <w:rsid w:val="009D0378"/>
    <w:rsid w:val="009D0569"/>
    <w:rsid w:val="009D0F18"/>
    <w:rsid w:val="009D1EFB"/>
    <w:rsid w:val="009D5964"/>
    <w:rsid w:val="009D6A0C"/>
    <w:rsid w:val="009E0725"/>
    <w:rsid w:val="009E1492"/>
    <w:rsid w:val="009E4B3F"/>
    <w:rsid w:val="009E5877"/>
    <w:rsid w:val="009F2D10"/>
    <w:rsid w:val="009F69B0"/>
    <w:rsid w:val="00A02E5C"/>
    <w:rsid w:val="00A0310D"/>
    <w:rsid w:val="00A0315B"/>
    <w:rsid w:val="00A073F4"/>
    <w:rsid w:val="00A07BBE"/>
    <w:rsid w:val="00A16439"/>
    <w:rsid w:val="00A21057"/>
    <w:rsid w:val="00A217CE"/>
    <w:rsid w:val="00A21E86"/>
    <w:rsid w:val="00A22DFB"/>
    <w:rsid w:val="00A26589"/>
    <w:rsid w:val="00A30251"/>
    <w:rsid w:val="00A305E3"/>
    <w:rsid w:val="00A353F1"/>
    <w:rsid w:val="00A357B0"/>
    <w:rsid w:val="00A35B22"/>
    <w:rsid w:val="00A42B99"/>
    <w:rsid w:val="00A479B6"/>
    <w:rsid w:val="00A50D3C"/>
    <w:rsid w:val="00A532E3"/>
    <w:rsid w:val="00A54D9C"/>
    <w:rsid w:val="00A57200"/>
    <w:rsid w:val="00A57865"/>
    <w:rsid w:val="00A62B31"/>
    <w:rsid w:val="00A6430C"/>
    <w:rsid w:val="00A64850"/>
    <w:rsid w:val="00A65003"/>
    <w:rsid w:val="00A65202"/>
    <w:rsid w:val="00A65E29"/>
    <w:rsid w:val="00A70DA8"/>
    <w:rsid w:val="00A72D5B"/>
    <w:rsid w:val="00A73299"/>
    <w:rsid w:val="00A747DC"/>
    <w:rsid w:val="00A7536B"/>
    <w:rsid w:val="00A80356"/>
    <w:rsid w:val="00A816B6"/>
    <w:rsid w:val="00A82D81"/>
    <w:rsid w:val="00A909EE"/>
    <w:rsid w:val="00A9516C"/>
    <w:rsid w:val="00A95D9B"/>
    <w:rsid w:val="00A96E79"/>
    <w:rsid w:val="00AA2033"/>
    <w:rsid w:val="00AA4A07"/>
    <w:rsid w:val="00AA6230"/>
    <w:rsid w:val="00AA72DE"/>
    <w:rsid w:val="00AB0B5C"/>
    <w:rsid w:val="00AC5444"/>
    <w:rsid w:val="00AC70E1"/>
    <w:rsid w:val="00AD1D29"/>
    <w:rsid w:val="00AD328E"/>
    <w:rsid w:val="00AD5147"/>
    <w:rsid w:val="00AE0837"/>
    <w:rsid w:val="00AE119E"/>
    <w:rsid w:val="00AE11C8"/>
    <w:rsid w:val="00AE355C"/>
    <w:rsid w:val="00AE4EFC"/>
    <w:rsid w:val="00AE7127"/>
    <w:rsid w:val="00AF50AC"/>
    <w:rsid w:val="00AF6BA2"/>
    <w:rsid w:val="00AF7801"/>
    <w:rsid w:val="00B019E2"/>
    <w:rsid w:val="00B020ED"/>
    <w:rsid w:val="00B036CB"/>
    <w:rsid w:val="00B130D5"/>
    <w:rsid w:val="00B13566"/>
    <w:rsid w:val="00B13A54"/>
    <w:rsid w:val="00B14220"/>
    <w:rsid w:val="00B14D6D"/>
    <w:rsid w:val="00B14DA3"/>
    <w:rsid w:val="00B16868"/>
    <w:rsid w:val="00B17251"/>
    <w:rsid w:val="00B20DBD"/>
    <w:rsid w:val="00B2159A"/>
    <w:rsid w:val="00B21D32"/>
    <w:rsid w:val="00B3030E"/>
    <w:rsid w:val="00B30E35"/>
    <w:rsid w:val="00B313B2"/>
    <w:rsid w:val="00B34A43"/>
    <w:rsid w:val="00B36912"/>
    <w:rsid w:val="00B404A0"/>
    <w:rsid w:val="00B4256A"/>
    <w:rsid w:val="00B432AB"/>
    <w:rsid w:val="00B45405"/>
    <w:rsid w:val="00B51966"/>
    <w:rsid w:val="00B54723"/>
    <w:rsid w:val="00B54D75"/>
    <w:rsid w:val="00B60C2A"/>
    <w:rsid w:val="00B65FC0"/>
    <w:rsid w:val="00B707DD"/>
    <w:rsid w:val="00B719F4"/>
    <w:rsid w:val="00B73995"/>
    <w:rsid w:val="00B74DBC"/>
    <w:rsid w:val="00B75E08"/>
    <w:rsid w:val="00B76684"/>
    <w:rsid w:val="00B7698F"/>
    <w:rsid w:val="00B85F5F"/>
    <w:rsid w:val="00B86329"/>
    <w:rsid w:val="00B86395"/>
    <w:rsid w:val="00B86E2B"/>
    <w:rsid w:val="00B91DEC"/>
    <w:rsid w:val="00B92856"/>
    <w:rsid w:val="00B92A56"/>
    <w:rsid w:val="00B931F8"/>
    <w:rsid w:val="00B95DB0"/>
    <w:rsid w:val="00B97291"/>
    <w:rsid w:val="00B97741"/>
    <w:rsid w:val="00BA0721"/>
    <w:rsid w:val="00BA1883"/>
    <w:rsid w:val="00BA2138"/>
    <w:rsid w:val="00BA227D"/>
    <w:rsid w:val="00BA4C84"/>
    <w:rsid w:val="00BA7D4E"/>
    <w:rsid w:val="00BB775A"/>
    <w:rsid w:val="00BC09FC"/>
    <w:rsid w:val="00BC0DD5"/>
    <w:rsid w:val="00BC18B5"/>
    <w:rsid w:val="00BC60E6"/>
    <w:rsid w:val="00BC7529"/>
    <w:rsid w:val="00BD2DE3"/>
    <w:rsid w:val="00BD36FC"/>
    <w:rsid w:val="00BD491E"/>
    <w:rsid w:val="00BE143C"/>
    <w:rsid w:val="00BE66AA"/>
    <w:rsid w:val="00BE73B9"/>
    <w:rsid w:val="00BF444F"/>
    <w:rsid w:val="00BF4AE0"/>
    <w:rsid w:val="00BF77F5"/>
    <w:rsid w:val="00C01D8A"/>
    <w:rsid w:val="00C023EF"/>
    <w:rsid w:val="00C04CEA"/>
    <w:rsid w:val="00C15415"/>
    <w:rsid w:val="00C16FE4"/>
    <w:rsid w:val="00C172EB"/>
    <w:rsid w:val="00C22F98"/>
    <w:rsid w:val="00C2363B"/>
    <w:rsid w:val="00C24A00"/>
    <w:rsid w:val="00C26560"/>
    <w:rsid w:val="00C3062F"/>
    <w:rsid w:val="00C30951"/>
    <w:rsid w:val="00C32E7A"/>
    <w:rsid w:val="00C408D9"/>
    <w:rsid w:val="00C447FD"/>
    <w:rsid w:val="00C44B90"/>
    <w:rsid w:val="00C51434"/>
    <w:rsid w:val="00C51743"/>
    <w:rsid w:val="00C51A61"/>
    <w:rsid w:val="00C54DD0"/>
    <w:rsid w:val="00C57393"/>
    <w:rsid w:val="00C62307"/>
    <w:rsid w:val="00C64C71"/>
    <w:rsid w:val="00C6528B"/>
    <w:rsid w:val="00C661B3"/>
    <w:rsid w:val="00C70300"/>
    <w:rsid w:val="00C7037D"/>
    <w:rsid w:val="00C70637"/>
    <w:rsid w:val="00C71DC8"/>
    <w:rsid w:val="00C73E69"/>
    <w:rsid w:val="00C74592"/>
    <w:rsid w:val="00C767BA"/>
    <w:rsid w:val="00C8048C"/>
    <w:rsid w:val="00C80C68"/>
    <w:rsid w:val="00C83871"/>
    <w:rsid w:val="00C86E9A"/>
    <w:rsid w:val="00C877CD"/>
    <w:rsid w:val="00C90BC8"/>
    <w:rsid w:val="00C93A3D"/>
    <w:rsid w:val="00C94F0A"/>
    <w:rsid w:val="00CA3203"/>
    <w:rsid w:val="00CA6058"/>
    <w:rsid w:val="00CA6BD1"/>
    <w:rsid w:val="00CB1B1B"/>
    <w:rsid w:val="00CB3124"/>
    <w:rsid w:val="00CB3BD8"/>
    <w:rsid w:val="00CB3E03"/>
    <w:rsid w:val="00CB580D"/>
    <w:rsid w:val="00CB6098"/>
    <w:rsid w:val="00CB623E"/>
    <w:rsid w:val="00CB76BB"/>
    <w:rsid w:val="00CC0BA5"/>
    <w:rsid w:val="00CC1F3E"/>
    <w:rsid w:val="00CC236E"/>
    <w:rsid w:val="00CC2B2A"/>
    <w:rsid w:val="00CC6216"/>
    <w:rsid w:val="00CC6A8D"/>
    <w:rsid w:val="00CC70FA"/>
    <w:rsid w:val="00CD23A9"/>
    <w:rsid w:val="00CD37C3"/>
    <w:rsid w:val="00CD3911"/>
    <w:rsid w:val="00CD48EF"/>
    <w:rsid w:val="00CD4BA1"/>
    <w:rsid w:val="00CD59A6"/>
    <w:rsid w:val="00CE33C1"/>
    <w:rsid w:val="00CE3834"/>
    <w:rsid w:val="00CF08D8"/>
    <w:rsid w:val="00CF148C"/>
    <w:rsid w:val="00CF48A3"/>
    <w:rsid w:val="00CF5081"/>
    <w:rsid w:val="00CF7BE7"/>
    <w:rsid w:val="00D058E4"/>
    <w:rsid w:val="00D07178"/>
    <w:rsid w:val="00D11C0B"/>
    <w:rsid w:val="00D11EE9"/>
    <w:rsid w:val="00D13E73"/>
    <w:rsid w:val="00D13F47"/>
    <w:rsid w:val="00D14E66"/>
    <w:rsid w:val="00D17631"/>
    <w:rsid w:val="00D17CD3"/>
    <w:rsid w:val="00D21B22"/>
    <w:rsid w:val="00D24AEB"/>
    <w:rsid w:val="00D27902"/>
    <w:rsid w:val="00D27984"/>
    <w:rsid w:val="00D31D50"/>
    <w:rsid w:val="00D323E9"/>
    <w:rsid w:val="00D34F5B"/>
    <w:rsid w:val="00D35023"/>
    <w:rsid w:val="00D403B8"/>
    <w:rsid w:val="00D42983"/>
    <w:rsid w:val="00D45C1B"/>
    <w:rsid w:val="00D45E14"/>
    <w:rsid w:val="00D52DC4"/>
    <w:rsid w:val="00D5318C"/>
    <w:rsid w:val="00D53371"/>
    <w:rsid w:val="00D53BD5"/>
    <w:rsid w:val="00D55621"/>
    <w:rsid w:val="00D6000E"/>
    <w:rsid w:val="00D60596"/>
    <w:rsid w:val="00D64884"/>
    <w:rsid w:val="00D713D6"/>
    <w:rsid w:val="00D72DAF"/>
    <w:rsid w:val="00D75BB9"/>
    <w:rsid w:val="00D76276"/>
    <w:rsid w:val="00D77919"/>
    <w:rsid w:val="00D8083C"/>
    <w:rsid w:val="00D85F8D"/>
    <w:rsid w:val="00D87F81"/>
    <w:rsid w:val="00D90E39"/>
    <w:rsid w:val="00D97E89"/>
    <w:rsid w:val="00DA45EE"/>
    <w:rsid w:val="00DA77BD"/>
    <w:rsid w:val="00DB1C56"/>
    <w:rsid w:val="00DB1D4D"/>
    <w:rsid w:val="00DB2F5B"/>
    <w:rsid w:val="00DB46CB"/>
    <w:rsid w:val="00DB695F"/>
    <w:rsid w:val="00DC03E7"/>
    <w:rsid w:val="00DC3710"/>
    <w:rsid w:val="00DC3B9E"/>
    <w:rsid w:val="00DC48AF"/>
    <w:rsid w:val="00DC4DE7"/>
    <w:rsid w:val="00DC4FB9"/>
    <w:rsid w:val="00DC545F"/>
    <w:rsid w:val="00DC54A9"/>
    <w:rsid w:val="00DC6139"/>
    <w:rsid w:val="00DC6686"/>
    <w:rsid w:val="00DC6D84"/>
    <w:rsid w:val="00DC7F68"/>
    <w:rsid w:val="00DD1D7F"/>
    <w:rsid w:val="00DD360A"/>
    <w:rsid w:val="00DD7F91"/>
    <w:rsid w:val="00DE0985"/>
    <w:rsid w:val="00DE42BF"/>
    <w:rsid w:val="00DE4A1A"/>
    <w:rsid w:val="00DE4E11"/>
    <w:rsid w:val="00DE53FE"/>
    <w:rsid w:val="00DE6ED8"/>
    <w:rsid w:val="00E03A58"/>
    <w:rsid w:val="00E053F9"/>
    <w:rsid w:val="00E05D64"/>
    <w:rsid w:val="00E07ABB"/>
    <w:rsid w:val="00E07D8F"/>
    <w:rsid w:val="00E12CAF"/>
    <w:rsid w:val="00E13762"/>
    <w:rsid w:val="00E14E2F"/>
    <w:rsid w:val="00E1552D"/>
    <w:rsid w:val="00E15F27"/>
    <w:rsid w:val="00E1640B"/>
    <w:rsid w:val="00E317A6"/>
    <w:rsid w:val="00E3190E"/>
    <w:rsid w:val="00E31F05"/>
    <w:rsid w:val="00E32285"/>
    <w:rsid w:val="00E34295"/>
    <w:rsid w:val="00E3667E"/>
    <w:rsid w:val="00E4228D"/>
    <w:rsid w:val="00E4254E"/>
    <w:rsid w:val="00E4608C"/>
    <w:rsid w:val="00E502A2"/>
    <w:rsid w:val="00E521B6"/>
    <w:rsid w:val="00E52931"/>
    <w:rsid w:val="00E53ACE"/>
    <w:rsid w:val="00E5519B"/>
    <w:rsid w:val="00E55FEE"/>
    <w:rsid w:val="00E57BD3"/>
    <w:rsid w:val="00E57D38"/>
    <w:rsid w:val="00E63D28"/>
    <w:rsid w:val="00E65332"/>
    <w:rsid w:val="00E65F77"/>
    <w:rsid w:val="00E670CD"/>
    <w:rsid w:val="00E67EA9"/>
    <w:rsid w:val="00E720E7"/>
    <w:rsid w:val="00E74294"/>
    <w:rsid w:val="00E754F4"/>
    <w:rsid w:val="00E769C3"/>
    <w:rsid w:val="00E7727F"/>
    <w:rsid w:val="00E83519"/>
    <w:rsid w:val="00E843F1"/>
    <w:rsid w:val="00E91889"/>
    <w:rsid w:val="00E91F0F"/>
    <w:rsid w:val="00E944E2"/>
    <w:rsid w:val="00E95C54"/>
    <w:rsid w:val="00E96103"/>
    <w:rsid w:val="00EA027D"/>
    <w:rsid w:val="00EA231D"/>
    <w:rsid w:val="00EA51D6"/>
    <w:rsid w:val="00EB22CF"/>
    <w:rsid w:val="00EB32B0"/>
    <w:rsid w:val="00EB3414"/>
    <w:rsid w:val="00EB39DD"/>
    <w:rsid w:val="00EB40E4"/>
    <w:rsid w:val="00EB5B6E"/>
    <w:rsid w:val="00EB621C"/>
    <w:rsid w:val="00EB67BA"/>
    <w:rsid w:val="00EB7A8E"/>
    <w:rsid w:val="00EC0EDF"/>
    <w:rsid w:val="00EC16F8"/>
    <w:rsid w:val="00EC306F"/>
    <w:rsid w:val="00EC408E"/>
    <w:rsid w:val="00EC41F2"/>
    <w:rsid w:val="00EC4EB3"/>
    <w:rsid w:val="00EC5617"/>
    <w:rsid w:val="00EC564B"/>
    <w:rsid w:val="00EC7C9E"/>
    <w:rsid w:val="00ED230D"/>
    <w:rsid w:val="00ED2440"/>
    <w:rsid w:val="00ED79CA"/>
    <w:rsid w:val="00EE1C0B"/>
    <w:rsid w:val="00EE59D0"/>
    <w:rsid w:val="00EE7FF3"/>
    <w:rsid w:val="00EF26BF"/>
    <w:rsid w:val="00EF3BE1"/>
    <w:rsid w:val="00EF4861"/>
    <w:rsid w:val="00EF50C7"/>
    <w:rsid w:val="00EF5E19"/>
    <w:rsid w:val="00EF779D"/>
    <w:rsid w:val="00EF7E82"/>
    <w:rsid w:val="00F01970"/>
    <w:rsid w:val="00F01B91"/>
    <w:rsid w:val="00F05352"/>
    <w:rsid w:val="00F05E39"/>
    <w:rsid w:val="00F06AF6"/>
    <w:rsid w:val="00F079A5"/>
    <w:rsid w:val="00F07F69"/>
    <w:rsid w:val="00F107F9"/>
    <w:rsid w:val="00F111E0"/>
    <w:rsid w:val="00F16238"/>
    <w:rsid w:val="00F16475"/>
    <w:rsid w:val="00F22D55"/>
    <w:rsid w:val="00F23D37"/>
    <w:rsid w:val="00F24A9A"/>
    <w:rsid w:val="00F2592D"/>
    <w:rsid w:val="00F25C5F"/>
    <w:rsid w:val="00F30B6A"/>
    <w:rsid w:val="00F3182D"/>
    <w:rsid w:val="00F34EF2"/>
    <w:rsid w:val="00F3580F"/>
    <w:rsid w:val="00F406BB"/>
    <w:rsid w:val="00F44AD0"/>
    <w:rsid w:val="00F44FF2"/>
    <w:rsid w:val="00F50379"/>
    <w:rsid w:val="00F55102"/>
    <w:rsid w:val="00F57115"/>
    <w:rsid w:val="00F6104E"/>
    <w:rsid w:val="00F6298B"/>
    <w:rsid w:val="00F629D8"/>
    <w:rsid w:val="00F63B02"/>
    <w:rsid w:val="00F65C21"/>
    <w:rsid w:val="00F700A6"/>
    <w:rsid w:val="00F741A3"/>
    <w:rsid w:val="00F760D1"/>
    <w:rsid w:val="00F8151A"/>
    <w:rsid w:val="00F81861"/>
    <w:rsid w:val="00F83788"/>
    <w:rsid w:val="00F84D69"/>
    <w:rsid w:val="00F85054"/>
    <w:rsid w:val="00F86CDB"/>
    <w:rsid w:val="00F87AEF"/>
    <w:rsid w:val="00F87C14"/>
    <w:rsid w:val="00F9253E"/>
    <w:rsid w:val="00F94F61"/>
    <w:rsid w:val="00FA17B4"/>
    <w:rsid w:val="00FA357F"/>
    <w:rsid w:val="00FA3581"/>
    <w:rsid w:val="00FB10B8"/>
    <w:rsid w:val="00FB24BA"/>
    <w:rsid w:val="00FB28C8"/>
    <w:rsid w:val="00FB381D"/>
    <w:rsid w:val="00FB39AF"/>
    <w:rsid w:val="00FB5021"/>
    <w:rsid w:val="00FB6172"/>
    <w:rsid w:val="00FB6492"/>
    <w:rsid w:val="00FC131A"/>
    <w:rsid w:val="00FC224A"/>
    <w:rsid w:val="00FC43D6"/>
    <w:rsid w:val="00FC7157"/>
    <w:rsid w:val="00FD2208"/>
    <w:rsid w:val="00FD2EC4"/>
    <w:rsid w:val="00FD63D3"/>
    <w:rsid w:val="00FD717D"/>
    <w:rsid w:val="00FE0D10"/>
    <w:rsid w:val="00FE322E"/>
    <w:rsid w:val="00FE6E7B"/>
    <w:rsid w:val="00FF1239"/>
    <w:rsid w:val="00FF1AC1"/>
    <w:rsid w:val="00FF5DE3"/>
    <w:rsid w:val="00FF6EAF"/>
    <w:rsid w:val="00FF7408"/>
    <w:rsid w:val="01F65399"/>
    <w:rsid w:val="026A1A9F"/>
    <w:rsid w:val="03226A0E"/>
    <w:rsid w:val="04260169"/>
    <w:rsid w:val="04CC4830"/>
    <w:rsid w:val="050945F2"/>
    <w:rsid w:val="050E4034"/>
    <w:rsid w:val="056F4DC0"/>
    <w:rsid w:val="05E667B8"/>
    <w:rsid w:val="05F86FA8"/>
    <w:rsid w:val="06174B4A"/>
    <w:rsid w:val="06342461"/>
    <w:rsid w:val="065C2670"/>
    <w:rsid w:val="06677EA2"/>
    <w:rsid w:val="06F06056"/>
    <w:rsid w:val="07021FF9"/>
    <w:rsid w:val="071C7BC7"/>
    <w:rsid w:val="075A67A2"/>
    <w:rsid w:val="0840050B"/>
    <w:rsid w:val="086D38AF"/>
    <w:rsid w:val="08C44882"/>
    <w:rsid w:val="08C94E4D"/>
    <w:rsid w:val="0915227D"/>
    <w:rsid w:val="09164C3B"/>
    <w:rsid w:val="099842FD"/>
    <w:rsid w:val="0A3A2559"/>
    <w:rsid w:val="0A805158"/>
    <w:rsid w:val="0AF87126"/>
    <w:rsid w:val="0B4B1CD9"/>
    <w:rsid w:val="0B9B2EBC"/>
    <w:rsid w:val="0BA309DB"/>
    <w:rsid w:val="0BC90D6D"/>
    <w:rsid w:val="0BCB508B"/>
    <w:rsid w:val="0C070B14"/>
    <w:rsid w:val="0C1A22A8"/>
    <w:rsid w:val="0C26236E"/>
    <w:rsid w:val="0C9306BE"/>
    <w:rsid w:val="0CB05CD1"/>
    <w:rsid w:val="0D1B39E9"/>
    <w:rsid w:val="0DCB2021"/>
    <w:rsid w:val="0E3A01CC"/>
    <w:rsid w:val="0E9172D3"/>
    <w:rsid w:val="0EF1422C"/>
    <w:rsid w:val="0F3B23D4"/>
    <w:rsid w:val="0F3B3DD7"/>
    <w:rsid w:val="107B6AE8"/>
    <w:rsid w:val="11195DC6"/>
    <w:rsid w:val="115A70AD"/>
    <w:rsid w:val="116421D6"/>
    <w:rsid w:val="11EA1B00"/>
    <w:rsid w:val="121F5AC5"/>
    <w:rsid w:val="125037BB"/>
    <w:rsid w:val="12521250"/>
    <w:rsid w:val="12524B60"/>
    <w:rsid w:val="12E866AF"/>
    <w:rsid w:val="130C55D8"/>
    <w:rsid w:val="13244A23"/>
    <w:rsid w:val="13EE6B6B"/>
    <w:rsid w:val="1472386E"/>
    <w:rsid w:val="148F0FC6"/>
    <w:rsid w:val="151600A7"/>
    <w:rsid w:val="159F345A"/>
    <w:rsid w:val="15E43EF8"/>
    <w:rsid w:val="16A81136"/>
    <w:rsid w:val="16AC4207"/>
    <w:rsid w:val="178A56FB"/>
    <w:rsid w:val="17A8647B"/>
    <w:rsid w:val="18253B4C"/>
    <w:rsid w:val="190F1674"/>
    <w:rsid w:val="19132D2F"/>
    <w:rsid w:val="19210747"/>
    <w:rsid w:val="196E7CB2"/>
    <w:rsid w:val="198759D2"/>
    <w:rsid w:val="19D72BB5"/>
    <w:rsid w:val="1AD212BF"/>
    <w:rsid w:val="1ADF5E48"/>
    <w:rsid w:val="1AF900F3"/>
    <w:rsid w:val="1AFC6A2C"/>
    <w:rsid w:val="1BE0351A"/>
    <w:rsid w:val="1C120302"/>
    <w:rsid w:val="1C442FCB"/>
    <w:rsid w:val="1C532B00"/>
    <w:rsid w:val="1CCC12C5"/>
    <w:rsid w:val="1D1B1BAD"/>
    <w:rsid w:val="1D401A6B"/>
    <w:rsid w:val="1DCC5DA5"/>
    <w:rsid w:val="1E8A015B"/>
    <w:rsid w:val="1EA00E4A"/>
    <w:rsid w:val="1F4F1109"/>
    <w:rsid w:val="1F6A0646"/>
    <w:rsid w:val="206A0332"/>
    <w:rsid w:val="2091595B"/>
    <w:rsid w:val="20F51AC3"/>
    <w:rsid w:val="21AE6D2F"/>
    <w:rsid w:val="21C21552"/>
    <w:rsid w:val="21C3713A"/>
    <w:rsid w:val="24DA6297"/>
    <w:rsid w:val="252F3CBE"/>
    <w:rsid w:val="2614456A"/>
    <w:rsid w:val="26694CDB"/>
    <w:rsid w:val="282C171E"/>
    <w:rsid w:val="2849297F"/>
    <w:rsid w:val="2936596A"/>
    <w:rsid w:val="2997006D"/>
    <w:rsid w:val="29AC5EF0"/>
    <w:rsid w:val="2B040631"/>
    <w:rsid w:val="2B0B5AF1"/>
    <w:rsid w:val="2B793244"/>
    <w:rsid w:val="2C094BA0"/>
    <w:rsid w:val="2C60205D"/>
    <w:rsid w:val="2C8F5C68"/>
    <w:rsid w:val="2CAD317E"/>
    <w:rsid w:val="2CC97424"/>
    <w:rsid w:val="2D2725F0"/>
    <w:rsid w:val="2D345768"/>
    <w:rsid w:val="2D73679B"/>
    <w:rsid w:val="2E994608"/>
    <w:rsid w:val="2E9C375A"/>
    <w:rsid w:val="2EA60EE0"/>
    <w:rsid w:val="2ED8262F"/>
    <w:rsid w:val="2F242CBD"/>
    <w:rsid w:val="2FB34058"/>
    <w:rsid w:val="300C74C4"/>
    <w:rsid w:val="300D578D"/>
    <w:rsid w:val="304B3830"/>
    <w:rsid w:val="307D5A91"/>
    <w:rsid w:val="317B20C5"/>
    <w:rsid w:val="32A33E31"/>
    <w:rsid w:val="32D048D8"/>
    <w:rsid w:val="32D3622F"/>
    <w:rsid w:val="32D63CF2"/>
    <w:rsid w:val="32F26097"/>
    <w:rsid w:val="3341799D"/>
    <w:rsid w:val="337A399F"/>
    <w:rsid w:val="337F2EFA"/>
    <w:rsid w:val="339029A7"/>
    <w:rsid w:val="33CC5FD9"/>
    <w:rsid w:val="34697607"/>
    <w:rsid w:val="34DC6FBF"/>
    <w:rsid w:val="352019FA"/>
    <w:rsid w:val="35731520"/>
    <w:rsid w:val="35E722C7"/>
    <w:rsid w:val="35F436C6"/>
    <w:rsid w:val="36037C49"/>
    <w:rsid w:val="36B804EA"/>
    <w:rsid w:val="371766EB"/>
    <w:rsid w:val="3728049C"/>
    <w:rsid w:val="37CD3E9A"/>
    <w:rsid w:val="37D03480"/>
    <w:rsid w:val="37D87189"/>
    <w:rsid w:val="37E87EA7"/>
    <w:rsid w:val="37F761BE"/>
    <w:rsid w:val="380B1A51"/>
    <w:rsid w:val="382056BC"/>
    <w:rsid w:val="38AB6B19"/>
    <w:rsid w:val="39035D73"/>
    <w:rsid w:val="39144BF9"/>
    <w:rsid w:val="39236305"/>
    <w:rsid w:val="397D1814"/>
    <w:rsid w:val="3991694F"/>
    <w:rsid w:val="3A096C45"/>
    <w:rsid w:val="3B3315C9"/>
    <w:rsid w:val="3B3666AA"/>
    <w:rsid w:val="3B5D03F9"/>
    <w:rsid w:val="3B9C69ED"/>
    <w:rsid w:val="3C075E40"/>
    <w:rsid w:val="3C0F314C"/>
    <w:rsid w:val="3C8400FD"/>
    <w:rsid w:val="3C8D5215"/>
    <w:rsid w:val="3CB96E1E"/>
    <w:rsid w:val="3E2A5A13"/>
    <w:rsid w:val="3E6A5C1B"/>
    <w:rsid w:val="3E951BD3"/>
    <w:rsid w:val="3EB91E59"/>
    <w:rsid w:val="3FA23A80"/>
    <w:rsid w:val="3FB75DF9"/>
    <w:rsid w:val="418368ED"/>
    <w:rsid w:val="425C64FC"/>
    <w:rsid w:val="4278675D"/>
    <w:rsid w:val="431F105C"/>
    <w:rsid w:val="43F003B4"/>
    <w:rsid w:val="446458DA"/>
    <w:rsid w:val="446645C4"/>
    <w:rsid w:val="44E00C2F"/>
    <w:rsid w:val="44F12828"/>
    <w:rsid w:val="453F4EE8"/>
    <w:rsid w:val="457E0C0E"/>
    <w:rsid w:val="45A27895"/>
    <w:rsid w:val="4654463C"/>
    <w:rsid w:val="469D1E1F"/>
    <w:rsid w:val="4703453A"/>
    <w:rsid w:val="47401AE3"/>
    <w:rsid w:val="47847F9B"/>
    <w:rsid w:val="47B6276E"/>
    <w:rsid w:val="47D7714D"/>
    <w:rsid w:val="48CA305E"/>
    <w:rsid w:val="491D1161"/>
    <w:rsid w:val="4945471C"/>
    <w:rsid w:val="49C23604"/>
    <w:rsid w:val="4A183DC4"/>
    <w:rsid w:val="4A6500D9"/>
    <w:rsid w:val="4B4D56DB"/>
    <w:rsid w:val="4BCB58DC"/>
    <w:rsid w:val="4BE87F26"/>
    <w:rsid w:val="4C081E20"/>
    <w:rsid w:val="4C3974A1"/>
    <w:rsid w:val="4C4D743A"/>
    <w:rsid w:val="4C561056"/>
    <w:rsid w:val="4CDC25C4"/>
    <w:rsid w:val="4D2A1AAB"/>
    <w:rsid w:val="4DBE15DE"/>
    <w:rsid w:val="4DFF45BC"/>
    <w:rsid w:val="4E61428A"/>
    <w:rsid w:val="4E7B705D"/>
    <w:rsid w:val="4ECB455C"/>
    <w:rsid w:val="4EF16D21"/>
    <w:rsid w:val="4F4E6BEF"/>
    <w:rsid w:val="4F6745C5"/>
    <w:rsid w:val="4F751E54"/>
    <w:rsid w:val="4FA9510C"/>
    <w:rsid w:val="50891C17"/>
    <w:rsid w:val="520E7D39"/>
    <w:rsid w:val="527310FD"/>
    <w:rsid w:val="52C145B3"/>
    <w:rsid w:val="532C19FA"/>
    <w:rsid w:val="536C046F"/>
    <w:rsid w:val="53777260"/>
    <w:rsid w:val="53BD324D"/>
    <w:rsid w:val="53DA3FDB"/>
    <w:rsid w:val="54B52F23"/>
    <w:rsid w:val="559025B5"/>
    <w:rsid w:val="55BE6F35"/>
    <w:rsid w:val="56AB5747"/>
    <w:rsid w:val="57466A30"/>
    <w:rsid w:val="57E7750E"/>
    <w:rsid w:val="582C3304"/>
    <w:rsid w:val="583E683E"/>
    <w:rsid w:val="584263FC"/>
    <w:rsid w:val="58AA248A"/>
    <w:rsid w:val="592757C1"/>
    <w:rsid w:val="5A097D45"/>
    <w:rsid w:val="5A232744"/>
    <w:rsid w:val="5A8E433F"/>
    <w:rsid w:val="5ACC5639"/>
    <w:rsid w:val="5AFE0937"/>
    <w:rsid w:val="5B022AFF"/>
    <w:rsid w:val="5B1C238B"/>
    <w:rsid w:val="5BB72396"/>
    <w:rsid w:val="5BDA2541"/>
    <w:rsid w:val="5C8E70AE"/>
    <w:rsid w:val="5C9700DF"/>
    <w:rsid w:val="5CFF5AEE"/>
    <w:rsid w:val="5D5260D6"/>
    <w:rsid w:val="5E4106DA"/>
    <w:rsid w:val="5E4B362D"/>
    <w:rsid w:val="5E4B3828"/>
    <w:rsid w:val="5EC32979"/>
    <w:rsid w:val="5EFC5263"/>
    <w:rsid w:val="5F2B51D9"/>
    <w:rsid w:val="5F37440C"/>
    <w:rsid w:val="609E7926"/>
    <w:rsid w:val="60CC769A"/>
    <w:rsid w:val="60F3280A"/>
    <w:rsid w:val="615A0826"/>
    <w:rsid w:val="616E5025"/>
    <w:rsid w:val="62117B48"/>
    <w:rsid w:val="6233066F"/>
    <w:rsid w:val="625714F8"/>
    <w:rsid w:val="62AF2B34"/>
    <w:rsid w:val="62D7081D"/>
    <w:rsid w:val="63687194"/>
    <w:rsid w:val="638E50BC"/>
    <w:rsid w:val="64D27A6F"/>
    <w:rsid w:val="65765688"/>
    <w:rsid w:val="65A40D91"/>
    <w:rsid w:val="66F55A6B"/>
    <w:rsid w:val="67327F2E"/>
    <w:rsid w:val="674609A7"/>
    <w:rsid w:val="67465B30"/>
    <w:rsid w:val="68082611"/>
    <w:rsid w:val="688C533B"/>
    <w:rsid w:val="692F0DD2"/>
    <w:rsid w:val="692F6DB1"/>
    <w:rsid w:val="69772905"/>
    <w:rsid w:val="6A360EF4"/>
    <w:rsid w:val="6A736A2C"/>
    <w:rsid w:val="6AC4173D"/>
    <w:rsid w:val="6AC957C6"/>
    <w:rsid w:val="6B3F6E7C"/>
    <w:rsid w:val="6B4F76A1"/>
    <w:rsid w:val="6BB6746F"/>
    <w:rsid w:val="6BFD03AE"/>
    <w:rsid w:val="6BFF6077"/>
    <w:rsid w:val="6C2308EC"/>
    <w:rsid w:val="6C867767"/>
    <w:rsid w:val="6CA34648"/>
    <w:rsid w:val="6D031FFE"/>
    <w:rsid w:val="6D870368"/>
    <w:rsid w:val="6DEF74D5"/>
    <w:rsid w:val="6E9856D0"/>
    <w:rsid w:val="6EB840FC"/>
    <w:rsid w:val="6EE920DC"/>
    <w:rsid w:val="6F377C99"/>
    <w:rsid w:val="6F7E7DE2"/>
    <w:rsid w:val="6FAA433E"/>
    <w:rsid w:val="704F1D50"/>
    <w:rsid w:val="7062369D"/>
    <w:rsid w:val="70D8666D"/>
    <w:rsid w:val="70F82977"/>
    <w:rsid w:val="711203ED"/>
    <w:rsid w:val="712A76BE"/>
    <w:rsid w:val="716D6D00"/>
    <w:rsid w:val="719901C6"/>
    <w:rsid w:val="71B131C3"/>
    <w:rsid w:val="71CC5821"/>
    <w:rsid w:val="71F26BCA"/>
    <w:rsid w:val="720542F1"/>
    <w:rsid w:val="72380013"/>
    <w:rsid w:val="72540D30"/>
    <w:rsid w:val="73426C39"/>
    <w:rsid w:val="73594771"/>
    <w:rsid w:val="740F0E4D"/>
    <w:rsid w:val="7469799F"/>
    <w:rsid w:val="74A66F51"/>
    <w:rsid w:val="74E24705"/>
    <w:rsid w:val="750506F3"/>
    <w:rsid w:val="758944AE"/>
    <w:rsid w:val="758C4507"/>
    <w:rsid w:val="75AA1A6C"/>
    <w:rsid w:val="767363DD"/>
    <w:rsid w:val="76C0735A"/>
    <w:rsid w:val="76DE39EB"/>
    <w:rsid w:val="774B42DA"/>
    <w:rsid w:val="77A44BDE"/>
    <w:rsid w:val="77CC2AC5"/>
    <w:rsid w:val="78AC0F28"/>
    <w:rsid w:val="78AD7E4B"/>
    <w:rsid w:val="7922758B"/>
    <w:rsid w:val="79766799"/>
    <w:rsid w:val="79B255D2"/>
    <w:rsid w:val="79B45BBB"/>
    <w:rsid w:val="79B850DD"/>
    <w:rsid w:val="79D0307E"/>
    <w:rsid w:val="79DE121D"/>
    <w:rsid w:val="79E249A2"/>
    <w:rsid w:val="7A366CC8"/>
    <w:rsid w:val="7A5C7B4D"/>
    <w:rsid w:val="7B1F1C18"/>
    <w:rsid w:val="7B387938"/>
    <w:rsid w:val="7C341C52"/>
    <w:rsid w:val="7D033238"/>
    <w:rsid w:val="7D2F6ABF"/>
    <w:rsid w:val="7D50024E"/>
    <w:rsid w:val="7D637EF4"/>
    <w:rsid w:val="7E341B98"/>
    <w:rsid w:val="7E51328E"/>
    <w:rsid w:val="7F14576E"/>
    <w:rsid w:val="7FB735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99"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99" w:semiHidden="0"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99" w:semiHidden="0" w:name="Emphasis"/>
    <w:lsdException w:qFormat="1" w:unhideWhenUsed="0"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sz w:val="22"/>
      <w:szCs w:val="22"/>
      <w:lang w:val="en-US" w:eastAsia="zh-CN" w:bidi="ar-SA"/>
    </w:rPr>
  </w:style>
  <w:style w:type="paragraph" w:styleId="2">
    <w:name w:val="heading 1"/>
    <w:basedOn w:val="1"/>
    <w:next w:val="1"/>
    <w:link w:val="33"/>
    <w:qFormat/>
    <w:uiPriority w:val="99"/>
    <w:pPr>
      <w:keepNext/>
      <w:keepLines/>
      <w:adjustRightInd/>
      <w:snapToGrid/>
      <w:spacing w:before="200" w:line="360" w:lineRule="auto"/>
      <w:jc w:val="center"/>
      <w:textAlignment w:val="baseline"/>
      <w:outlineLvl w:val="0"/>
    </w:pPr>
    <w:rPr>
      <w:rFonts w:ascii="Times New Roman" w:hAnsi="Times New Roman" w:eastAsia="黑体" w:cs="Times New Roman"/>
      <w:b/>
      <w:bCs/>
      <w:color w:val="000000"/>
      <w:kern w:val="44"/>
      <w:sz w:val="36"/>
      <w:szCs w:val="44"/>
      <w:u w:color="000000"/>
    </w:rPr>
  </w:style>
  <w:style w:type="paragraph" w:styleId="3">
    <w:name w:val="heading 2"/>
    <w:basedOn w:val="1"/>
    <w:next w:val="1"/>
    <w:link w:val="34"/>
    <w:qFormat/>
    <w:uiPriority w:val="99"/>
    <w:pPr>
      <w:keepNext/>
      <w:keepLines/>
      <w:widowControl w:val="0"/>
      <w:adjustRightInd/>
      <w:snapToGrid/>
      <w:spacing w:before="260" w:after="260" w:line="416" w:lineRule="auto"/>
      <w:jc w:val="both"/>
      <w:outlineLvl w:val="1"/>
    </w:pPr>
    <w:rPr>
      <w:rFonts w:ascii="Arial" w:hAnsi="Arial" w:eastAsia="黑体" w:cs="Times New Roman"/>
      <w:b/>
      <w:bCs/>
      <w:kern w:val="2"/>
      <w:sz w:val="32"/>
      <w:szCs w:val="32"/>
    </w:rPr>
  </w:style>
  <w:style w:type="paragraph" w:styleId="4">
    <w:name w:val="heading 3"/>
    <w:basedOn w:val="1"/>
    <w:next w:val="1"/>
    <w:link w:val="35"/>
    <w:qFormat/>
    <w:uiPriority w:val="99"/>
    <w:pPr>
      <w:keepNext/>
      <w:keepLines/>
      <w:adjustRightInd/>
      <w:snapToGrid/>
      <w:spacing w:before="260" w:after="260" w:line="360" w:lineRule="auto"/>
      <w:textAlignment w:val="baseline"/>
      <w:outlineLvl w:val="2"/>
    </w:pPr>
    <w:rPr>
      <w:rFonts w:ascii="Times New Roman" w:hAnsi="Times New Roman" w:eastAsia="仿宋_GB2312" w:cs="Times New Roman"/>
      <w:b/>
      <w:bCs/>
      <w:sz w:val="30"/>
      <w:szCs w:val="32"/>
      <w:u w:color="000000"/>
    </w:rPr>
  </w:style>
  <w:style w:type="paragraph" w:styleId="5">
    <w:name w:val="heading 4"/>
    <w:basedOn w:val="1"/>
    <w:next w:val="1"/>
    <w:link w:val="36"/>
    <w:unhideWhenUsed/>
    <w:qFormat/>
    <w:uiPriority w:val="0"/>
    <w:pPr>
      <w:keepNext/>
      <w:keepLines/>
      <w:widowControl w:val="0"/>
      <w:adjustRightInd/>
      <w:snapToGrid/>
      <w:spacing w:before="280" w:after="290" w:line="376" w:lineRule="auto"/>
      <w:jc w:val="both"/>
      <w:outlineLvl w:val="3"/>
    </w:pPr>
    <w:rPr>
      <w:rFonts w:asciiTheme="majorHAnsi" w:hAnsiTheme="majorHAnsi" w:eastAsiaTheme="majorEastAsia" w:cstheme="majorBidi"/>
      <w:b/>
      <w:bCs/>
      <w:kern w:val="2"/>
      <w:sz w:val="28"/>
      <w:szCs w:val="28"/>
    </w:rPr>
  </w:style>
  <w:style w:type="paragraph" w:styleId="6">
    <w:name w:val="heading 5"/>
    <w:basedOn w:val="1"/>
    <w:next w:val="1"/>
    <w:link w:val="37"/>
    <w:unhideWhenUsed/>
    <w:qFormat/>
    <w:uiPriority w:val="0"/>
    <w:pPr>
      <w:keepNext/>
      <w:keepLines/>
      <w:widowControl w:val="0"/>
      <w:adjustRightInd/>
      <w:snapToGrid/>
      <w:spacing w:before="280" w:after="290" w:line="376" w:lineRule="auto"/>
      <w:jc w:val="both"/>
      <w:outlineLvl w:val="4"/>
    </w:pPr>
    <w:rPr>
      <w:rFonts w:ascii="Times New Roman" w:hAnsi="Times New Roman" w:eastAsia="宋体" w:cs="Times New Roman"/>
      <w:b/>
      <w:bCs/>
      <w:kern w:val="2"/>
      <w:sz w:val="28"/>
      <w:szCs w:val="28"/>
    </w:rPr>
  </w:style>
  <w:style w:type="paragraph" w:styleId="7">
    <w:name w:val="heading 6"/>
    <w:basedOn w:val="1"/>
    <w:next w:val="1"/>
    <w:link w:val="38"/>
    <w:unhideWhenUsed/>
    <w:qFormat/>
    <w:uiPriority w:val="0"/>
    <w:pPr>
      <w:keepNext/>
      <w:keepLines/>
      <w:widowControl w:val="0"/>
      <w:adjustRightInd/>
      <w:snapToGrid/>
      <w:spacing w:before="240" w:after="64" w:line="320" w:lineRule="auto"/>
      <w:jc w:val="both"/>
      <w:outlineLvl w:val="5"/>
    </w:pPr>
    <w:rPr>
      <w:rFonts w:asciiTheme="majorHAnsi" w:hAnsiTheme="majorHAnsi" w:eastAsiaTheme="majorEastAsia" w:cstheme="majorBidi"/>
      <w:b/>
      <w:bCs/>
      <w:kern w:val="2"/>
      <w:sz w:val="24"/>
      <w:szCs w:val="24"/>
    </w:rPr>
  </w:style>
  <w:style w:type="character" w:default="1" w:styleId="26">
    <w:name w:val="Default Paragraph Font"/>
    <w:semiHidden/>
    <w:unhideWhenUsed/>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8">
    <w:name w:val="Document Map"/>
    <w:basedOn w:val="1"/>
    <w:link w:val="45"/>
    <w:semiHidden/>
    <w:qFormat/>
    <w:uiPriority w:val="99"/>
    <w:pPr>
      <w:widowControl w:val="0"/>
      <w:shd w:val="clear" w:color="auto" w:fill="000080"/>
      <w:adjustRightInd/>
      <w:snapToGrid/>
      <w:spacing w:after="0"/>
      <w:jc w:val="both"/>
    </w:pPr>
    <w:rPr>
      <w:rFonts w:ascii="Times New Roman" w:hAnsi="Times New Roman" w:eastAsia="宋体" w:cs="Times New Roman"/>
      <w:kern w:val="2"/>
      <w:sz w:val="21"/>
      <w:szCs w:val="24"/>
    </w:rPr>
  </w:style>
  <w:style w:type="paragraph" w:styleId="9">
    <w:name w:val="annotation text"/>
    <w:basedOn w:val="1"/>
    <w:link w:val="43"/>
    <w:unhideWhenUsed/>
    <w:qFormat/>
    <w:uiPriority w:val="99"/>
  </w:style>
  <w:style w:type="paragraph" w:styleId="10">
    <w:name w:val="Body Text"/>
    <w:basedOn w:val="1"/>
    <w:link w:val="46"/>
    <w:qFormat/>
    <w:uiPriority w:val="99"/>
    <w:pPr>
      <w:widowControl w:val="0"/>
      <w:adjustRightInd/>
      <w:snapToGrid/>
      <w:spacing w:after="120"/>
      <w:jc w:val="both"/>
    </w:pPr>
    <w:rPr>
      <w:rFonts w:ascii="Times New Roman" w:hAnsi="Times New Roman" w:eastAsia="宋体" w:cs="Times New Roman"/>
      <w:kern w:val="2"/>
      <w:sz w:val="21"/>
      <w:szCs w:val="24"/>
    </w:rPr>
  </w:style>
  <w:style w:type="paragraph" w:styleId="11">
    <w:name w:val="toc 3"/>
    <w:basedOn w:val="1"/>
    <w:next w:val="1"/>
    <w:qFormat/>
    <w:uiPriority w:val="39"/>
    <w:pPr>
      <w:widowControl w:val="0"/>
      <w:adjustRightInd/>
      <w:snapToGrid/>
      <w:spacing w:after="0"/>
      <w:ind w:left="840" w:leftChars="400"/>
      <w:jc w:val="both"/>
    </w:pPr>
    <w:rPr>
      <w:rFonts w:ascii="Times New Roman" w:hAnsi="Times New Roman" w:eastAsia="宋体" w:cs="Times New Roman"/>
      <w:kern w:val="2"/>
      <w:sz w:val="28"/>
      <w:szCs w:val="24"/>
    </w:rPr>
  </w:style>
  <w:style w:type="paragraph" w:styleId="12">
    <w:name w:val="Plain Text"/>
    <w:basedOn w:val="1"/>
    <w:link w:val="47"/>
    <w:qFormat/>
    <w:uiPriority w:val="99"/>
    <w:pPr>
      <w:adjustRightInd/>
      <w:snapToGrid/>
      <w:spacing w:after="0" w:line="351" w:lineRule="atLeast"/>
      <w:ind w:firstLine="419"/>
      <w:jc w:val="both"/>
      <w:textAlignment w:val="baseline"/>
    </w:pPr>
    <w:rPr>
      <w:rFonts w:ascii="宋体" w:hAnsi="Times New Roman" w:eastAsia="宋体" w:cs="Times New Roman"/>
      <w:color w:val="000000"/>
      <w:sz w:val="21"/>
      <w:szCs w:val="20"/>
      <w:u w:color="000000"/>
    </w:rPr>
  </w:style>
  <w:style w:type="paragraph" w:styleId="13">
    <w:name w:val="Date"/>
    <w:basedOn w:val="1"/>
    <w:next w:val="1"/>
    <w:link w:val="77"/>
    <w:semiHidden/>
    <w:unhideWhenUsed/>
    <w:qFormat/>
    <w:uiPriority w:val="99"/>
    <w:pPr>
      <w:ind w:left="100" w:leftChars="2500"/>
    </w:pPr>
  </w:style>
  <w:style w:type="paragraph" w:styleId="14">
    <w:name w:val="Balloon Text"/>
    <w:basedOn w:val="1"/>
    <w:link w:val="48"/>
    <w:qFormat/>
    <w:uiPriority w:val="99"/>
    <w:pPr>
      <w:widowControl w:val="0"/>
      <w:adjustRightInd/>
      <w:snapToGrid/>
      <w:spacing w:after="0"/>
      <w:jc w:val="both"/>
    </w:pPr>
    <w:rPr>
      <w:rFonts w:ascii="Times New Roman" w:hAnsi="Times New Roman" w:eastAsia="宋体" w:cs="Times New Roman"/>
      <w:kern w:val="2"/>
      <w:sz w:val="18"/>
      <w:szCs w:val="18"/>
    </w:rPr>
  </w:style>
  <w:style w:type="paragraph" w:styleId="15">
    <w:name w:val="footer"/>
    <w:basedOn w:val="1"/>
    <w:link w:val="40"/>
    <w:unhideWhenUsed/>
    <w:qFormat/>
    <w:uiPriority w:val="99"/>
    <w:pPr>
      <w:tabs>
        <w:tab w:val="center" w:pos="4153"/>
        <w:tab w:val="right" w:pos="8306"/>
      </w:tabs>
    </w:pPr>
    <w:rPr>
      <w:sz w:val="18"/>
      <w:szCs w:val="18"/>
    </w:rPr>
  </w:style>
  <w:style w:type="paragraph" w:styleId="16">
    <w:name w:val="header"/>
    <w:basedOn w:val="1"/>
    <w:link w:val="39"/>
    <w:unhideWhenUsed/>
    <w:qFormat/>
    <w:uiPriority w:val="99"/>
    <w:pPr>
      <w:pBdr>
        <w:bottom w:val="single" w:color="auto" w:sz="6" w:space="1"/>
      </w:pBdr>
      <w:tabs>
        <w:tab w:val="center" w:pos="4153"/>
        <w:tab w:val="right" w:pos="8306"/>
      </w:tabs>
      <w:jc w:val="center"/>
    </w:pPr>
    <w:rPr>
      <w:sz w:val="18"/>
      <w:szCs w:val="18"/>
    </w:rPr>
  </w:style>
  <w:style w:type="paragraph" w:styleId="17">
    <w:name w:val="toc 1"/>
    <w:basedOn w:val="1"/>
    <w:next w:val="1"/>
    <w:qFormat/>
    <w:uiPriority w:val="39"/>
    <w:pPr>
      <w:widowControl w:val="0"/>
      <w:tabs>
        <w:tab w:val="right" w:leader="dot" w:pos="8777"/>
      </w:tabs>
      <w:adjustRightInd/>
      <w:snapToGrid/>
      <w:spacing w:after="0" w:line="360" w:lineRule="auto"/>
      <w:jc w:val="both"/>
    </w:pPr>
    <w:rPr>
      <w:rFonts w:ascii="Times New Roman" w:hAnsi="Times New Roman" w:eastAsia="黑体" w:cs="Times New Roman"/>
      <w:kern w:val="2"/>
      <w:sz w:val="32"/>
      <w:szCs w:val="32"/>
    </w:rPr>
  </w:style>
  <w:style w:type="paragraph" w:styleId="18">
    <w:name w:val="footnote text"/>
    <w:basedOn w:val="1"/>
    <w:link w:val="49"/>
    <w:qFormat/>
    <w:uiPriority w:val="99"/>
    <w:pPr>
      <w:widowControl w:val="0"/>
      <w:adjustRightInd/>
      <w:spacing w:after="0"/>
    </w:pPr>
    <w:rPr>
      <w:rFonts w:ascii="Times New Roman" w:hAnsi="Times New Roman" w:eastAsia="宋体" w:cs="Times New Roman"/>
      <w:kern w:val="2"/>
      <w:sz w:val="18"/>
      <w:szCs w:val="18"/>
    </w:rPr>
  </w:style>
  <w:style w:type="paragraph" w:styleId="19">
    <w:name w:val="toc 2"/>
    <w:basedOn w:val="1"/>
    <w:next w:val="1"/>
    <w:qFormat/>
    <w:uiPriority w:val="39"/>
    <w:pPr>
      <w:widowControl w:val="0"/>
      <w:adjustRightInd/>
      <w:snapToGrid/>
      <w:spacing w:after="0"/>
      <w:ind w:left="420" w:leftChars="200"/>
      <w:jc w:val="both"/>
    </w:pPr>
    <w:rPr>
      <w:rFonts w:ascii="Times New Roman" w:hAnsi="Times New Roman" w:eastAsia="宋体" w:cs="Times New Roman"/>
      <w:kern w:val="2"/>
      <w:sz w:val="30"/>
      <w:szCs w:val="24"/>
    </w:rPr>
  </w:style>
  <w:style w:type="paragraph" w:styleId="20">
    <w:name w:val="HTML Preformatted"/>
    <w:basedOn w:val="1"/>
    <w:link w:val="50"/>
    <w:unhideWhenUsed/>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after="0"/>
    </w:pPr>
    <w:rPr>
      <w:rFonts w:ascii="宋体" w:hAnsi="宋体" w:eastAsia="宋体" w:cs="宋体"/>
      <w:sz w:val="24"/>
      <w:szCs w:val="24"/>
    </w:rPr>
  </w:style>
  <w:style w:type="paragraph" w:styleId="21">
    <w:name w:val="Normal (Web)"/>
    <w:basedOn w:val="1"/>
    <w:qFormat/>
    <w:uiPriority w:val="99"/>
    <w:pPr>
      <w:adjustRightInd/>
      <w:snapToGrid/>
      <w:spacing w:before="100" w:beforeAutospacing="1" w:after="100" w:afterAutospacing="1"/>
    </w:pPr>
    <w:rPr>
      <w:rFonts w:ascii="宋体" w:hAnsi="宋体" w:eastAsia="宋体" w:cs="宋体"/>
      <w:sz w:val="24"/>
      <w:szCs w:val="24"/>
    </w:rPr>
  </w:style>
  <w:style w:type="paragraph" w:styleId="22">
    <w:name w:val="Title"/>
    <w:basedOn w:val="1"/>
    <w:next w:val="1"/>
    <w:link w:val="72"/>
    <w:qFormat/>
    <w:uiPriority w:val="0"/>
    <w:pPr>
      <w:widowControl w:val="0"/>
      <w:adjustRightInd/>
      <w:snapToGrid/>
      <w:spacing w:before="240" w:after="60"/>
      <w:jc w:val="center"/>
      <w:outlineLvl w:val="0"/>
    </w:pPr>
    <w:rPr>
      <w:rFonts w:eastAsia="宋体" w:asciiTheme="majorHAnsi" w:hAnsiTheme="majorHAnsi" w:cstheme="majorBidi"/>
      <w:b/>
      <w:bCs/>
      <w:kern w:val="2"/>
      <w:sz w:val="32"/>
      <w:szCs w:val="32"/>
    </w:rPr>
  </w:style>
  <w:style w:type="paragraph" w:styleId="23">
    <w:name w:val="annotation subject"/>
    <w:basedOn w:val="9"/>
    <w:next w:val="9"/>
    <w:link w:val="44"/>
    <w:qFormat/>
    <w:uiPriority w:val="99"/>
    <w:pPr>
      <w:widowControl w:val="0"/>
      <w:adjustRightInd/>
      <w:snapToGrid/>
      <w:spacing w:after="0"/>
    </w:pPr>
    <w:rPr>
      <w:rFonts w:ascii="Times New Roman" w:hAnsi="Times New Roman" w:eastAsia="宋体" w:cs="Times New Roman"/>
      <w:b/>
      <w:bCs/>
      <w:kern w:val="2"/>
      <w:sz w:val="21"/>
      <w:szCs w:val="24"/>
    </w:rPr>
  </w:style>
  <w:style w:type="table" w:styleId="25">
    <w:name w:val="Table Grid"/>
    <w:basedOn w:val="24"/>
    <w:qFormat/>
    <w:uiPriority w:val="9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27">
    <w:name w:val="page number"/>
    <w:basedOn w:val="26"/>
    <w:qFormat/>
    <w:uiPriority w:val="99"/>
  </w:style>
  <w:style w:type="character" w:styleId="28">
    <w:name w:val="FollowedHyperlink"/>
    <w:basedOn w:val="26"/>
    <w:unhideWhenUsed/>
    <w:qFormat/>
    <w:uiPriority w:val="99"/>
    <w:rPr>
      <w:color w:val="800080"/>
      <w:u w:val="single"/>
    </w:rPr>
  </w:style>
  <w:style w:type="character" w:styleId="29">
    <w:name w:val="Emphasis"/>
    <w:qFormat/>
    <w:uiPriority w:val="99"/>
    <w:rPr>
      <w:color w:val="CC0000"/>
    </w:rPr>
  </w:style>
  <w:style w:type="character" w:styleId="30">
    <w:name w:val="Hyperlink"/>
    <w:qFormat/>
    <w:uiPriority w:val="99"/>
    <w:rPr>
      <w:color w:val="0000FF"/>
      <w:u w:val="single"/>
    </w:rPr>
  </w:style>
  <w:style w:type="character" w:styleId="31">
    <w:name w:val="annotation reference"/>
    <w:basedOn w:val="26"/>
    <w:qFormat/>
    <w:uiPriority w:val="99"/>
    <w:rPr>
      <w:sz w:val="21"/>
      <w:szCs w:val="21"/>
    </w:rPr>
  </w:style>
  <w:style w:type="character" w:styleId="32">
    <w:name w:val="footnote reference"/>
    <w:basedOn w:val="26"/>
    <w:qFormat/>
    <w:uiPriority w:val="99"/>
    <w:rPr>
      <w:vertAlign w:val="superscript"/>
    </w:rPr>
  </w:style>
  <w:style w:type="character" w:customStyle="1" w:styleId="33">
    <w:name w:val="标题 1 Char"/>
    <w:basedOn w:val="26"/>
    <w:link w:val="2"/>
    <w:qFormat/>
    <w:uiPriority w:val="99"/>
    <w:rPr>
      <w:rFonts w:ascii="Times New Roman" w:hAnsi="Times New Roman" w:eastAsia="黑体" w:cs="Times New Roman"/>
      <w:b/>
      <w:bCs/>
      <w:color w:val="000000"/>
      <w:kern w:val="44"/>
      <w:sz w:val="36"/>
      <w:szCs w:val="44"/>
      <w:u w:color="000000"/>
    </w:rPr>
  </w:style>
  <w:style w:type="character" w:customStyle="1" w:styleId="34">
    <w:name w:val="标题 2 Char"/>
    <w:basedOn w:val="26"/>
    <w:link w:val="3"/>
    <w:qFormat/>
    <w:uiPriority w:val="99"/>
    <w:rPr>
      <w:rFonts w:ascii="Arial" w:hAnsi="Arial" w:eastAsia="黑体" w:cs="Times New Roman"/>
      <w:b/>
      <w:bCs/>
      <w:kern w:val="2"/>
      <w:sz w:val="32"/>
      <w:szCs w:val="32"/>
    </w:rPr>
  </w:style>
  <w:style w:type="character" w:customStyle="1" w:styleId="35">
    <w:name w:val="标题 3 Char"/>
    <w:basedOn w:val="26"/>
    <w:link w:val="4"/>
    <w:qFormat/>
    <w:uiPriority w:val="99"/>
    <w:rPr>
      <w:rFonts w:ascii="Times New Roman" w:hAnsi="Times New Roman" w:eastAsia="仿宋_GB2312" w:cs="Times New Roman"/>
      <w:b/>
      <w:bCs/>
      <w:sz w:val="30"/>
      <w:szCs w:val="32"/>
      <w:u w:color="000000"/>
    </w:rPr>
  </w:style>
  <w:style w:type="character" w:customStyle="1" w:styleId="36">
    <w:name w:val="标题 4 Char"/>
    <w:basedOn w:val="26"/>
    <w:link w:val="5"/>
    <w:qFormat/>
    <w:uiPriority w:val="0"/>
    <w:rPr>
      <w:rFonts w:asciiTheme="majorHAnsi" w:hAnsiTheme="majorHAnsi" w:eastAsiaTheme="majorEastAsia" w:cstheme="majorBidi"/>
      <w:b/>
      <w:bCs/>
      <w:kern w:val="2"/>
      <w:sz w:val="28"/>
      <w:szCs w:val="28"/>
    </w:rPr>
  </w:style>
  <w:style w:type="character" w:customStyle="1" w:styleId="37">
    <w:name w:val="标题 5 Char"/>
    <w:basedOn w:val="26"/>
    <w:link w:val="6"/>
    <w:qFormat/>
    <w:uiPriority w:val="0"/>
    <w:rPr>
      <w:rFonts w:ascii="Times New Roman" w:hAnsi="Times New Roman" w:eastAsia="宋体" w:cs="Times New Roman"/>
      <w:b/>
      <w:bCs/>
      <w:kern w:val="2"/>
      <w:sz w:val="28"/>
      <w:szCs w:val="28"/>
    </w:rPr>
  </w:style>
  <w:style w:type="character" w:customStyle="1" w:styleId="38">
    <w:name w:val="标题 6 Char"/>
    <w:basedOn w:val="26"/>
    <w:link w:val="7"/>
    <w:qFormat/>
    <w:uiPriority w:val="0"/>
    <w:rPr>
      <w:rFonts w:asciiTheme="majorHAnsi" w:hAnsiTheme="majorHAnsi" w:eastAsiaTheme="majorEastAsia" w:cstheme="majorBidi"/>
      <w:b/>
      <w:bCs/>
      <w:kern w:val="2"/>
      <w:sz w:val="24"/>
      <w:szCs w:val="24"/>
    </w:rPr>
  </w:style>
  <w:style w:type="character" w:customStyle="1" w:styleId="39">
    <w:name w:val="页眉 Char"/>
    <w:basedOn w:val="26"/>
    <w:link w:val="16"/>
    <w:qFormat/>
    <w:uiPriority w:val="99"/>
    <w:rPr>
      <w:rFonts w:ascii="Tahoma" w:hAnsi="Tahoma"/>
      <w:sz w:val="18"/>
      <w:szCs w:val="18"/>
    </w:rPr>
  </w:style>
  <w:style w:type="character" w:customStyle="1" w:styleId="40">
    <w:name w:val="页脚 Char"/>
    <w:basedOn w:val="26"/>
    <w:link w:val="15"/>
    <w:qFormat/>
    <w:uiPriority w:val="99"/>
    <w:rPr>
      <w:rFonts w:ascii="Tahoma" w:hAnsi="Tahoma"/>
      <w:sz w:val="18"/>
      <w:szCs w:val="18"/>
    </w:rPr>
  </w:style>
  <w:style w:type="paragraph" w:customStyle="1" w:styleId="41">
    <w:name w:val="标题1"/>
    <w:basedOn w:val="1"/>
    <w:qFormat/>
    <w:uiPriority w:val="0"/>
    <w:pPr>
      <w:widowControl w:val="0"/>
      <w:adjustRightInd/>
      <w:snapToGrid/>
      <w:spacing w:after="0"/>
      <w:ind w:firstLine="640" w:firstLineChars="200"/>
      <w:jc w:val="center"/>
    </w:pPr>
    <w:rPr>
      <w:rFonts w:ascii="Times New Roman" w:hAnsi="Times New Roman" w:eastAsia="黑体" w:cs="Times New Roman"/>
      <w:kern w:val="2"/>
      <w:sz w:val="32"/>
      <w:szCs w:val="21"/>
    </w:rPr>
  </w:style>
  <w:style w:type="paragraph" w:styleId="42">
    <w:name w:val="List Paragraph"/>
    <w:basedOn w:val="1"/>
    <w:qFormat/>
    <w:uiPriority w:val="99"/>
    <w:pPr>
      <w:ind w:firstLine="420" w:firstLineChars="200"/>
    </w:pPr>
  </w:style>
  <w:style w:type="character" w:customStyle="1" w:styleId="43">
    <w:name w:val="批注文字 Char"/>
    <w:basedOn w:val="26"/>
    <w:link w:val="9"/>
    <w:qFormat/>
    <w:uiPriority w:val="99"/>
    <w:rPr>
      <w:rFonts w:ascii="Tahoma" w:hAnsi="Tahoma"/>
    </w:rPr>
  </w:style>
  <w:style w:type="character" w:customStyle="1" w:styleId="44">
    <w:name w:val="批注主题 Char"/>
    <w:basedOn w:val="43"/>
    <w:link w:val="23"/>
    <w:qFormat/>
    <w:uiPriority w:val="99"/>
    <w:rPr>
      <w:rFonts w:ascii="Times New Roman" w:hAnsi="Times New Roman" w:eastAsia="宋体" w:cs="Times New Roman"/>
      <w:b/>
      <w:bCs/>
      <w:kern w:val="2"/>
      <w:sz w:val="21"/>
      <w:szCs w:val="24"/>
    </w:rPr>
  </w:style>
  <w:style w:type="character" w:customStyle="1" w:styleId="45">
    <w:name w:val="文档结构图 Char"/>
    <w:basedOn w:val="26"/>
    <w:link w:val="8"/>
    <w:semiHidden/>
    <w:qFormat/>
    <w:uiPriority w:val="99"/>
    <w:rPr>
      <w:rFonts w:ascii="Times New Roman" w:hAnsi="Times New Roman" w:eastAsia="宋体" w:cs="Times New Roman"/>
      <w:kern w:val="2"/>
      <w:sz w:val="21"/>
      <w:szCs w:val="24"/>
      <w:shd w:val="clear" w:color="auto" w:fill="000080"/>
    </w:rPr>
  </w:style>
  <w:style w:type="character" w:customStyle="1" w:styleId="46">
    <w:name w:val="正文文本 Char"/>
    <w:basedOn w:val="26"/>
    <w:link w:val="10"/>
    <w:qFormat/>
    <w:uiPriority w:val="99"/>
    <w:rPr>
      <w:rFonts w:ascii="Times New Roman" w:hAnsi="Times New Roman" w:eastAsia="宋体" w:cs="Times New Roman"/>
      <w:kern w:val="2"/>
      <w:sz w:val="21"/>
      <w:szCs w:val="24"/>
    </w:rPr>
  </w:style>
  <w:style w:type="character" w:customStyle="1" w:styleId="47">
    <w:name w:val="纯文本 Char"/>
    <w:basedOn w:val="26"/>
    <w:link w:val="12"/>
    <w:qFormat/>
    <w:uiPriority w:val="99"/>
    <w:rPr>
      <w:rFonts w:ascii="宋体" w:hAnsi="Times New Roman" w:eastAsia="宋体" w:cs="Times New Roman"/>
      <w:color w:val="000000"/>
      <w:sz w:val="21"/>
      <w:szCs w:val="20"/>
      <w:u w:color="000000"/>
    </w:rPr>
  </w:style>
  <w:style w:type="character" w:customStyle="1" w:styleId="48">
    <w:name w:val="批注框文本 Char"/>
    <w:basedOn w:val="26"/>
    <w:link w:val="14"/>
    <w:qFormat/>
    <w:uiPriority w:val="99"/>
    <w:rPr>
      <w:rFonts w:ascii="Times New Roman" w:hAnsi="Times New Roman" w:eastAsia="宋体" w:cs="Times New Roman"/>
      <w:kern w:val="2"/>
      <w:sz w:val="18"/>
      <w:szCs w:val="18"/>
    </w:rPr>
  </w:style>
  <w:style w:type="character" w:customStyle="1" w:styleId="49">
    <w:name w:val="脚注文本 Char"/>
    <w:basedOn w:val="26"/>
    <w:link w:val="18"/>
    <w:qFormat/>
    <w:uiPriority w:val="99"/>
    <w:rPr>
      <w:rFonts w:ascii="Times New Roman" w:hAnsi="Times New Roman" w:eastAsia="宋体" w:cs="Times New Roman"/>
      <w:kern w:val="2"/>
      <w:sz w:val="18"/>
      <w:szCs w:val="18"/>
    </w:rPr>
  </w:style>
  <w:style w:type="character" w:customStyle="1" w:styleId="50">
    <w:name w:val="HTML 预设格式 Char"/>
    <w:basedOn w:val="26"/>
    <w:link w:val="20"/>
    <w:qFormat/>
    <w:uiPriority w:val="0"/>
    <w:rPr>
      <w:rFonts w:ascii="宋体" w:hAnsi="宋体" w:eastAsia="宋体" w:cs="宋体"/>
      <w:sz w:val="24"/>
      <w:szCs w:val="24"/>
    </w:rPr>
  </w:style>
  <w:style w:type="paragraph" w:customStyle="1" w:styleId="51">
    <w:name w:val="xl69"/>
    <w:basedOn w:val="1"/>
    <w:qFormat/>
    <w:uiPriority w:val="99"/>
    <w:pPr>
      <w:pBdr>
        <w:top w:val="single" w:color="auto" w:sz="8" w:space="0"/>
        <w:left w:val="single" w:color="auto" w:sz="8" w:space="0"/>
        <w:right w:val="single" w:color="auto" w:sz="8" w:space="0"/>
      </w:pBdr>
      <w:adjustRightInd/>
      <w:snapToGrid/>
      <w:spacing w:before="100" w:beforeAutospacing="1" w:after="100" w:afterAutospacing="1"/>
      <w:jc w:val="center"/>
    </w:pPr>
    <w:rPr>
      <w:rFonts w:ascii="宋体" w:hAnsi="宋体" w:eastAsia="宋体" w:cs="宋体"/>
      <w:b/>
      <w:bCs/>
      <w:sz w:val="24"/>
      <w:szCs w:val="24"/>
    </w:rPr>
  </w:style>
  <w:style w:type="paragraph" w:customStyle="1" w:styleId="52">
    <w:name w:val="xl74"/>
    <w:basedOn w:val="1"/>
    <w:qFormat/>
    <w:uiPriority w:val="99"/>
    <w:pPr>
      <w:pBdr>
        <w:right w:val="single" w:color="auto" w:sz="8" w:space="0"/>
      </w:pBdr>
      <w:adjustRightInd/>
      <w:snapToGrid/>
      <w:spacing w:before="100" w:beforeAutospacing="1" w:after="100" w:afterAutospacing="1"/>
      <w:jc w:val="center"/>
    </w:pPr>
    <w:rPr>
      <w:rFonts w:ascii="宋体" w:hAnsi="宋体" w:eastAsia="宋体" w:cs="宋体"/>
    </w:rPr>
  </w:style>
  <w:style w:type="paragraph" w:customStyle="1" w:styleId="53">
    <w:name w:val="xl70"/>
    <w:basedOn w:val="1"/>
    <w:qFormat/>
    <w:uiPriority w:val="99"/>
    <w:pPr>
      <w:pBdr>
        <w:left w:val="single" w:color="auto" w:sz="8" w:space="0"/>
        <w:bottom w:val="single" w:color="auto" w:sz="8" w:space="0"/>
        <w:right w:val="single" w:color="auto" w:sz="8" w:space="0"/>
      </w:pBdr>
      <w:adjustRightInd/>
      <w:snapToGrid/>
      <w:spacing w:before="100" w:beforeAutospacing="1" w:after="100" w:afterAutospacing="1"/>
      <w:jc w:val="center"/>
    </w:pPr>
    <w:rPr>
      <w:rFonts w:ascii="宋体" w:hAnsi="宋体" w:eastAsia="宋体" w:cs="宋体"/>
      <w:b/>
      <w:bCs/>
      <w:sz w:val="24"/>
      <w:szCs w:val="24"/>
    </w:rPr>
  </w:style>
  <w:style w:type="paragraph" w:customStyle="1" w:styleId="54">
    <w:name w:val="font7"/>
    <w:basedOn w:val="1"/>
    <w:qFormat/>
    <w:uiPriority w:val="99"/>
    <w:pPr>
      <w:adjustRightInd/>
      <w:snapToGrid/>
      <w:spacing w:before="100" w:beforeAutospacing="1" w:after="100" w:afterAutospacing="1"/>
    </w:pPr>
    <w:rPr>
      <w:rFonts w:ascii="宋体" w:hAnsi="宋体" w:eastAsia="宋体" w:cs="宋体"/>
      <w:color w:val="000000"/>
      <w:sz w:val="24"/>
      <w:szCs w:val="24"/>
    </w:rPr>
  </w:style>
  <w:style w:type="paragraph" w:customStyle="1" w:styleId="55">
    <w:name w:val="xl72"/>
    <w:basedOn w:val="1"/>
    <w:qFormat/>
    <w:uiPriority w:val="99"/>
    <w:pPr>
      <w:pBdr>
        <w:bottom w:val="single" w:color="auto" w:sz="8" w:space="0"/>
        <w:right w:val="single" w:color="auto" w:sz="8" w:space="0"/>
      </w:pBdr>
      <w:adjustRightInd/>
      <w:snapToGrid/>
      <w:spacing w:before="100" w:beforeAutospacing="1" w:after="100" w:afterAutospacing="1"/>
      <w:jc w:val="center"/>
    </w:pPr>
    <w:rPr>
      <w:rFonts w:ascii="宋体" w:hAnsi="宋体" w:eastAsia="宋体" w:cs="宋体"/>
      <w:b/>
      <w:bCs/>
    </w:rPr>
  </w:style>
  <w:style w:type="paragraph" w:customStyle="1" w:styleId="56">
    <w:name w:val="xl67"/>
    <w:basedOn w:val="1"/>
    <w:qFormat/>
    <w:uiPriority w:val="99"/>
    <w:pPr>
      <w:pBdr>
        <w:bottom w:val="single" w:color="auto" w:sz="8" w:space="0"/>
        <w:right w:val="single" w:color="auto" w:sz="8" w:space="0"/>
      </w:pBdr>
      <w:adjustRightInd/>
      <w:snapToGrid/>
      <w:spacing w:before="100" w:beforeAutospacing="1" w:after="100" w:afterAutospacing="1"/>
      <w:jc w:val="center"/>
    </w:pPr>
    <w:rPr>
      <w:rFonts w:ascii="宋体" w:hAnsi="宋体" w:eastAsia="宋体" w:cs="宋体"/>
      <w:b/>
      <w:bCs/>
      <w:sz w:val="24"/>
      <w:szCs w:val="24"/>
    </w:rPr>
  </w:style>
  <w:style w:type="paragraph" w:customStyle="1" w:styleId="57">
    <w:name w:val="font5"/>
    <w:basedOn w:val="1"/>
    <w:qFormat/>
    <w:uiPriority w:val="99"/>
    <w:pPr>
      <w:adjustRightInd/>
      <w:snapToGrid/>
      <w:spacing w:before="100" w:beforeAutospacing="1" w:after="100" w:afterAutospacing="1"/>
    </w:pPr>
    <w:rPr>
      <w:rFonts w:ascii="宋体" w:hAnsi="宋体" w:eastAsia="宋体" w:cs="宋体"/>
      <w:b/>
      <w:bCs/>
      <w:color w:val="000000"/>
      <w:sz w:val="24"/>
      <w:szCs w:val="24"/>
    </w:rPr>
  </w:style>
  <w:style w:type="paragraph" w:customStyle="1" w:styleId="58">
    <w:name w:val="xl65"/>
    <w:basedOn w:val="1"/>
    <w:qFormat/>
    <w:uiPriority w:val="99"/>
    <w:pPr>
      <w:adjustRightInd/>
      <w:snapToGrid/>
      <w:spacing w:before="100" w:beforeAutospacing="1" w:after="100" w:afterAutospacing="1"/>
    </w:pPr>
    <w:rPr>
      <w:rFonts w:ascii="宋体" w:hAnsi="宋体" w:eastAsia="宋体" w:cs="宋体"/>
      <w:sz w:val="24"/>
      <w:szCs w:val="24"/>
    </w:rPr>
  </w:style>
  <w:style w:type="paragraph" w:customStyle="1" w:styleId="59">
    <w:name w:val="font6"/>
    <w:basedOn w:val="1"/>
    <w:qFormat/>
    <w:uiPriority w:val="99"/>
    <w:pPr>
      <w:adjustRightInd/>
      <w:snapToGrid/>
      <w:spacing w:before="100" w:beforeAutospacing="1" w:after="100" w:afterAutospacing="1"/>
    </w:pPr>
    <w:rPr>
      <w:rFonts w:ascii="宋体" w:hAnsi="宋体" w:eastAsia="宋体" w:cs="宋体"/>
      <w:color w:val="000000"/>
    </w:rPr>
  </w:style>
  <w:style w:type="paragraph" w:customStyle="1" w:styleId="60">
    <w:name w:val="xl75"/>
    <w:basedOn w:val="1"/>
    <w:qFormat/>
    <w:uiPriority w:val="99"/>
    <w:pPr>
      <w:pBdr>
        <w:bottom w:val="single" w:color="auto" w:sz="8" w:space="0"/>
        <w:right w:val="single" w:color="auto" w:sz="8" w:space="0"/>
      </w:pBdr>
      <w:adjustRightInd/>
      <w:snapToGrid/>
      <w:spacing w:before="100" w:beforeAutospacing="1" w:after="100" w:afterAutospacing="1"/>
      <w:jc w:val="center"/>
    </w:pPr>
    <w:rPr>
      <w:rFonts w:ascii="宋体" w:hAnsi="宋体" w:eastAsia="宋体" w:cs="宋体"/>
    </w:rPr>
  </w:style>
  <w:style w:type="paragraph" w:customStyle="1" w:styleId="61">
    <w:name w:val="Char Char Char Char Char Char1 Char"/>
    <w:basedOn w:val="1"/>
    <w:qFormat/>
    <w:uiPriority w:val="99"/>
    <w:pPr>
      <w:adjustRightInd/>
      <w:snapToGrid/>
      <w:spacing w:after="160" w:line="240" w:lineRule="exact"/>
    </w:pPr>
    <w:rPr>
      <w:rFonts w:ascii="Times New Roman" w:hAnsi="Times New Roman" w:eastAsia="宋体" w:cs="Times New Roman"/>
      <w:kern w:val="2"/>
      <w:sz w:val="21"/>
      <w:szCs w:val="24"/>
    </w:rPr>
  </w:style>
  <w:style w:type="paragraph" w:customStyle="1" w:styleId="62">
    <w:name w:val="xl68"/>
    <w:basedOn w:val="1"/>
    <w:qFormat/>
    <w:uiPriority w:val="99"/>
    <w:pPr>
      <w:pBdr>
        <w:bottom w:val="single" w:color="auto" w:sz="8" w:space="0"/>
        <w:right w:val="single" w:color="auto" w:sz="8" w:space="0"/>
      </w:pBdr>
      <w:adjustRightInd/>
      <w:snapToGrid/>
      <w:spacing w:before="100" w:beforeAutospacing="1" w:after="100" w:afterAutospacing="1"/>
      <w:jc w:val="center"/>
      <w:textAlignment w:val="top"/>
    </w:pPr>
    <w:rPr>
      <w:rFonts w:ascii="宋体" w:hAnsi="宋体" w:eastAsia="宋体" w:cs="宋体"/>
    </w:rPr>
  </w:style>
  <w:style w:type="paragraph" w:customStyle="1" w:styleId="63">
    <w:name w:val="xl66"/>
    <w:basedOn w:val="1"/>
    <w:qFormat/>
    <w:uiPriority w:val="99"/>
    <w:pPr>
      <w:pBdr>
        <w:top w:val="single" w:color="auto" w:sz="8" w:space="0"/>
        <w:bottom w:val="single" w:color="auto" w:sz="8" w:space="0"/>
        <w:right w:val="single" w:color="auto" w:sz="8" w:space="0"/>
      </w:pBdr>
      <w:adjustRightInd/>
      <w:snapToGrid/>
      <w:spacing w:before="100" w:beforeAutospacing="1" w:after="100" w:afterAutospacing="1"/>
      <w:jc w:val="center"/>
    </w:pPr>
    <w:rPr>
      <w:rFonts w:ascii="宋体" w:hAnsi="宋体" w:eastAsia="宋体" w:cs="宋体"/>
      <w:b/>
      <w:bCs/>
      <w:sz w:val="24"/>
      <w:szCs w:val="24"/>
    </w:rPr>
  </w:style>
  <w:style w:type="paragraph" w:customStyle="1" w:styleId="64">
    <w:name w:val="xl73"/>
    <w:basedOn w:val="1"/>
    <w:qFormat/>
    <w:uiPriority w:val="99"/>
    <w:pPr>
      <w:pBdr>
        <w:top w:val="single" w:color="auto" w:sz="8" w:space="0"/>
        <w:right w:val="single" w:color="auto" w:sz="8" w:space="0"/>
      </w:pBdr>
      <w:adjustRightInd/>
      <w:snapToGrid/>
      <w:spacing w:before="100" w:beforeAutospacing="1" w:after="100" w:afterAutospacing="1"/>
      <w:jc w:val="center"/>
    </w:pPr>
    <w:rPr>
      <w:rFonts w:ascii="宋体" w:hAnsi="宋体" w:eastAsia="宋体" w:cs="宋体"/>
      <w:b/>
      <w:bCs/>
      <w:sz w:val="24"/>
      <w:szCs w:val="24"/>
    </w:rPr>
  </w:style>
  <w:style w:type="paragraph" w:customStyle="1" w:styleId="65">
    <w:name w:val="xl71"/>
    <w:basedOn w:val="1"/>
    <w:qFormat/>
    <w:uiPriority w:val="99"/>
    <w:pPr>
      <w:pBdr>
        <w:right w:val="single" w:color="auto" w:sz="8" w:space="0"/>
      </w:pBdr>
      <w:adjustRightInd/>
      <w:snapToGrid/>
      <w:spacing w:before="100" w:beforeAutospacing="1" w:after="100" w:afterAutospacing="1"/>
      <w:jc w:val="center"/>
    </w:pPr>
    <w:rPr>
      <w:rFonts w:ascii="宋体" w:hAnsi="宋体" w:eastAsia="宋体" w:cs="宋体"/>
      <w:b/>
      <w:bCs/>
    </w:rPr>
  </w:style>
  <w:style w:type="paragraph" w:customStyle="1" w:styleId="66">
    <w:name w:val="样式 标题 2 + 行距: 固定值 30 磅"/>
    <w:basedOn w:val="3"/>
    <w:qFormat/>
    <w:uiPriority w:val="99"/>
    <w:pPr>
      <w:widowControl/>
      <w:spacing w:line="600" w:lineRule="exact"/>
      <w:jc w:val="left"/>
      <w:textAlignment w:val="baseline"/>
    </w:pPr>
    <w:rPr>
      <w:rFonts w:eastAsia="楷体_GB2312" w:cs="宋体"/>
      <w:color w:val="000000"/>
      <w:kern w:val="0"/>
      <w:szCs w:val="20"/>
      <w:u w:color="000000"/>
    </w:rPr>
  </w:style>
  <w:style w:type="paragraph" w:customStyle="1" w:styleId="67">
    <w:name w:val="列出段落1"/>
    <w:basedOn w:val="1"/>
    <w:qFormat/>
    <w:uiPriority w:val="99"/>
    <w:pPr>
      <w:widowControl w:val="0"/>
      <w:adjustRightInd/>
      <w:snapToGrid/>
      <w:spacing w:after="0"/>
      <w:ind w:firstLine="420" w:firstLineChars="200"/>
      <w:jc w:val="both"/>
    </w:pPr>
    <w:rPr>
      <w:rFonts w:ascii="Times New Roman" w:hAnsi="Times New Roman" w:eastAsia="宋体" w:cs="Times New Roman"/>
      <w:kern w:val="2"/>
      <w:sz w:val="21"/>
      <w:szCs w:val="24"/>
    </w:rPr>
  </w:style>
  <w:style w:type="paragraph" w:customStyle="1" w:styleId="68">
    <w:name w:val="Char Char"/>
    <w:basedOn w:val="1"/>
    <w:qFormat/>
    <w:uiPriority w:val="0"/>
    <w:pPr>
      <w:widowControl w:val="0"/>
      <w:adjustRightInd/>
      <w:snapToGrid/>
      <w:spacing w:after="0"/>
      <w:jc w:val="both"/>
    </w:pPr>
    <w:rPr>
      <w:rFonts w:ascii="Times New Roman" w:hAnsi="Times New Roman" w:eastAsia="宋体" w:cs="Times New Roman"/>
      <w:kern w:val="2"/>
      <w:sz w:val="21"/>
      <w:szCs w:val="24"/>
    </w:rPr>
  </w:style>
  <w:style w:type="paragraph" w:customStyle="1" w:styleId="69">
    <w:name w:val="Char"/>
    <w:basedOn w:val="1"/>
    <w:qFormat/>
    <w:uiPriority w:val="99"/>
    <w:pPr>
      <w:adjustRightInd/>
      <w:snapToGrid/>
      <w:spacing w:after="160" w:line="240" w:lineRule="exact"/>
    </w:pPr>
    <w:rPr>
      <w:rFonts w:ascii="Calibri" w:hAnsi="Calibri" w:eastAsia="宋体" w:cs="Times New Roman"/>
      <w:kern w:val="2"/>
      <w:sz w:val="21"/>
    </w:rPr>
  </w:style>
  <w:style w:type="paragraph" w:customStyle="1" w:styleId="70">
    <w:name w:val="p"/>
    <w:basedOn w:val="1"/>
    <w:qFormat/>
    <w:uiPriority w:val="99"/>
    <w:pPr>
      <w:adjustRightInd/>
      <w:snapToGrid/>
      <w:spacing w:before="100" w:beforeAutospacing="1" w:after="100" w:afterAutospacing="1"/>
    </w:pPr>
    <w:rPr>
      <w:rFonts w:ascii="宋体" w:hAnsi="宋体" w:eastAsia="宋体" w:cs="宋体"/>
      <w:sz w:val="24"/>
      <w:szCs w:val="24"/>
    </w:rPr>
  </w:style>
  <w:style w:type="paragraph" w:customStyle="1" w:styleId="71">
    <w:name w:val="默认段落字体 Para Char Char Char Char"/>
    <w:basedOn w:val="1"/>
    <w:qFormat/>
    <w:uiPriority w:val="99"/>
    <w:pPr>
      <w:widowControl w:val="0"/>
      <w:adjustRightInd/>
      <w:snapToGrid/>
      <w:spacing w:after="0"/>
      <w:jc w:val="both"/>
    </w:pPr>
    <w:rPr>
      <w:rFonts w:ascii="Times New Roman" w:hAnsi="Times New Roman" w:eastAsia="宋体" w:cs="Times New Roman"/>
      <w:sz w:val="21"/>
      <w:szCs w:val="20"/>
      <w:lang w:eastAsia="en-US"/>
    </w:rPr>
  </w:style>
  <w:style w:type="character" w:customStyle="1" w:styleId="72">
    <w:name w:val="标题 Char"/>
    <w:basedOn w:val="26"/>
    <w:link w:val="22"/>
    <w:qFormat/>
    <w:uiPriority w:val="0"/>
    <w:rPr>
      <w:rFonts w:eastAsia="宋体" w:asciiTheme="majorHAnsi" w:hAnsiTheme="majorHAnsi" w:cstheme="majorBidi"/>
      <w:b/>
      <w:bCs/>
      <w:kern w:val="2"/>
      <w:sz w:val="32"/>
      <w:szCs w:val="32"/>
    </w:rPr>
  </w:style>
  <w:style w:type="paragraph" w:customStyle="1" w:styleId="73">
    <w:name w:val="TOC 标题1"/>
    <w:basedOn w:val="2"/>
    <w:next w:val="1"/>
    <w:unhideWhenUsed/>
    <w:qFormat/>
    <w:uiPriority w:val="39"/>
    <w:pPr>
      <w:spacing w:before="480" w:after="0" w:line="276" w:lineRule="auto"/>
      <w:jc w:val="left"/>
      <w:textAlignment w:val="auto"/>
      <w:outlineLvl w:val="9"/>
    </w:pPr>
    <w:rPr>
      <w:rFonts w:asciiTheme="majorHAnsi" w:hAnsiTheme="majorHAnsi" w:eastAsiaTheme="majorEastAsia" w:cstheme="majorBidi"/>
      <w:color w:val="366091" w:themeColor="accent1" w:themeShade="BF"/>
      <w:kern w:val="0"/>
      <w:sz w:val="28"/>
      <w:szCs w:val="28"/>
    </w:rPr>
  </w:style>
  <w:style w:type="character" w:customStyle="1" w:styleId="74">
    <w:name w:val="font01"/>
    <w:basedOn w:val="26"/>
    <w:qFormat/>
    <w:uiPriority w:val="0"/>
    <w:rPr>
      <w:rFonts w:hint="eastAsia" w:ascii="宋体" w:hAnsi="宋体" w:eastAsia="宋体" w:cs="宋体"/>
      <w:b/>
      <w:color w:val="000000"/>
      <w:sz w:val="32"/>
      <w:szCs w:val="32"/>
      <w:u w:val="none"/>
    </w:rPr>
  </w:style>
  <w:style w:type="character" w:customStyle="1" w:styleId="75">
    <w:name w:val="font21"/>
    <w:basedOn w:val="26"/>
    <w:qFormat/>
    <w:uiPriority w:val="0"/>
    <w:rPr>
      <w:rFonts w:hint="default" w:ascii="Times New Roman" w:hAnsi="Times New Roman" w:cs="Times New Roman"/>
      <w:b/>
      <w:color w:val="000000"/>
      <w:sz w:val="32"/>
      <w:szCs w:val="32"/>
      <w:u w:val="none"/>
    </w:rPr>
  </w:style>
  <w:style w:type="paragraph" w:customStyle="1" w:styleId="76">
    <w:name w:val="TOC 标题2"/>
    <w:basedOn w:val="2"/>
    <w:next w:val="1"/>
    <w:semiHidden/>
    <w:unhideWhenUsed/>
    <w:qFormat/>
    <w:uiPriority w:val="39"/>
    <w:pPr>
      <w:spacing w:before="480" w:after="0" w:line="276" w:lineRule="auto"/>
      <w:jc w:val="left"/>
      <w:textAlignment w:val="auto"/>
      <w:outlineLvl w:val="9"/>
    </w:pPr>
    <w:rPr>
      <w:rFonts w:asciiTheme="majorHAnsi" w:hAnsiTheme="majorHAnsi" w:eastAsiaTheme="majorEastAsia" w:cstheme="majorBidi"/>
      <w:color w:val="366091" w:themeColor="accent1" w:themeShade="BF"/>
      <w:kern w:val="0"/>
      <w:sz w:val="28"/>
      <w:szCs w:val="28"/>
    </w:rPr>
  </w:style>
  <w:style w:type="character" w:customStyle="1" w:styleId="77">
    <w:name w:val="日期 Char"/>
    <w:basedOn w:val="26"/>
    <w:link w:val="13"/>
    <w:semiHidden/>
    <w:uiPriority w:val="99"/>
    <w:rPr>
      <w:rFonts w:ascii="Tahoma" w:hAnsi="Tahoma" w:eastAsia="微软雅黑" w:cstheme="minorBidi"/>
      <w:sz w:val="22"/>
      <w:szCs w:val="22"/>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547EBC-A7B8-4D7B-8F87-F1031784DF5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2842</Words>
  <Characters>16200</Characters>
  <Lines>135</Lines>
  <Paragraphs>38</Paragraphs>
  <TotalTime>310</TotalTime>
  <ScaleCrop>false</ScaleCrop>
  <LinksUpToDate>false</LinksUpToDate>
  <CharactersWithSpaces>19004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2020-04-26T09:06:00Z</dcterms:created>
  <dc:creator>Administrator</dc:creator>
  <cp:lastModifiedBy>浮生</cp:lastModifiedBy>
  <cp:lastPrinted>2020-04-24T09:47:00Z</cp:lastPrinted>
  <dcterms:modified xsi:type="dcterms:W3CDTF">2025-04-22T06:55:44Z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81FCECF7243A4CD886BF1C1A07E7391B</vt:lpwstr>
  </property>
</Properties>
</file>