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ind w:firstLine="883"/>
        <w:jc w:val="center"/>
        <w:rPr>
          <w:rFonts w:asciiTheme="majorEastAsia" w:hAnsiTheme="majorEastAsia" w:eastAsiaTheme="majorEastAsia"/>
          <w:b/>
          <w:sz w:val="44"/>
          <w:szCs w:val="44"/>
        </w:rPr>
      </w:pPr>
      <w:bookmarkStart w:id="0" w:name="_GoBack"/>
      <w:bookmarkEnd w:id="0"/>
    </w:p>
    <w:p>
      <w:pPr>
        <w:spacing w:line="560" w:lineRule="exact"/>
        <w:ind w:firstLine="883"/>
        <w:jc w:val="center"/>
        <w:rPr>
          <w:rFonts w:hint="eastAsia" w:asciiTheme="majorEastAsia" w:hAnsiTheme="majorEastAsia" w:eastAsiaTheme="majorEastAsia"/>
          <w:b/>
          <w:sz w:val="44"/>
          <w:szCs w:val="44"/>
        </w:rPr>
      </w:pPr>
    </w:p>
    <w:p>
      <w:pPr>
        <w:spacing w:line="560" w:lineRule="exact"/>
        <w:ind w:firstLine="883"/>
        <w:jc w:val="center"/>
        <w:rPr>
          <w:rFonts w:hint="eastAsia" w:ascii="微软雅黑" w:hAnsi="微软雅黑" w:eastAsia="微软雅黑" w:cs="微软雅黑"/>
          <w:b/>
          <w:bCs/>
          <w:sz w:val="44"/>
          <w:szCs w:val="44"/>
        </w:rPr>
      </w:pPr>
      <w:r>
        <w:rPr>
          <w:rFonts w:hint="eastAsia" w:ascii="微软雅黑" w:hAnsi="微软雅黑" w:eastAsia="微软雅黑" w:cs="微软雅黑"/>
          <w:b/>
          <w:bCs/>
          <w:sz w:val="44"/>
          <w:szCs w:val="44"/>
          <w:lang w:val="en-US" w:eastAsia="zh-CN"/>
        </w:rPr>
        <w:t>关于</w:t>
      </w:r>
      <w:r>
        <w:rPr>
          <w:rFonts w:hint="eastAsia" w:ascii="微软雅黑" w:hAnsi="微软雅黑" w:eastAsia="微软雅黑" w:cs="微软雅黑"/>
          <w:b/>
          <w:bCs/>
          <w:sz w:val="44"/>
          <w:szCs w:val="44"/>
        </w:rPr>
        <w:t>2018年度农村厕所革命专项</w:t>
      </w:r>
    </w:p>
    <w:p>
      <w:pPr>
        <w:widowControl/>
        <w:wordWrap/>
        <w:spacing w:before="0" w:beforeLines="0" w:after="0" w:afterLines="0" w:line="560" w:lineRule="exact"/>
        <w:jc w:val="center"/>
        <w:textAlignment w:val="auto"/>
        <w:rPr>
          <w:rFonts w:hint="eastAsia" w:ascii="微软雅黑" w:hAnsi="微软雅黑" w:eastAsia="微软雅黑" w:cs="微软雅黑"/>
          <w:b/>
          <w:bCs/>
          <w:sz w:val="44"/>
          <w:szCs w:val="44"/>
          <w:lang w:val="en-US" w:eastAsia="zh-CN"/>
        </w:rPr>
      </w:pPr>
      <w:r>
        <w:rPr>
          <w:rFonts w:hint="eastAsia" w:ascii="微软雅黑" w:hAnsi="微软雅黑" w:eastAsia="微软雅黑" w:cs="微软雅黑"/>
          <w:b/>
          <w:bCs/>
          <w:sz w:val="44"/>
          <w:szCs w:val="44"/>
        </w:rPr>
        <w:t>资金</w:t>
      </w:r>
      <w:r>
        <w:rPr>
          <w:rFonts w:hint="eastAsia" w:ascii="微软雅黑" w:hAnsi="微软雅黑" w:eastAsia="微软雅黑" w:cs="微软雅黑"/>
          <w:b/>
          <w:bCs/>
          <w:sz w:val="44"/>
          <w:szCs w:val="44"/>
          <w:lang w:val="en-US" w:eastAsia="zh-CN"/>
        </w:rPr>
        <w:t>项目财政监督和绩效</w:t>
      </w:r>
    </w:p>
    <w:p>
      <w:pPr>
        <w:widowControl/>
        <w:wordWrap/>
        <w:spacing w:before="0" w:beforeLines="0" w:after="0" w:afterLines="0" w:line="560" w:lineRule="exact"/>
        <w:jc w:val="center"/>
        <w:textAlignment w:val="auto"/>
        <w:rPr>
          <w:rFonts w:hint="default"/>
          <w:b/>
          <w:bCs/>
          <w:sz w:val="44"/>
          <w:szCs w:val="44"/>
          <w:lang w:val="en-US" w:eastAsia="zh-CN"/>
        </w:rPr>
      </w:pPr>
      <w:r>
        <w:rPr>
          <w:rFonts w:hint="eastAsia" w:ascii="微软雅黑" w:hAnsi="微软雅黑" w:eastAsia="微软雅黑" w:cs="微软雅黑"/>
          <w:b/>
          <w:bCs/>
          <w:sz w:val="44"/>
          <w:szCs w:val="44"/>
          <w:lang w:val="en-US" w:eastAsia="zh-CN"/>
        </w:rPr>
        <w:t>评 价 报 告</w:t>
      </w:r>
    </w:p>
    <w:p>
      <w:pPr>
        <w:widowControl/>
        <w:wordWrap/>
        <w:spacing w:before="0" w:beforeLines="0" w:after="0" w:afterLines="0" w:line="560" w:lineRule="exact"/>
        <w:textAlignment w:val="auto"/>
        <w:rPr>
          <w:rFonts w:hint="eastAsia"/>
          <w:sz w:val="32"/>
        </w:rPr>
      </w:pPr>
    </w:p>
    <w:p>
      <w:pPr>
        <w:widowControl/>
        <w:wordWrap/>
        <w:spacing w:before="0" w:beforeLines="0" w:after="0" w:afterLines="0" w:line="560" w:lineRule="exact"/>
        <w:textAlignment w:val="auto"/>
        <w:rPr>
          <w:rFonts w:hint="eastAsia"/>
          <w:sz w:val="32"/>
        </w:rPr>
      </w:pPr>
    </w:p>
    <w:p>
      <w:pPr>
        <w:widowControl/>
        <w:wordWrap/>
        <w:spacing w:before="0" w:beforeLines="0" w:after="0" w:afterLines="0" w:line="560" w:lineRule="exact"/>
        <w:textAlignment w:val="auto"/>
        <w:rPr>
          <w:rFonts w:hint="eastAsia"/>
          <w:sz w:val="32"/>
        </w:rPr>
      </w:pPr>
    </w:p>
    <w:p>
      <w:pPr>
        <w:widowControl/>
        <w:wordWrap/>
        <w:spacing w:before="0" w:beforeLines="0" w:after="0" w:afterLines="0" w:line="560" w:lineRule="exact"/>
        <w:textAlignment w:val="auto"/>
        <w:rPr>
          <w:rFonts w:hint="eastAsia"/>
          <w:sz w:val="32"/>
        </w:rPr>
      </w:pPr>
    </w:p>
    <w:p>
      <w:pPr>
        <w:widowControl/>
        <w:wordWrap/>
        <w:spacing w:before="0" w:beforeLines="0" w:after="0" w:afterLines="0" w:line="560" w:lineRule="exact"/>
        <w:textAlignment w:val="auto"/>
        <w:rPr>
          <w:rFonts w:hint="eastAsia"/>
          <w:sz w:val="32"/>
        </w:rPr>
      </w:pPr>
    </w:p>
    <w:p>
      <w:pPr>
        <w:widowControl/>
        <w:wordWrap/>
        <w:spacing w:before="0" w:beforeLines="0" w:after="0" w:afterLines="0" w:line="560" w:lineRule="exact"/>
        <w:textAlignment w:val="auto"/>
        <w:rPr>
          <w:rFonts w:hint="eastAsia"/>
          <w:sz w:val="32"/>
        </w:rPr>
      </w:pPr>
    </w:p>
    <w:p>
      <w:pPr>
        <w:widowControl/>
        <w:wordWrap/>
        <w:spacing w:before="0" w:beforeLines="0" w:after="0" w:afterLines="0" w:line="560" w:lineRule="exact"/>
        <w:textAlignment w:val="auto"/>
        <w:rPr>
          <w:rFonts w:hint="eastAsia"/>
          <w:sz w:val="32"/>
        </w:rPr>
      </w:pPr>
    </w:p>
    <w:p>
      <w:pPr>
        <w:keepNext w:val="0"/>
        <w:keepLines w:val="0"/>
        <w:pageBreakBefore w:val="0"/>
        <w:widowControl/>
        <w:kinsoku/>
        <w:wordWrap/>
        <w:overflowPunct/>
        <w:topLinePunct w:val="0"/>
        <w:autoSpaceDE/>
        <w:autoSpaceDN/>
        <w:bidi w:val="0"/>
        <w:adjustRightInd/>
        <w:snapToGrid/>
        <w:spacing w:before="0" w:beforeLines="0" w:after="0" w:afterLines="0" w:line="560" w:lineRule="exact"/>
        <w:ind w:firstLine="640" w:firstLineChars="200"/>
        <w:textAlignment w:val="auto"/>
        <w:rPr>
          <w:rFonts w:hint="eastAsia"/>
          <w:sz w:val="32"/>
          <w:lang w:val="en-US" w:eastAsia="zh-CN"/>
        </w:rPr>
      </w:pPr>
    </w:p>
    <w:p>
      <w:pPr>
        <w:keepNext w:val="0"/>
        <w:keepLines w:val="0"/>
        <w:pageBreakBefore w:val="0"/>
        <w:widowControl/>
        <w:kinsoku/>
        <w:wordWrap/>
        <w:overflowPunct/>
        <w:topLinePunct w:val="0"/>
        <w:autoSpaceDE/>
        <w:autoSpaceDN/>
        <w:bidi w:val="0"/>
        <w:adjustRightInd/>
        <w:snapToGrid/>
        <w:spacing w:before="0" w:beforeLines="0" w:after="0" w:afterLines="0" w:line="560" w:lineRule="exact"/>
        <w:ind w:firstLine="640" w:firstLineChars="200"/>
        <w:textAlignment w:val="auto"/>
        <w:rPr>
          <w:rFonts w:hint="eastAsia"/>
          <w:sz w:val="32"/>
          <w:lang w:val="en-US" w:eastAsia="zh-CN"/>
        </w:rPr>
      </w:pPr>
    </w:p>
    <w:p>
      <w:pPr>
        <w:keepNext w:val="0"/>
        <w:keepLines w:val="0"/>
        <w:pageBreakBefore w:val="0"/>
        <w:widowControl/>
        <w:kinsoku/>
        <w:wordWrap/>
        <w:overflowPunct/>
        <w:topLinePunct w:val="0"/>
        <w:autoSpaceDE/>
        <w:autoSpaceDN/>
        <w:bidi w:val="0"/>
        <w:adjustRightInd/>
        <w:snapToGrid/>
        <w:spacing w:before="0" w:beforeLines="0" w:after="0" w:afterLines="0" w:line="560" w:lineRule="exact"/>
        <w:ind w:firstLine="640" w:firstLineChars="200"/>
        <w:textAlignment w:val="auto"/>
        <w:rPr>
          <w:rFonts w:hint="default"/>
          <w:sz w:val="32"/>
          <w:lang w:val="en-US"/>
        </w:rPr>
      </w:pPr>
      <w:r>
        <w:rPr>
          <w:rFonts w:hint="eastAsia"/>
          <w:sz w:val="32"/>
          <w:lang w:val="en-US" w:eastAsia="zh-CN"/>
        </w:rPr>
        <w:t>项目名称：2018年农村厕所革命专项资金项目</w:t>
      </w:r>
    </w:p>
    <w:p>
      <w:pPr>
        <w:keepNext w:val="0"/>
        <w:keepLines w:val="0"/>
        <w:pageBreakBefore w:val="0"/>
        <w:widowControl/>
        <w:kinsoku/>
        <w:wordWrap/>
        <w:overflowPunct/>
        <w:topLinePunct w:val="0"/>
        <w:autoSpaceDE/>
        <w:autoSpaceDN/>
        <w:bidi w:val="0"/>
        <w:adjustRightInd/>
        <w:snapToGrid/>
        <w:spacing w:before="0" w:beforeLines="0" w:after="0" w:afterLines="0" w:line="560" w:lineRule="exact"/>
        <w:ind w:firstLine="640" w:firstLineChars="200"/>
        <w:textAlignment w:val="auto"/>
        <w:rPr>
          <w:rFonts w:hint="default" w:eastAsia="宋体"/>
          <w:sz w:val="32"/>
          <w:lang w:val="en-US" w:eastAsia="zh-CN"/>
        </w:rPr>
      </w:pPr>
      <w:r>
        <w:rPr>
          <w:rFonts w:hint="eastAsia"/>
          <w:sz w:val="32"/>
          <w:lang w:val="en-US" w:eastAsia="zh-CN"/>
        </w:rPr>
        <w:t>项目单位</w:t>
      </w:r>
      <w:r>
        <w:rPr>
          <w:rFonts w:hint="eastAsia"/>
          <w:sz w:val="32"/>
        </w:rPr>
        <w:t>：</w:t>
      </w:r>
      <w:r>
        <w:rPr>
          <w:rFonts w:hint="eastAsia"/>
          <w:sz w:val="32"/>
          <w:lang w:val="en-US" w:eastAsia="zh-CN"/>
        </w:rPr>
        <w:t>无极县农业农村局</w:t>
      </w:r>
    </w:p>
    <w:p>
      <w:pPr>
        <w:keepNext w:val="0"/>
        <w:keepLines w:val="0"/>
        <w:pageBreakBefore w:val="0"/>
        <w:widowControl/>
        <w:kinsoku/>
        <w:wordWrap/>
        <w:overflowPunct/>
        <w:topLinePunct w:val="0"/>
        <w:autoSpaceDE/>
        <w:autoSpaceDN/>
        <w:bidi w:val="0"/>
        <w:adjustRightInd/>
        <w:snapToGrid/>
        <w:spacing w:before="0" w:beforeLines="0" w:after="0" w:afterLines="0" w:line="560" w:lineRule="exact"/>
        <w:ind w:firstLine="640" w:firstLineChars="200"/>
        <w:textAlignment w:val="auto"/>
        <w:rPr>
          <w:rFonts w:hint="default" w:eastAsia="宋体"/>
          <w:sz w:val="32"/>
          <w:u w:val="single"/>
          <w:lang w:val="en-US" w:eastAsia="zh-CN"/>
        </w:rPr>
      </w:pPr>
      <w:r>
        <w:rPr>
          <w:rFonts w:hint="eastAsia"/>
          <w:sz w:val="32"/>
          <w:lang w:val="en-US" w:eastAsia="zh-CN"/>
        </w:rPr>
        <w:t>评价机构</w:t>
      </w:r>
      <w:r>
        <w:rPr>
          <w:rFonts w:hint="eastAsia"/>
          <w:sz w:val="32"/>
        </w:rPr>
        <w:t>：</w:t>
      </w:r>
      <w:r>
        <w:rPr>
          <w:rFonts w:hint="eastAsia"/>
          <w:sz w:val="32"/>
          <w:lang w:val="en-US" w:eastAsia="zh-CN"/>
        </w:rPr>
        <w:t>无极县财政局</w:t>
      </w:r>
    </w:p>
    <w:p>
      <w:pPr>
        <w:keepNext w:val="0"/>
        <w:keepLines w:val="0"/>
        <w:pageBreakBefore w:val="0"/>
        <w:widowControl/>
        <w:kinsoku/>
        <w:wordWrap/>
        <w:overflowPunct/>
        <w:topLinePunct w:val="0"/>
        <w:autoSpaceDE/>
        <w:autoSpaceDN/>
        <w:bidi w:val="0"/>
        <w:adjustRightInd/>
        <w:snapToGrid/>
        <w:spacing w:before="0" w:beforeLines="0" w:after="0" w:afterLines="0" w:line="560" w:lineRule="exact"/>
        <w:ind w:firstLine="640" w:firstLineChars="200"/>
        <w:textAlignment w:val="auto"/>
        <w:rPr>
          <w:rFonts w:hint="eastAsia"/>
          <w:sz w:val="32"/>
          <w:szCs w:val="32"/>
          <w:u w:val="single"/>
        </w:rPr>
      </w:pPr>
      <w:r>
        <w:rPr>
          <w:rFonts w:hint="eastAsia"/>
          <w:sz w:val="32"/>
          <w:lang w:val="en-US" w:eastAsia="zh-CN"/>
        </w:rPr>
        <w:t>评价时间</w:t>
      </w:r>
      <w:r>
        <w:rPr>
          <w:rFonts w:hint="eastAsia"/>
          <w:sz w:val="32"/>
        </w:rPr>
        <w:t>：</w:t>
      </w:r>
      <w:r>
        <w:rPr>
          <w:rFonts w:hint="eastAsia"/>
          <w:sz w:val="32"/>
          <w:lang w:val="en-US" w:eastAsia="zh-CN"/>
        </w:rPr>
        <w:t>2020年5月10日</w:t>
      </w:r>
    </w:p>
    <w:p>
      <w:pPr>
        <w:spacing w:line="560" w:lineRule="exact"/>
        <w:ind w:firstLine="883"/>
        <w:jc w:val="center"/>
        <w:rPr>
          <w:rFonts w:asciiTheme="majorEastAsia" w:hAnsiTheme="majorEastAsia" w:eastAsiaTheme="majorEastAsia"/>
          <w:b/>
          <w:sz w:val="44"/>
          <w:szCs w:val="44"/>
        </w:rPr>
      </w:pPr>
      <w:r>
        <w:rPr>
          <w:rFonts w:hint="eastAsia"/>
          <w:sz w:val="32"/>
        </w:rPr>
        <w:br w:type="page"/>
      </w:r>
      <w:r>
        <w:rPr>
          <w:rFonts w:hint="eastAsia" w:asciiTheme="majorEastAsia" w:hAnsiTheme="majorEastAsia" w:eastAsiaTheme="majorEastAsia"/>
          <w:b/>
          <w:sz w:val="44"/>
          <w:szCs w:val="44"/>
        </w:rPr>
        <w:t>无极县2018年度农村厕所革命专项</w:t>
      </w:r>
    </w:p>
    <w:p>
      <w:pPr>
        <w:spacing w:line="560" w:lineRule="exact"/>
        <w:ind w:firstLine="883"/>
        <w:jc w:val="center"/>
        <w:rPr>
          <w:rFonts w:asciiTheme="majorEastAsia" w:hAnsiTheme="majorEastAsia" w:eastAsiaTheme="majorEastAsia"/>
          <w:b/>
          <w:sz w:val="44"/>
          <w:szCs w:val="44"/>
        </w:rPr>
      </w:pPr>
      <w:r>
        <w:rPr>
          <w:rFonts w:hint="eastAsia" w:asciiTheme="majorEastAsia" w:hAnsiTheme="majorEastAsia" w:eastAsiaTheme="majorEastAsia"/>
          <w:b/>
          <w:sz w:val="44"/>
          <w:szCs w:val="44"/>
        </w:rPr>
        <w:t>资金绩效评价报告</w:t>
      </w:r>
    </w:p>
    <w:p>
      <w:pPr>
        <w:spacing w:line="560" w:lineRule="exact"/>
        <w:ind w:firstLine="440"/>
        <w:jc w:val="both"/>
      </w:pPr>
    </w:p>
    <w:p>
      <w:pPr>
        <w:spacing w:line="560" w:lineRule="exact"/>
        <w:ind w:firstLine="640"/>
        <w:jc w:val="both"/>
        <w:rPr>
          <w:rFonts w:ascii="仿宋" w:hAnsi="仿宋" w:eastAsia="仿宋"/>
          <w:sz w:val="32"/>
          <w:szCs w:val="32"/>
        </w:rPr>
      </w:pPr>
      <w:r>
        <w:rPr>
          <w:rFonts w:hint="eastAsia" w:ascii="仿宋" w:hAnsi="仿宋" w:eastAsia="仿宋"/>
          <w:sz w:val="32"/>
          <w:szCs w:val="32"/>
        </w:rPr>
        <w:t>为了增强支出责任，提升项目管理水平，提高财政资金使用效益，按照石家庄市推进农村厕所革命工作领导小组印发的《石家庄市2018年各县（市、区）农村厕所改造任务》（石农厕组发〔2018〕3号），《石家庄市农村厕所革命补助资金管理办法》、《无极县农村厕所改造项目管理办法》等相关要求，我局组织开展了无极县2018年度农村厕所革命专项资金绩效评价工作，现将评价情况报告如下：</w:t>
      </w:r>
    </w:p>
    <w:p>
      <w:pPr>
        <w:spacing w:line="560" w:lineRule="exact"/>
        <w:ind w:firstLine="640"/>
        <w:jc w:val="both"/>
        <w:rPr>
          <w:rFonts w:ascii="黑体" w:hAnsi="黑体" w:eastAsia="黑体"/>
          <w:sz w:val="32"/>
          <w:szCs w:val="32"/>
        </w:rPr>
      </w:pPr>
      <w:r>
        <w:rPr>
          <w:rFonts w:hint="eastAsia" w:ascii="黑体" w:hAnsi="黑体" w:eastAsia="黑体"/>
          <w:sz w:val="32"/>
          <w:szCs w:val="32"/>
        </w:rPr>
        <w:t>一、项目基本情况</w:t>
      </w:r>
    </w:p>
    <w:p>
      <w:pPr>
        <w:spacing w:line="560" w:lineRule="exact"/>
        <w:ind w:firstLine="643"/>
        <w:jc w:val="both"/>
        <w:rPr>
          <w:rFonts w:ascii="楷体" w:hAnsi="楷体" w:eastAsia="楷体"/>
          <w:b/>
          <w:sz w:val="32"/>
          <w:szCs w:val="32"/>
        </w:rPr>
      </w:pPr>
      <w:r>
        <w:rPr>
          <w:rFonts w:hint="eastAsia" w:ascii="楷体" w:hAnsi="楷体" w:eastAsia="楷体"/>
          <w:b/>
          <w:sz w:val="32"/>
          <w:szCs w:val="32"/>
        </w:rPr>
        <w:t>（一）政策背景</w:t>
      </w:r>
    </w:p>
    <w:p>
      <w:pPr>
        <w:spacing w:line="560" w:lineRule="exact"/>
        <w:ind w:firstLine="640"/>
        <w:jc w:val="both"/>
        <w:rPr>
          <w:rFonts w:ascii="仿宋" w:hAnsi="仿宋" w:eastAsia="仿宋"/>
          <w:sz w:val="32"/>
          <w:szCs w:val="32"/>
        </w:rPr>
      </w:pPr>
      <w:r>
        <w:rPr>
          <w:rFonts w:hint="eastAsia" w:ascii="仿宋" w:hAnsi="仿宋" w:eastAsia="仿宋"/>
          <w:sz w:val="32"/>
          <w:szCs w:val="32"/>
        </w:rPr>
        <w:t>推进厕所革命，既是一项文明提升工程，也是一项便民惠民工程，不仅关系到广大人民群众的工作、生活环境的改善，更关系到国民素质的提升、社会文明的进步，意义十分重大。习近平总书记就“厕所革命”作出重要指示：“厕所问题不是小事情，是城乡文明建设的重要方面，要把这项工作作为乡村振兴战略的一项具体工作来推进，努力补齐这块影响群众生活品质的短板。”石家庄市委、市政府高度重视此项工作，抽调人员成立了石家庄市农村厕所革命领导小组，统筹推动全市农村厕所革命工作。无极县政府贯彻落实上级要求，成立了无极县推进农村厕所革命工作领导小组，组织领导全县农村厕所革命推进工作；无极县行政审批局审批通过了无极县农工委的《无极县农村厕所改造工程项目可行性研究报告的请示》，并确定了2018-2020年完成对全县11个乡镇、198个村、55021座厕所改造任务目标。</w:t>
      </w:r>
    </w:p>
    <w:p>
      <w:pPr>
        <w:spacing w:line="560" w:lineRule="exact"/>
        <w:ind w:firstLine="643"/>
        <w:jc w:val="both"/>
        <w:rPr>
          <w:rFonts w:ascii="楷体" w:hAnsi="楷体" w:eastAsia="楷体"/>
          <w:b/>
          <w:sz w:val="32"/>
          <w:szCs w:val="32"/>
        </w:rPr>
      </w:pPr>
      <w:r>
        <w:rPr>
          <w:rFonts w:hint="eastAsia" w:ascii="楷体" w:hAnsi="楷体" w:eastAsia="楷体"/>
          <w:b/>
          <w:sz w:val="32"/>
          <w:szCs w:val="32"/>
        </w:rPr>
        <w:t>（二）项目内容及投入情况</w:t>
      </w:r>
    </w:p>
    <w:p>
      <w:pPr>
        <w:spacing w:line="560" w:lineRule="exact"/>
        <w:ind w:firstLine="640"/>
        <w:jc w:val="both"/>
        <w:rPr>
          <w:rFonts w:ascii="仿宋" w:hAnsi="仿宋" w:eastAsia="仿宋"/>
          <w:sz w:val="32"/>
          <w:szCs w:val="32"/>
        </w:rPr>
      </w:pPr>
      <w:r>
        <w:rPr>
          <w:rFonts w:hint="eastAsia" w:ascii="仿宋" w:hAnsi="仿宋" w:eastAsia="仿宋"/>
          <w:sz w:val="32"/>
          <w:szCs w:val="32"/>
        </w:rPr>
        <w:t>农村改厕工作遵循政府组织、部门负责，财政补助、多方筹资的原则筹集改厕资金。改厕补贴采取先建后补，以奖代补的方式，用于农村户无害化卫生厕所地下部分，每座户厕市级资金补助1100元。</w:t>
      </w:r>
    </w:p>
    <w:p>
      <w:pPr>
        <w:spacing w:line="560" w:lineRule="exact"/>
        <w:ind w:firstLine="640"/>
        <w:jc w:val="both"/>
        <w:rPr>
          <w:rFonts w:ascii="仿宋" w:hAnsi="仿宋" w:eastAsia="仿宋"/>
          <w:sz w:val="32"/>
          <w:szCs w:val="32"/>
        </w:rPr>
      </w:pPr>
      <w:r>
        <w:rPr>
          <w:rFonts w:hint="eastAsia" w:ascii="仿宋" w:hAnsi="仿宋" w:eastAsia="仿宋"/>
          <w:sz w:val="32"/>
          <w:szCs w:val="32"/>
        </w:rPr>
        <w:t>1、资金申请拨付情况</w:t>
      </w:r>
    </w:p>
    <w:p>
      <w:pPr>
        <w:spacing w:line="560" w:lineRule="exact"/>
        <w:ind w:firstLine="640"/>
        <w:jc w:val="both"/>
        <w:rPr>
          <w:rFonts w:ascii="仿宋" w:hAnsi="仿宋" w:eastAsia="仿宋"/>
          <w:sz w:val="32"/>
          <w:szCs w:val="32"/>
        </w:rPr>
      </w:pPr>
      <w:r>
        <w:rPr>
          <w:rFonts w:hint="eastAsia" w:ascii="仿宋" w:hAnsi="仿宋" w:eastAsia="仿宋"/>
          <w:sz w:val="32"/>
          <w:szCs w:val="32"/>
        </w:rPr>
        <w:t>2019年底无极县农工委申请并收到市级拨付的2018年农村厕改专项资金1890.13万元和县级资金600万元，共计2490.13万元。</w:t>
      </w:r>
    </w:p>
    <w:p>
      <w:pPr>
        <w:spacing w:line="560" w:lineRule="exact"/>
        <w:ind w:firstLine="640"/>
        <w:jc w:val="both"/>
        <w:rPr>
          <w:rFonts w:ascii="仿宋" w:hAnsi="仿宋" w:eastAsia="仿宋"/>
          <w:sz w:val="32"/>
          <w:szCs w:val="32"/>
        </w:rPr>
      </w:pPr>
      <w:r>
        <w:rPr>
          <w:rFonts w:hint="eastAsia" w:ascii="仿宋" w:hAnsi="仿宋" w:eastAsia="仿宋"/>
          <w:sz w:val="32"/>
          <w:szCs w:val="32"/>
        </w:rPr>
        <w:t>2020年石家庄市新增无极县2018年农村厕改资金额度34.21万元，无极县财政局截止评价日尚未拨付无极县农工委。</w:t>
      </w:r>
    </w:p>
    <w:p>
      <w:pPr>
        <w:spacing w:line="560" w:lineRule="exact"/>
        <w:ind w:firstLine="640"/>
        <w:rPr>
          <w:rFonts w:ascii="仿宋" w:hAnsi="仿宋" w:eastAsia="仿宋"/>
          <w:sz w:val="32"/>
          <w:szCs w:val="32"/>
        </w:rPr>
      </w:pPr>
      <w:r>
        <w:rPr>
          <w:rFonts w:hint="eastAsia" w:ascii="仿宋" w:hAnsi="仿宋" w:eastAsia="仿宋"/>
          <w:sz w:val="32"/>
          <w:szCs w:val="32"/>
        </w:rPr>
        <w:t>无极县推进农村厕所革命工作领导小组于2019年12月26日向县政府申请拨付2018年度改厕资金47.998687万元。</w:t>
      </w:r>
    </w:p>
    <w:p>
      <w:pPr>
        <w:spacing w:line="560" w:lineRule="exact"/>
        <w:ind w:firstLine="640"/>
        <w:rPr>
          <w:rFonts w:ascii="仿宋" w:hAnsi="仿宋" w:eastAsia="仿宋"/>
          <w:sz w:val="32"/>
          <w:szCs w:val="32"/>
        </w:rPr>
      </w:pPr>
      <w:r>
        <w:rPr>
          <w:rFonts w:hint="eastAsia" w:ascii="仿宋" w:hAnsi="仿宋" w:eastAsia="仿宋"/>
          <w:sz w:val="32"/>
          <w:szCs w:val="32"/>
        </w:rPr>
        <w:t>综上，无极县农工委共申请财政专项资金2572.338687万元。</w:t>
      </w:r>
    </w:p>
    <w:p>
      <w:pPr>
        <w:spacing w:line="560" w:lineRule="exact"/>
        <w:ind w:firstLine="640"/>
        <w:rPr>
          <w:rFonts w:ascii="仿宋" w:hAnsi="仿宋" w:eastAsia="仿宋"/>
          <w:sz w:val="32"/>
          <w:szCs w:val="32"/>
        </w:rPr>
      </w:pPr>
      <w:r>
        <w:rPr>
          <w:rFonts w:hint="eastAsia" w:ascii="仿宋" w:hAnsi="仿宋" w:eastAsia="仿宋"/>
          <w:sz w:val="32"/>
          <w:szCs w:val="32"/>
        </w:rPr>
        <w:t>2、改厕项目完成情况和资金使用情况</w:t>
      </w:r>
    </w:p>
    <w:p>
      <w:pPr>
        <w:spacing w:line="560" w:lineRule="exact"/>
        <w:ind w:firstLine="640"/>
        <w:jc w:val="both"/>
        <w:rPr>
          <w:rFonts w:ascii="仿宋" w:hAnsi="仿宋" w:eastAsia="仿宋"/>
          <w:sz w:val="32"/>
          <w:szCs w:val="32"/>
        </w:rPr>
      </w:pPr>
      <w:r>
        <w:rPr>
          <w:rFonts w:hint="eastAsia" w:ascii="仿宋" w:hAnsi="仿宋" w:eastAsia="仿宋"/>
          <w:sz w:val="32"/>
          <w:szCs w:val="32"/>
        </w:rPr>
        <w:t>2018年无极县农村厕所改造任务完成并验收数为17570座，依照资金管理办法，应补贴资金2496.622187万元，其中：施工费2026.496687万元、设备费470.1255万元。</w:t>
      </w:r>
    </w:p>
    <w:p>
      <w:pPr>
        <w:spacing w:line="560" w:lineRule="exact"/>
        <w:ind w:firstLine="640"/>
        <w:jc w:val="both"/>
        <w:rPr>
          <w:rFonts w:ascii="仿宋" w:hAnsi="仿宋" w:eastAsia="仿宋"/>
          <w:sz w:val="32"/>
          <w:szCs w:val="32"/>
        </w:rPr>
      </w:pPr>
      <w:r>
        <w:rPr>
          <w:rFonts w:hint="eastAsia" w:ascii="仿宋" w:hAnsi="仿宋" w:eastAsia="仿宋"/>
          <w:sz w:val="32"/>
          <w:szCs w:val="32"/>
        </w:rPr>
        <w:t>2018年的改造任务分为三个月推进：8月份完成改造任务的40%；9月份完成改造任务的50%；10月份完成改造任务的10%。</w:t>
      </w:r>
    </w:p>
    <w:p>
      <w:pPr>
        <w:spacing w:line="560" w:lineRule="exact"/>
        <w:ind w:firstLine="643"/>
        <w:rPr>
          <w:rFonts w:ascii="楷体" w:hAnsi="楷体" w:eastAsia="楷体"/>
          <w:b/>
          <w:sz w:val="32"/>
          <w:szCs w:val="32"/>
        </w:rPr>
      </w:pPr>
      <w:r>
        <w:rPr>
          <w:rFonts w:hint="eastAsia" w:ascii="楷体" w:hAnsi="楷体" w:eastAsia="楷体"/>
          <w:b/>
          <w:sz w:val="32"/>
          <w:szCs w:val="32"/>
        </w:rPr>
        <w:t>（三）组织管理</w:t>
      </w:r>
    </w:p>
    <w:p>
      <w:pPr>
        <w:spacing w:line="560" w:lineRule="exact"/>
        <w:ind w:firstLine="640"/>
        <w:jc w:val="both"/>
        <w:rPr>
          <w:rFonts w:ascii="仿宋" w:hAnsi="仿宋" w:eastAsia="仿宋"/>
          <w:sz w:val="32"/>
          <w:szCs w:val="32"/>
        </w:rPr>
      </w:pPr>
      <w:r>
        <w:rPr>
          <w:rFonts w:hint="eastAsia" w:ascii="仿宋" w:hAnsi="仿宋" w:eastAsia="仿宋"/>
          <w:sz w:val="32"/>
          <w:szCs w:val="32"/>
        </w:rPr>
        <w:t>农村改厕工作实行项目管理，责任主体为无极县人民政府。根据改厕规划和年度目标任务，经乡镇申报、县初审、市复审、省审批后予以实施，主要管理环节如下：</w:t>
      </w:r>
    </w:p>
    <w:p>
      <w:pPr>
        <w:spacing w:line="560" w:lineRule="exact"/>
        <w:ind w:firstLine="320" w:firstLineChars="100"/>
        <w:jc w:val="both"/>
        <w:rPr>
          <w:rFonts w:ascii="仿宋" w:hAnsi="仿宋" w:eastAsia="仿宋"/>
          <w:sz w:val="32"/>
          <w:szCs w:val="32"/>
        </w:rPr>
      </w:pPr>
      <w:r>
        <w:rPr>
          <w:rFonts w:hint="eastAsia" w:ascii="仿宋" w:hAnsi="仿宋" w:eastAsia="仿宋"/>
          <w:sz w:val="32"/>
          <w:szCs w:val="32"/>
        </w:rPr>
        <w:t>（1）申报管理。无极县农工委会同县财政局等有关部门编制年度改厕项目计划，确定项目改厕村并报市级，在复核汇总后上报省级。省级主管部门审定后确认下达年度农村改厕计划，确定改厕项目村。</w:t>
      </w:r>
    </w:p>
    <w:p>
      <w:pPr>
        <w:spacing w:line="560" w:lineRule="exact"/>
        <w:ind w:firstLineChars="0"/>
        <w:jc w:val="both"/>
        <w:rPr>
          <w:rFonts w:ascii="仿宋" w:hAnsi="仿宋" w:eastAsia="仿宋"/>
          <w:sz w:val="32"/>
          <w:szCs w:val="32"/>
        </w:rPr>
      </w:pPr>
      <w:r>
        <w:rPr>
          <w:rFonts w:hint="eastAsia" w:ascii="仿宋" w:hAnsi="仿宋" w:eastAsia="仿宋"/>
          <w:sz w:val="32"/>
          <w:szCs w:val="32"/>
        </w:rPr>
        <w:t>（2）建设管理。按照《无极县农村厕所改造项目管理办法》、《农村无害化卫生户厕技术规范》以及其他相关技术规范，各乡镇（项目村）经技术培训，并在上级指导下开展农村改厕工作，完成下达的计划任务数。</w:t>
      </w:r>
    </w:p>
    <w:p>
      <w:pPr>
        <w:spacing w:line="560" w:lineRule="exact"/>
        <w:ind w:firstLineChars="0"/>
        <w:jc w:val="both"/>
        <w:rPr>
          <w:rFonts w:ascii="仿宋" w:hAnsi="仿宋" w:eastAsia="仿宋"/>
          <w:sz w:val="32"/>
          <w:szCs w:val="32"/>
        </w:rPr>
      </w:pPr>
      <w:r>
        <w:rPr>
          <w:rFonts w:hint="eastAsia" w:ascii="仿宋" w:hAnsi="仿宋" w:eastAsia="仿宋"/>
          <w:sz w:val="32"/>
          <w:szCs w:val="32"/>
        </w:rPr>
        <w:t>（3）验收管理。无极县农工委对卫生改厕项目村当年完成改厕的农户逐户登记造册，建立电子档案，逐户验收，合格后报市级。市级复核验收，并将复核验收情况报省级，省级组织抽查复核。</w:t>
      </w:r>
    </w:p>
    <w:p>
      <w:pPr>
        <w:spacing w:line="560" w:lineRule="exact"/>
        <w:ind w:firstLine="520" w:firstLineChars="162"/>
        <w:jc w:val="both"/>
        <w:rPr>
          <w:rFonts w:ascii="楷体" w:hAnsi="楷体" w:eastAsia="楷体"/>
          <w:b/>
          <w:sz w:val="32"/>
          <w:szCs w:val="32"/>
        </w:rPr>
      </w:pPr>
      <w:r>
        <w:rPr>
          <w:rFonts w:hint="eastAsia" w:ascii="楷体" w:hAnsi="楷体" w:eastAsia="楷体"/>
          <w:b/>
          <w:sz w:val="32"/>
          <w:szCs w:val="32"/>
        </w:rPr>
        <w:t>（四）项目绩效目标</w:t>
      </w:r>
    </w:p>
    <w:p>
      <w:pPr>
        <w:spacing w:line="560" w:lineRule="exact"/>
        <w:ind w:firstLine="640"/>
        <w:jc w:val="both"/>
        <w:rPr>
          <w:rFonts w:ascii="仿宋" w:hAnsi="仿宋" w:eastAsia="仿宋"/>
          <w:sz w:val="32"/>
          <w:szCs w:val="32"/>
        </w:rPr>
      </w:pPr>
      <w:r>
        <w:rPr>
          <w:rFonts w:hint="eastAsia" w:ascii="仿宋" w:hAnsi="仿宋" w:eastAsia="仿宋"/>
          <w:sz w:val="32"/>
          <w:szCs w:val="32"/>
        </w:rPr>
        <w:t>发挥财政资金的引导性作用，合理整合项目资源，有效调动社会参与，形成多方投入的改厕模式。加强改厕后续服务和管理，教育和引导农民正确使用卫生厕所，将卫生厕所建、管、用纳入村庄环境长效管理机制。</w:t>
      </w:r>
    </w:p>
    <w:p>
      <w:pPr>
        <w:spacing w:line="560" w:lineRule="exact"/>
        <w:ind w:firstLine="640"/>
        <w:jc w:val="both"/>
        <w:rPr>
          <w:rFonts w:ascii="仿宋" w:hAnsi="仿宋" w:eastAsia="仿宋"/>
          <w:sz w:val="32"/>
          <w:szCs w:val="32"/>
        </w:rPr>
      </w:pPr>
      <w:r>
        <w:rPr>
          <w:rFonts w:hint="eastAsia" w:ascii="仿宋" w:hAnsi="仿宋" w:eastAsia="仿宋"/>
          <w:sz w:val="32"/>
          <w:szCs w:val="32"/>
        </w:rPr>
        <w:t>根据石家庄市推进农村厕所革命工作领导小组工作部署，无极县2018年农村厕所改造任务为18100座。具体安排如下：张段固镇2128座、北苏镇2342座、郭庄镇2331座、东侯坊乡1948座、里城道乡1400座、南流乡1639座、郝庄乡3169座、大陈镇612座、无极镇364座、高头乡1558座、七汲镇609座。</w:t>
      </w:r>
    </w:p>
    <w:p>
      <w:pPr>
        <w:spacing w:line="560" w:lineRule="exact"/>
        <w:ind w:firstLine="640"/>
        <w:jc w:val="both"/>
        <w:rPr>
          <w:rFonts w:ascii="黑体" w:hAnsi="黑体" w:eastAsia="黑体"/>
          <w:sz w:val="32"/>
          <w:szCs w:val="32"/>
        </w:rPr>
      </w:pPr>
      <w:r>
        <w:rPr>
          <w:rFonts w:hint="eastAsia" w:ascii="黑体" w:hAnsi="黑体" w:eastAsia="黑体"/>
          <w:sz w:val="32"/>
          <w:szCs w:val="32"/>
        </w:rPr>
        <w:t>二、绩效评价工作开展情况</w:t>
      </w:r>
    </w:p>
    <w:p>
      <w:pPr>
        <w:spacing w:line="560" w:lineRule="exact"/>
        <w:ind w:firstLine="643"/>
        <w:jc w:val="both"/>
        <w:rPr>
          <w:rFonts w:ascii="楷体" w:hAnsi="楷体" w:eastAsia="楷体"/>
          <w:b/>
          <w:sz w:val="32"/>
          <w:szCs w:val="32"/>
        </w:rPr>
      </w:pPr>
      <w:r>
        <w:rPr>
          <w:rFonts w:hint="eastAsia" w:ascii="楷体" w:hAnsi="楷体" w:eastAsia="楷体"/>
          <w:b/>
          <w:sz w:val="32"/>
          <w:szCs w:val="32"/>
        </w:rPr>
        <w:t>（一）绩效评价目的</w:t>
      </w:r>
    </w:p>
    <w:p>
      <w:pPr>
        <w:spacing w:line="560" w:lineRule="exact"/>
        <w:ind w:firstLine="640"/>
        <w:jc w:val="both"/>
        <w:rPr>
          <w:rFonts w:ascii="仿宋" w:hAnsi="仿宋" w:eastAsia="仿宋"/>
          <w:sz w:val="32"/>
          <w:szCs w:val="32"/>
        </w:rPr>
      </w:pPr>
      <w:r>
        <w:rPr>
          <w:rFonts w:hint="eastAsia" w:ascii="仿宋" w:hAnsi="仿宋" w:eastAsia="仿宋"/>
          <w:sz w:val="32"/>
          <w:szCs w:val="32"/>
        </w:rPr>
        <w:t>在对我县农村改厕专项资金相关政策、专项资金设立背景、项目主要内容、管理实施流程及年度工作成果的基础上，通过设置有针对性的绩效评价指标体系，评价项目实施取得的成效，同时总结经验，查找问题，分析原因，提出有针对性的意见和建议，为完善相关政策、加强项目管理、提高财政资金使用效益提供重要的决策依据。</w:t>
      </w:r>
    </w:p>
    <w:p>
      <w:pPr>
        <w:spacing w:line="560" w:lineRule="exact"/>
        <w:ind w:firstLine="643"/>
        <w:jc w:val="both"/>
        <w:rPr>
          <w:rFonts w:ascii="楷体" w:hAnsi="楷体" w:eastAsia="楷体"/>
          <w:b/>
          <w:sz w:val="32"/>
          <w:szCs w:val="32"/>
        </w:rPr>
      </w:pPr>
      <w:r>
        <w:rPr>
          <w:rFonts w:hint="eastAsia" w:ascii="楷体" w:hAnsi="楷体" w:eastAsia="楷体"/>
          <w:b/>
          <w:sz w:val="32"/>
          <w:szCs w:val="32"/>
        </w:rPr>
        <w:t>（二）绩效评价原则及方法</w:t>
      </w:r>
    </w:p>
    <w:p>
      <w:pPr>
        <w:spacing w:line="560" w:lineRule="exact"/>
        <w:ind w:firstLine="640"/>
        <w:jc w:val="both"/>
        <w:rPr>
          <w:rFonts w:ascii="仿宋" w:hAnsi="仿宋" w:eastAsia="仿宋"/>
          <w:sz w:val="32"/>
          <w:szCs w:val="32"/>
        </w:rPr>
      </w:pPr>
      <w:r>
        <w:rPr>
          <w:rFonts w:hint="eastAsia" w:ascii="仿宋" w:hAnsi="仿宋" w:eastAsia="仿宋"/>
          <w:sz w:val="32"/>
          <w:szCs w:val="32"/>
        </w:rPr>
        <w:t>本次绩效评价秉承科学规范、公平公正、绩效相关原则，按照投入、管理、产出、效果和影响力的绩效评价逻辑框架，以结果为导向，采用因素法、比较分析法、社会调查法以及定量和定性分析相结合的方法，对照目标，对项目进行客观公正的评价。</w:t>
      </w:r>
    </w:p>
    <w:p>
      <w:pPr>
        <w:spacing w:line="560" w:lineRule="exact"/>
        <w:ind w:firstLine="643"/>
        <w:jc w:val="both"/>
        <w:rPr>
          <w:rFonts w:ascii="楷体" w:hAnsi="楷体" w:eastAsia="楷体"/>
          <w:b/>
          <w:sz w:val="32"/>
          <w:szCs w:val="32"/>
        </w:rPr>
      </w:pPr>
      <w:r>
        <w:rPr>
          <w:rFonts w:hint="eastAsia" w:ascii="楷体" w:hAnsi="楷体" w:eastAsia="楷体"/>
          <w:b/>
          <w:sz w:val="32"/>
          <w:szCs w:val="32"/>
        </w:rPr>
        <w:t>（三）评价指标体系</w:t>
      </w:r>
    </w:p>
    <w:p>
      <w:pPr>
        <w:spacing w:line="560" w:lineRule="exact"/>
        <w:ind w:firstLine="640"/>
        <w:jc w:val="both"/>
        <w:rPr>
          <w:rFonts w:ascii="仿宋" w:hAnsi="仿宋" w:eastAsia="仿宋"/>
          <w:sz w:val="32"/>
          <w:szCs w:val="32"/>
        </w:rPr>
      </w:pPr>
      <w:r>
        <w:rPr>
          <w:rFonts w:hint="eastAsia" w:ascii="仿宋" w:hAnsi="仿宋" w:eastAsia="仿宋"/>
          <w:sz w:val="32"/>
          <w:szCs w:val="32"/>
        </w:rPr>
        <w:t>我们结合项目特点和实际情况，共设置三级评价指标，对各项指标的权重、标准、评分过程进行了详细论证和设计。</w:t>
      </w:r>
    </w:p>
    <w:p>
      <w:pPr>
        <w:spacing w:line="560" w:lineRule="exact"/>
        <w:ind w:firstLine="643"/>
        <w:jc w:val="both"/>
        <w:rPr>
          <w:rFonts w:ascii="楷体" w:hAnsi="楷体" w:eastAsia="楷体"/>
          <w:b/>
          <w:sz w:val="32"/>
          <w:szCs w:val="32"/>
        </w:rPr>
      </w:pPr>
      <w:r>
        <w:rPr>
          <w:rFonts w:hint="eastAsia" w:ascii="楷体" w:hAnsi="楷体" w:eastAsia="楷体"/>
          <w:b/>
          <w:sz w:val="32"/>
          <w:szCs w:val="32"/>
        </w:rPr>
        <w:t>（四）评价依据</w:t>
      </w:r>
    </w:p>
    <w:p>
      <w:pPr>
        <w:spacing w:line="560" w:lineRule="exact"/>
        <w:ind w:firstLine="640"/>
        <w:jc w:val="both"/>
        <w:rPr>
          <w:rFonts w:ascii="仿宋" w:hAnsi="仿宋" w:eastAsia="仿宋"/>
          <w:sz w:val="32"/>
          <w:szCs w:val="32"/>
        </w:rPr>
      </w:pPr>
      <w:r>
        <w:rPr>
          <w:rFonts w:hint="eastAsia" w:ascii="仿宋" w:hAnsi="仿宋" w:eastAsia="仿宋"/>
          <w:sz w:val="32"/>
          <w:szCs w:val="32"/>
        </w:rPr>
        <w:t>评价标准依据《石家庄市2018年各县（市、区）农村厕所改造任务》（石农厕组发〔2018〕3号）、《石家庄市农村厕所革命补助资金管理办法》、《无极县农村厕所改造项目管理办法》、《无极县农村厕所改造工程验收办法》（无农厕办〔2018〕3号）等有关制度和文件。</w:t>
      </w:r>
    </w:p>
    <w:p>
      <w:pPr>
        <w:spacing w:line="560" w:lineRule="exact"/>
        <w:ind w:firstLine="643"/>
        <w:jc w:val="both"/>
        <w:rPr>
          <w:rFonts w:ascii="楷体" w:hAnsi="楷体" w:eastAsia="楷体"/>
          <w:b/>
          <w:sz w:val="32"/>
          <w:szCs w:val="32"/>
        </w:rPr>
      </w:pPr>
      <w:r>
        <w:rPr>
          <w:rFonts w:hint="eastAsia" w:ascii="楷体" w:hAnsi="楷体" w:eastAsia="楷体"/>
          <w:b/>
          <w:sz w:val="32"/>
          <w:szCs w:val="32"/>
        </w:rPr>
        <w:t>（五）评价实施过程</w:t>
      </w:r>
    </w:p>
    <w:p>
      <w:pPr>
        <w:spacing w:line="560" w:lineRule="exact"/>
        <w:ind w:firstLine="640"/>
        <w:jc w:val="both"/>
        <w:rPr>
          <w:rFonts w:ascii="仿宋" w:hAnsi="仿宋" w:eastAsia="仿宋"/>
          <w:sz w:val="32"/>
          <w:szCs w:val="32"/>
        </w:rPr>
      </w:pPr>
      <w:r>
        <w:rPr>
          <w:rFonts w:hint="eastAsia" w:ascii="仿宋" w:hAnsi="仿宋" w:eastAsia="仿宋"/>
          <w:sz w:val="32"/>
          <w:szCs w:val="32"/>
        </w:rPr>
        <w:t>2020年3月至4月期间，我局抽调人员成立绩效评价工作组，采用访谈、座谈、实地考察等方式，对无极县农工委、无极县推进农村厕所革命工作领导小组办公室、相关乡镇村庄等单位进行了调研和现场核查，深入了解项目背景、政策依据、基本情况、投入、实施管理、产出、效果等方面的信息，同时收集项目相关资料，形成了绩效评价总体思路，在此基础上，制定了绩效评价工作方案，研发设计了绩效评价指标体系与数据报表体系，设计了满意率调查问卷，并组织专家进行了评审论证。</w:t>
      </w:r>
    </w:p>
    <w:p>
      <w:pPr>
        <w:spacing w:line="560" w:lineRule="exact"/>
        <w:ind w:firstLine="640"/>
        <w:jc w:val="both"/>
        <w:rPr>
          <w:rFonts w:ascii="黑体" w:hAnsi="黑体" w:eastAsia="黑体"/>
          <w:sz w:val="32"/>
          <w:szCs w:val="32"/>
        </w:rPr>
      </w:pPr>
      <w:r>
        <w:rPr>
          <w:rFonts w:hint="eastAsia" w:ascii="黑体" w:hAnsi="黑体" w:eastAsia="黑体"/>
          <w:sz w:val="32"/>
          <w:szCs w:val="32"/>
        </w:rPr>
        <w:t>三、评价结论情况</w:t>
      </w:r>
    </w:p>
    <w:p>
      <w:pPr>
        <w:spacing w:line="560" w:lineRule="exact"/>
        <w:ind w:firstLine="640"/>
        <w:jc w:val="both"/>
        <w:rPr>
          <w:rFonts w:ascii="仿宋" w:hAnsi="仿宋" w:eastAsia="仿宋"/>
          <w:sz w:val="32"/>
          <w:szCs w:val="32"/>
        </w:rPr>
      </w:pPr>
      <w:r>
        <w:rPr>
          <w:rFonts w:hint="eastAsia" w:ascii="仿宋" w:hAnsi="仿宋" w:eastAsia="仿宋"/>
          <w:sz w:val="32"/>
          <w:szCs w:val="32"/>
        </w:rPr>
        <w:t>本次评价得分为85.86分，绩效等级“</w:t>
      </w:r>
      <w:r>
        <w:rPr>
          <w:rFonts w:hint="eastAsia" w:ascii="仿宋" w:hAnsi="仿宋" w:eastAsia="仿宋"/>
          <w:sz w:val="32"/>
          <w:szCs w:val="32"/>
          <w:lang w:val="en-US" w:eastAsia="zh-CN"/>
        </w:rPr>
        <w:t>良</w:t>
      </w:r>
      <w:r>
        <w:rPr>
          <w:rFonts w:hint="eastAsia" w:ascii="仿宋" w:hAnsi="仿宋" w:eastAsia="仿宋"/>
          <w:sz w:val="32"/>
          <w:szCs w:val="32"/>
        </w:rPr>
        <w:t>”（指标得分情况表见附件）。</w:t>
      </w:r>
    </w:p>
    <w:p>
      <w:pPr>
        <w:spacing w:line="560" w:lineRule="exact"/>
        <w:ind w:firstLine="640"/>
        <w:jc w:val="both"/>
        <w:rPr>
          <w:rFonts w:ascii="黑体" w:hAnsi="黑体" w:eastAsia="黑体"/>
          <w:sz w:val="32"/>
          <w:szCs w:val="32"/>
        </w:rPr>
      </w:pPr>
      <w:r>
        <w:rPr>
          <w:rFonts w:hint="eastAsia" w:ascii="黑体" w:hAnsi="黑体" w:eastAsia="黑体"/>
          <w:sz w:val="32"/>
          <w:szCs w:val="32"/>
        </w:rPr>
        <w:t>四、主要成效</w:t>
      </w:r>
    </w:p>
    <w:p>
      <w:pPr>
        <w:spacing w:line="560" w:lineRule="exact"/>
        <w:ind w:firstLine="640"/>
        <w:jc w:val="both"/>
        <w:rPr>
          <w:rFonts w:ascii="仿宋" w:hAnsi="仿宋" w:eastAsia="仿宋"/>
          <w:sz w:val="32"/>
          <w:szCs w:val="32"/>
        </w:rPr>
      </w:pPr>
      <w:r>
        <w:rPr>
          <w:rFonts w:hint="eastAsia" w:ascii="仿宋" w:hAnsi="仿宋" w:eastAsia="仿宋"/>
          <w:sz w:val="32"/>
          <w:szCs w:val="32"/>
        </w:rPr>
        <w:t>我县2018年度农村厕所改革共建成并验收17570座，有效地改善了农村卫生环境状况，取得了明显成效，主要表现在：</w:t>
      </w:r>
    </w:p>
    <w:p>
      <w:pPr>
        <w:spacing w:line="560" w:lineRule="exact"/>
        <w:ind w:firstLine="640"/>
        <w:jc w:val="both"/>
        <w:rPr>
          <w:rFonts w:ascii="仿宋" w:hAnsi="仿宋" w:eastAsia="仿宋"/>
          <w:sz w:val="32"/>
          <w:szCs w:val="32"/>
        </w:rPr>
      </w:pPr>
      <w:r>
        <w:rPr>
          <w:rFonts w:hint="eastAsia" w:ascii="仿宋" w:hAnsi="仿宋" w:eastAsia="仿宋"/>
          <w:sz w:val="32"/>
          <w:szCs w:val="32"/>
        </w:rPr>
        <w:t>1、有效改善我县农户居住环境，提高卫生整体水平。通过改厕和粪便密闭收集，改变了我县农村传统旱厕蚊蝇乱飞、气味熏鼻、污水外流、入厕痛苦等状况，使得农户家中无臭味、蚊蝇减少、院落整洁，补齐影响农村群众生活的短板，同时提升了农村环卫一体化效果，村容村貌发生较大变化，走访调查的群众满意度达到100%。</w:t>
      </w:r>
    </w:p>
    <w:p>
      <w:pPr>
        <w:spacing w:line="560" w:lineRule="exact"/>
        <w:ind w:firstLine="640"/>
        <w:jc w:val="both"/>
        <w:rPr>
          <w:rFonts w:ascii="仿宋" w:hAnsi="仿宋" w:eastAsia="仿宋"/>
          <w:sz w:val="32"/>
          <w:szCs w:val="32"/>
        </w:rPr>
      </w:pPr>
      <w:r>
        <w:rPr>
          <w:rFonts w:hint="eastAsia" w:ascii="仿宋" w:hAnsi="仿宋" w:eastAsia="仿宋"/>
          <w:sz w:val="32"/>
          <w:szCs w:val="32"/>
        </w:rPr>
        <w:t>2、增强农民健康意识。通过改厕消除了粪便污染，让农民养成卫生习惯，增强了健康意识，在一定程度上减少了疾病的发生。</w:t>
      </w:r>
    </w:p>
    <w:p>
      <w:pPr>
        <w:spacing w:line="560" w:lineRule="exact"/>
        <w:ind w:firstLine="640"/>
        <w:jc w:val="both"/>
        <w:rPr>
          <w:rFonts w:ascii="仿宋" w:hAnsi="仿宋" w:eastAsia="仿宋"/>
          <w:sz w:val="32"/>
          <w:szCs w:val="32"/>
        </w:rPr>
      </w:pPr>
      <w:r>
        <w:rPr>
          <w:rFonts w:hint="eastAsia" w:ascii="仿宋" w:hAnsi="仿宋" w:eastAsia="仿宋"/>
          <w:sz w:val="32"/>
          <w:szCs w:val="32"/>
        </w:rPr>
        <w:t>3、得到农民广泛认可。改厕工作以人为本，尊重民意，建立健全公众参与机制，保障农村决策权、参与权和监督权。并且改厕工作资金主要由财政投入，农户基本上无需负担，改善了生活环境，提升了生活幸福感，得到了农民的充分认可。</w:t>
      </w:r>
    </w:p>
    <w:p>
      <w:pPr>
        <w:spacing w:line="560" w:lineRule="exact"/>
        <w:ind w:firstLine="640"/>
        <w:jc w:val="both"/>
        <w:rPr>
          <w:rFonts w:ascii="仿宋" w:hAnsi="仿宋" w:eastAsia="仿宋"/>
          <w:sz w:val="32"/>
          <w:szCs w:val="32"/>
        </w:rPr>
      </w:pPr>
      <w:r>
        <w:rPr>
          <w:rFonts w:hint="eastAsia" w:ascii="仿宋" w:hAnsi="仿宋" w:eastAsia="仿宋"/>
          <w:sz w:val="32"/>
          <w:szCs w:val="32"/>
        </w:rPr>
        <w:t>4、密切党群干群关系。农村改革工作是习近平总书记关注的民生工程，各级党委政府非常重视，我县推进农村厕所革命工作领导小组对全县农厕进行全面摸底，多次组织会议讨论改厕模式选择、制定改厕实施方案等事项，确保改厕工作顺利开展。</w:t>
      </w:r>
    </w:p>
    <w:p>
      <w:pPr>
        <w:spacing w:line="560" w:lineRule="exact"/>
        <w:ind w:firstLine="640"/>
        <w:jc w:val="both"/>
        <w:rPr>
          <w:rFonts w:ascii="黑体" w:hAnsi="黑体" w:eastAsia="黑体"/>
          <w:sz w:val="32"/>
          <w:szCs w:val="32"/>
        </w:rPr>
      </w:pPr>
      <w:r>
        <w:rPr>
          <w:rFonts w:hint="eastAsia" w:ascii="黑体" w:hAnsi="黑体" w:eastAsia="黑体"/>
          <w:sz w:val="32"/>
          <w:szCs w:val="32"/>
        </w:rPr>
        <w:t>五、存在的问题</w:t>
      </w:r>
    </w:p>
    <w:p>
      <w:pPr>
        <w:spacing w:line="560" w:lineRule="exact"/>
        <w:ind w:firstLine="640"/>
        <w:jc w:val="both"/>
        <w:rPr>
          <w:rFonts w:ascii="仿宋" w:hAnsi="仿宋" w:eastAsia="仿宋"/>
          <w:sz w:val="32"/>
          <w:szCs w:val="32"/>
        </w:rPr>
      </w:pPr>
      <w:r>
        <w:rPr>
          <w:rFonts w:hint="eastAsia" w:ascii="仿宋" w:hAnsi="仿宋" w:eastAsia="仿宋"/>
          <w:sz w:val="32"/>
          <w:szCs w:val="32"/>
        </w:rPr>
        <w:t>1、超范围申请专项资金75.72万元</w:t>
      </w:r>
    </w:p>
    <w:p>
      <w:pPr>
        <w:spacing w:line="560" w:lineRule="exact"/>
        <w:ind w:firstLine="640"/>
        <w:jc w:val="both"/>
        <w:rPr>
          <w:rFonts w:ascii="仿宋" w:hAnsi="仿宋" w:eastAsia="仿宋"/>
          <w:sz w:val="32"/>
          <w:szCs w:val="32"/>
        </w:rPr>
      </w:pPr>
      <w:r>
        <w:rPr>
          <w:rFonts w:hint="eastAsia" w:ascii="仿宋" w:hAnsi="仿宋" w:eastAsia="仿宋"/>
          <w:sz w:val="32"/>
          <w:szCs w:val="32"/>
        </w:rPr>
        <w:t>无极县农工委在2018年农村厕改项目中，共申请拨付专项资金2572.338687万元，实际应补贴专项资金2496.622187万元，申请资金数超出实际应补贴金额75.7165万元，其中：监理费19.89万元，设备费55.8265万元。</w:t>
      </w:r>
    </w:p>
    <w:p>
      <w:pPr>
        <w:spacing w:line="560" w:lineRule="exact"/>
        <w:ind w:firstLine="640"/>
        <w:jc w:val="both"/>
        <w:rPr>
          <w:rFonts w:ascii="仿宋" w:hAnsi="仿宋" w:eastAsia="仿宋"/>
          <w:sz w:val="32"/>
          <w:szCs w:val="32"/>
        </w:rPr>
      </w:pPr>
      <w:r>
        <w:rPr>
          <w:rFonts w:hint="eastAsia" w:ascii="仿宋" w:hAnsi="仿宋" w:eastAsia="仿宋"/>
          <w:sz w:val="32"/>
          <w:szCs w:val="32"/>
        </w:rPr>
        <w:t>2、项目测算不精准，造成设备超额采购</w:t>
      </w:r>
    </w:p>
    <w:p>
      <w:pPr>
        <w:spacing w:line="560" w:lineRule="exact"/>
        <w:ind w:firstLine="640"/>
        <w:jc w:val="both"/>
        <w:rPr>
          <w:rFonts w:ascii="仿宋" w:hAnsi="仿宋" w:eastAsia="仿宋"/>
          <w:sz w:val="32"/>
          <w:szCs w:val="32"/>
        </w:rPr>
      </w:pPr>
      <w:r>
        <w:rPr>
          <w:rFonts w:hint="eastAsia" w:ascii="仿宋" w:hAnsi="仿宋" w:eastAsia="仿宋"/>
          <w:sz w:val="32"/>
          <w:szCs w:val="32"/>
        </w:rPr>
        <w:t>一是2018年采购并验收厕所改造设备（脚踏式冲水器、节水式蹲便器）19900套，实际使用17570套，剩余2330套。剩余2330套改造设备用到了2019年厕所改造项目中。</w:t>
      </w:r>
    </w:p>
    <w:p>
      <w:pPr>
        <w:spacing w:line="560" w:lineRule="exact"/>
        <w:ind w:firstLine="640"/>
        <w:jc w:val="both"/>
        <w:rPr>
          <w:rFonts w:ascii="仿宋" w:hAnsi="仿宋" w:eastAsia="仿宋"/>
          <w:sz w:val="32"/>
          <w:szCs w:val="32"/>
        </w:rPr>
      </w:pPr>
      <w:r>
        <w:rPr>
          <w:rFonts w:hint="eastAsia" w:ascii="仿宋" w:hAnsi="仿宋" w:eastAsia="仿宋"/>
          <w:sz w:val="32"/>
          <w:szCs w:val="32"/>
        </w:rPr>
        <w:t>二是2018年采购化粪池628个，用于2018年厕所改造621个、用于样板实验6个，剩余1个。剩余的1个化粪池用到了2019年厕所改造项目中。</w:t>
      </w:r>
    </w:p>
    <w:p>
      <w:pPr>
        <w:spacing w:line="560" w:lineRule="exact"/>
        <w:ind w:firstLine="640"/>
        <w:jc w:val="both"/>
        <w:rPr>
          <w:rFonts w:ascii="仿宋" w:hAnsi="仿宋" w:eastAsia="仿宋"/>
          <w:sz w:val="32"/>
          <w:szCs w:val="32"/>
        </w:rPr>
      </w:pPr>
      <w:r>
        <w:rPr>
          <w:rFonts w:hint="eastAsia" w:ascii="仿宋" w:hAnsi="仿宋" w:eastAsia="仿宋"/>
          <w:sz w:val="32"/>
          <w:szCs w:val="32"/>
        </w:rPr>
        <w:t>3、超范围列支财政专项资金</w:t>
      </w:r>
    </w:p>
    <w:p>
      <w:pPr>
        <w:spacing w:line="560" w:lineRule="exact"/>
        <w:ind w:firstLine="640"/>
        <w:jc w:val="both"/>
        <w:rPr>
          <w:rFonts w:ascii="仿宋" w:hAnsi="仿宋" w:eastAsia="仿宋"/>
          <w:sz w:val="32"/>
          <w:szCs w:val="32"/>
        </w:rPr>
      </w:pPr>
      <w:r>
        <w:rPr>
          <w:rFonts w:hint="eastAsia" w:ascii="仿宋" w:hAnsi="仿宋" w:eastAsia="仿宋"/>
          <w:sz w:val="32"/>
          <w:szCs w:val="32"/>
        </w:rPr>
        <w:t>一是2018年农村厕所改造工程监理费19.89万元在改厕专项资金中列支，不符合《石家庄市农村厕所革命补助资金管理办法》第四条中改厕资金“用于农村户用无害化卫生厕所地下部分”的规定，超范围列支。</w:t>
      </w:r>
    </w:p>
    <w:p>
      <w:pPr>
        <w:spacing w:line="560" w:lineRule="exact"/>
        <w:ind w:firstLine="640"/>
        <w:jc w:val="both"/>
        <w:rPr>
          <w:rFonts w:ascii="仿宋" w:hAnsi="仿宋" w:eastAsia="仿宋"/>
          <w:sz w:val="32"/>
          <w:szCs w:val="32"/>
        </w:rPr>
      </w:pPr>
      <w:r>
        <w:rPr>
          <w:rFonts w:hint="eastAsia" w:ascii="仿宋" w:hAnsi="仿宋" w:eastAsia="仿宋"/>
          <w:sz w:val="32"/>
          <w:szCs w:val="32"/>
        </w:rPr>
        <w:t>二是用于样板试验使用的6个化粪池设备费用在改厕专项资金中列支，不符合《石家庄市农村厕所革命补助资金管理办法》第四条中改厕资金“用于农村户用无害化卫生厕所地下部分”的规定，超范围列支。</w:t>
      </w:r>
    </w:p>
    <w:p>
      <w:pPr>
        <w:spacing w:line="560" w:lineRule="exact"/>
        <w:ind w:firstLine="640"/>
        <w:jc w:val="both"/>
        <w:rPr>
          <w:rFonts w:ascii="仿宋" w:hAnsi="仿宋" w:eastAsia="仿宋"/>
          <w:sz w:val="32"/>
          <w:szCs w:val="32"/>
        </w:rPr>
      </w:pPr>
      <w:r>
        <w:rPr>
          <w:rFonts w:hint="eastAsia" w:ascii="仿宋" w:hAnsi="仿宋" w:eastAsia="仿宋"/>
          <w:sz w:val="32"/>
          <w:szCs w:val="32"/>
        </w:rPr>
        <w:t>4、违反政府采购法，先施工后招标，程序倒置</w:t>
      </w:r>
    </w:p>
    <w:p>
      <w:pPr>
        <w:spacing w:line="560" w:lineRule="exact"/>
        <w:ind w:firstLine="640"/>
        <w:jc w:val="both"/>
        <w:rPr>
          <w:rFonts w:ascii="仿宋" w:hAnsi="仿宋" w:eastAsia="仿宋"/>
          <w:sz w:val="32"/>
          <w:szCs w:val="32"/>
        </w:rPr>
      </w:pPr>
      <w:r>
        <w:rPr>
          <w:rFonts w:hint="eastAsia" w:ascii="仿宋" w:hAnsi="仿宋" w:eastAsia="仿宋"/>
          <w:sz w:val="32"/>
          <w:szCs w:val="32"/>
        </w:rPr>
        <w:t>经抽查核实《石家庄市农村户厕改造档案》，我们发现存在施工时间和验收时间早于中标时间或者签订合同时间的现象。以下为抽查明细：</w:t>
      </w:r>
    </w:p>
    <w:p>
      <w:pPr>
        <w:spacing w:line="560" w:lineRule="exact"/>
        <w:ind w:firstLine="640"/>
        <w:jc w:val="both"/>
        <w:rPr>
          <w:rFonts w:ascii="仿宋" w:hAnsi="仿宋" w:eastAsia="仿宋"/>
          <w:sz w:val="32"/>
          <w:szCs w:val="32"/>
        </w:rPr>
      </w:pPr>
      <w:r>
        <w:rPr>
          <w:rFonts w:hint="eastAsia" w:ascii="仿宋" w:hAnsi="仿宋" w:eastAsia="仿宋"/>
          <w:sz w:val="32"/>
          <w:szCs w:val="32"/>
        </w:rPr>
        <w:t>（1）无极县昌逸建筑施工队，该施工队中标时间为2018年10月18日，合同签订时间为2018年10月29日。</w:t>
      </w:r>
    </w:p>
    <w:p>
      <w:pPr>
        <w:spacing w:line="560" w:lineRule="exact"/>
        <w:ind w:firstLine="640"/>
        <w:jc w:val="both"/>
        <w:rPr>
          <w:rFonts w:ascii="仿宋" w:hAnsi="仿宋" w:eastAsia="仿宋"/>
          <w:sz w:val="32"/>
          <w:szCs w:val="32"/>
        </w:rPr>
      </w:pPr>
      <w:r>
        <w:rPr>
          <w:rFonts w:hint="eastAsia" w:ascii="仿宋" w:hAnsi="仿宋" w:eastAsia="仿宋"/>
          <w:sz w:val="32"/>
          <w:szCs w:val="32"/>
        </w:rPr>
        <w:t>里城道乡西东丈村，户主李兵全家施工记录表，施工单位为无极县昌逸建筑施工队, 《石家庄市农村户厕改造档案》中的竣工验收日期为2018年10月6日，早于中标时间；</w:t>
      </w:r>
    </w:p>
    <w:p>
      <w:pPr>
        <w:spacing w:line="560" w:lineRule="exact"/>
        <w:ind w:firstLine="640"/>
        <w:jc w:val="both"/>
        <w:rPr>
          <w:rFonts w:ascii="仿宋" w:hAnsi="仿宋" w:eastAsia="仿宋"/>
          <w:sz w:val="32"/>
          <w:szCs w:val="32"/>
        </w:rPr>
      </w:pPr>
      <w:r>
        <w:rPr>
          <w:rFonts w:hint="eastAsia" w:ascii="仿宋" w:hAnsi="仿宋" w:eastAsia="仿宋"/>
          <w:sz w:val="32"/>
          <w:szCs w:val="32"/>
        </w:rPr>
        <w:t>里城道乡西东丈村，户主刘占良，施工单位为无极县昌逸建筑施工队，《石家庄市农村户厕改造档案》中的施工记录表验收日期为2018年10月4日，早于中标时间；</w:t>
      </w:r>
    </w:p>
    <w:p>
      <w:pPr>
        <w:spacing w:line="560" w:lineRule="exact"/>
        <w:ind w:firstLine="640"/>
        <w:jc w:val="both"/>
        <w:rPr>
          <w:rFonts w:ascii="仿宋" w:hAnsi="仿宋" w:eastAsia="仿宋"/>
          <w:sz w:val="32"/>
          <w:szCs w:val="32"/>
        </w:rPr>
      </w:pPr>
      <w:r>
        <w:rPr>
          <w:rFonts w:hint="eastAsia" w:ascii="仿宋" w:hAnsi="仿宋" w:eastAsia="仿宋"/>
          <w:sz w:val="32"/>
          <w:szCs w:val="32"/>
        </w:rPr>
        <w:t>里城道乡西东丈村，户主卜路明，施工单位为无极县昌逸建筑施工队，《石家庄市农村户厕改造档案》中的施工记录表验收日期为2018年10月10日，早于中标时间；</w:t>
      </w:r>
    </w:p>
    <w:p>
      <w:pPr>
        <w:spacing w:line="560" w:lineRule="exact"/>
        <w:ind w:firstLine="640"/>
        <w:jc w:val="both"/>
        <w:rPr>
          <w:rFonts w:ascii="仿宋" w:hAnsi="仿宋" w:eastAsia="仿宋"/>
          <w:sz w:val="32"/>
          <w:szCs w:val="32"/>
        </w:rPr>
      </w:pPr>
      <w:r>
        <w:rPr>
          <w:rFonts w:hint="eastAsia" w:ascii="仿宋" w:hAnsi="仿宋" w:eastAsia="仿宋"/>
          <w:sz w:val="32"/>
          <w:szCs w:val="32"/>
        </w:rPr>
        <w:t>里城道乡西东丈村，户主豆军法，施工单位为无极县昌逸建筑施工队，《石家庄市农村户厕改造档案》中的施工记录表验收日期为2018年10月15日，早于中标时间；</w:t>
      </w:r>
    </w:p>
    <w:p>
      <w:pPr>
        <w:spacing w:line="560" w:lineRule="exact"/>
        <w:ind w:firstLine="640"/>
        <w:jc w:val="both"/>
        <w:rPr>
          <w:rFonts w:ascii="仿宋" w:hAnsi="仿宋" w:eastAsia="仿宋"/>
          <w:sz w:val="32"/>
          <w:szCs w:val="32"/>
        </w:rPr>
      </w:pPr>
      <w:r>
        <w:rPr>
          <w:rFonts w:hint="eastAsia" w:ascii="仿宋" w:hAnsi="仿宋" w:eastAsia="仿宋"/>
          <w:sz w:val="32"/>
          <w:szCs w:val="32"/>
        </w:rPr>
        <w:t>里城道乡西东丈村，户主朱保明，施工单位为无极县昌逸建筑施工队，《石家庄市农村户厕改造档案》中的施工记录表验收日期为2018年10月26日，早于合同签订时间；</w:t>
      </w:r>
    </w:p>
    <w:p>
      <w:pPr>
        <w:spacing w:line="560" w:lineRule="exact"/>
        <w:ind w:firstLine="640"/>
        <w:jc w:val="both"/>
        <w:rPr>
          <w:rFonts w:ascii="仿宋" w:hAnsi="仿宋" w:eastAsia="仿宋"/>
          <w:sz w:val="32"/>
          <w:szCs w:val="32"/>
        </w:rPr>
      </w:pPr>
      <w:r>
        <w:rPr>
          <w:rFonts w:hint="eastAsia" w:ascii="仿宋" w:hAnsi="仿宋" w:eastAsia="仿宋"/>
          <w:sz w:val="32"/>
          <w:szCs w:val="32"/>
        </w:rPr>
        <w:t>里城道乡西东丈村，户主李五申，施工单位为无极县昌逸建筑施工队，《石家庄市农村户厕改造档案》中的施工记录表验收日期为2018年10月24日，早于合同签订时间。</w:t>
      </w:r>
    </w:p>
    <w:p>
      <w:pPr>
        <w:spacing w:line="560" w:lineRule="exact"/>
        <w:ind w:firstLine="640"/>
        <w:jc w:val="both"/>
        <w:rPr>
          <w:rFonts w:ascii="仿宋" w:hAnsi="仿宋" w:eastAsia="仿宋"/>
          <w:sz w:val="32"/>
          <w:szCs w:val="32"/>
        </w:rPr>
      </w:pPr>
      <w:r>
        <w:rPr>
          <w:rFonts w:hint="eastAsia" w:ascii="仿宋" w:hAnsi="仿宋" w:eastAsia="仿宋"/>
          <w:sz w:val="32"/>
          <w:szCs w:val="32"/>
        </w:rPr>
        <w:t>（2）无极县鸿弘建筑施工队施工日期早于中标时间2018年10月18日。</w:t>
      </w:r>
    </w:p>
    <w:p>
      <w:pPr>
        <w:spacing w:line="560" w:lineRule="exact"/>
        <w:ind w:firstLine="640"/>
        <w:jc w:val="both"/>
        <w:rPr>
          <w:rFonts w:ascii="仿宋" w:hAnsi="仿宋" w:eastAsia="仿宋"/>
          <w:sz w:val="32"/>
          <w:szCs w:val="32"/>
        </w:rPr>
      </w:pPr>
      <w:r>
        <w:rPr>
          <w:rFonts w:hint="eastAsia" w:ascii="仿宋" w:hAnsi="仿宋" w:eastAsia="仿宋"/>
          <w:sz w:val="32"/>
          <w:szCs w:val="32"/>
        </w:rPr>
        <w:t>七汲镇西流村，户主冯中田，施工单位为无极县鸿泓建筑施工队，《石家庄市农村户厕改造档案》中的施工记录表验收日期和竣工验收表日期均为2018年10月15日。</w:t>
      </w:r>
    </w:p>
    <w:p>
      <w:pPr>
        <w:spacing w:line="560" w:lineRule="exact"/>
        <w:ind w:firstLine="640"/>
        <w:jc w:val="both"/>
        <w:rPr>
          <w:rFonts w:ascii="仿宋" w:hAnsi="仿宋" w:eastAsia="仿宋"/>
          <w:sz w:val="32"/>
          <w:szCs w:val="32"/>
        </w:rPr>
      </w:pPr>
      <w:r>
        <w:rPr>
          <w:rFonts w:hint="eastAsia" w:ascii="仿宋" w:hAnsi="仿宋" w:eastAsia="仿宋"/>
          <w:sz w:val="32"/>
          <w:szCs w:val="32"/>
        </w:rPr>
        <w:t>（3）无极县聚裕安建筑工程有限公司施工日期早于中标时间2018年10月18日。</w:t>
      </w:r>
    </w:p>
    <w:p>
      <w:pPr>
        <w:spacing w:line="560" w:lineRule="exact"/>
        <w:ind w:firstLine="640"/>
        <w:jc w:val="both"/>
        <w:rPr>
          <w:rFonts w:ascii="仿宋" w:hAnsi="仿宋" w:eastAsia="仿宋"/>
          <w:sz w:val="32"/>
          <w:szCs w:val="32"/>
        </w:rPr>
      </w:pPr>
      <w:r>
        <w:rPr>
          <w:rFonts w:hint="eastAsia" w:ascii="仿宋" w:hAnsi="仿宋" w:eastAsia="仿宋"/>
          <w:sz w:val="32"/>
          <w:szCs w:val="32"/>
        </w:rPr>
        <w:t>高头回族乡高头一村，户主白国方，施工单位为无极县聚裕安建筑工程有限公司，《石家庄市农村户厕改造档案》中的施工记录表验收日期2018年9月28日，竣工验收表日期为2018年10月4日，均早于中标时间。</w:t>
      </w:r>
    </w:p>
    <w:p>
      <w:pPr>
        <w:spacing w:line="560" w:lineRule="exact"/>
        <w:ind w:firstLine="640"/>
        <w:jc w:val="both"/>
        <w:rPr>
          <w:rFonts w:ascii="仿宋" w:hAnsi="仿宋" w:eastAsia="仿宋"/>
          <w:sz w:val="32"/>
          <w:szCs w:val="32"/>
        </w:rPr>
      </w:pPr>
      <w:r>
        <w:rPr>
          <w:rFonts w:hint="eastAsia" w:ascii="仿宋" w:hAnsi="仿宋" w:eastAsia="仿宋"/>
          <w:sz w:val="32"/>
          <w:szCs w:val="32"/>
        </w:rPr>
        <w:t>（4）无极县东科建筑施工队施工日期早于中标时间2018年11月12日。</w:t>
      </w:r>
    </w:p>
    <w:p>
      <w:pPr>
        <w:spacing w:line="560" w:lineRule="exact"/>
        <w:ind w:firstLine="640"/>
        <w:jc w:val="both"/>
        <w:rPr>
          <w:rFonts w:ascii="仿宋" w:hAnsi="仿宋" w:eastAsia="仿宋"/>
          <w:sz w:val="32"/>
          <w:szCs w:val="32"/>
        </w:rPr>
      </w:pPr>
      <w:r>
        <w:rPr>
          <w:rFonts w:hint="eastAsia" w:ascii="仿宋" w:hAnsi="仿宋" w:eastAsia="仿宋"/>
          <w:sz w:val="32"/>
          <w:szCs w:val="32"/>
        </w:rPr>
        <w:t>南流乡西南流村，户主马贵民，施工单位为无极县东科建筑施工队，《石家庄市农村户厕改造档案》中的施工记录表验收日期为2018年10月29日，早于中标时间。</w:t>
      </w:r>
    </w:p>
    <w:p>
      <w:pPr>
        <w:spacing w:line="560" w:lineRule="exact"/>
        <w:ind w:firstLine="640"/>
        <w:jc w:val="both"/>
        <w:rPr>
          <w:rFonts w:ascii="仿宋" w:hAnsi="仿宋" w:eastAsia="仿宋"/>
          <w:sz w:val="32"/>
          <w:szCs w:val="32"/>
        </w:rPr>
      </w:pPr>
      <w:r>
        <w:rPr>
          <w:rFonts w:hint="eastAsia" w:ascii="仿宋" w:hAnsi="仿宋" w:eastAsia="仿宋"/>
          <w:sz w:val="32"/>
          <w:szCs w:val="32"/>
        </w:rPr>
        <w:t>（5）河北千禾农业开发有限公司施工日期早于中标时间2018年10月18日。</w:t>
      </w:r>
    </w:p>
    <w:p>
      <w:pPr>
        <w:spacing w:line="560" w:lineRule="exact"/>
        <w:ind w:firstLine="640"/>
        <w:jc w:val="both"/>
        <w:rPr>
          <w:rFonts w:ascii="仿宋" w:hAnsi="仿宋" w:eastAsia="仿宋"/>
          <w:sz w:val="32"/>
          <w:szCs w:val="32"/>
        </w:rPr>
      </w:pPr>
      <w:r>
        <w:rPr>
          <w:rFonts w:hint="eastAsia" w:ascii="仿宋" w:hAnsi="仿宋" w:eastAsia="仿宋"/>
          <w:sz w:val="32"/>
          <w:szCs w:val="32"/>
        </w:rPr>
        <w:t>郭庄镇郭庄村，户主王赃仁，施工单位为河北千禾农业开发有限公司，《石家庄市农村户厕改造档案》中的施工记录表验收日期2018年10月16日，早于中标时间。</w:t>
      </w:r>
    </w:p>
    <w:p>
      <w:pPr>
        <w:spacing w:line="560" w:lineRule="exact"/>
        <w:ind w:firstLine="640"/>
        <w:jc w:val="both"/>
        <w:rPr>
          <w:rFonts w:ascii="仿宋" w:hAnsi="仿宋" w:eastAsia="仿宋"/>
          <w:sz w:val="32"/>
          <w:szCs w:val="32"/>
        </w:rPr>
      </w:pPr>
      <w:r>
        <w:rPr>
          <w:rFonts w:hint="eastAsia" w:ascii="仿宋" w:hAnsi="仿宋" w:eastAsia="仿宋"/>
          <w:sz w:val="32"/>
          <w:szCs w:val="32"/>
        </w:rPr>
        <w:t>5、监理日志时间晚于施工时间</w:t>
      </w:r>
    </w:p>
    <w:p>
      <w:pPr>
        <w:spacing w:line="560" w:lineRule="exact"/>
        <w:ind w:firstLine="640"/>
        <w:jc w:val="both"/>
        <w:rPr>
          <w:rFonts w:ascii="仿宋" w:hAnsi="仿宋" w:eastAsia="仿宋"/>
          <w:sz w:val="32"/>
          <w:szCs w:val="32"/>
        </w:rPr>
      </w:pPr>
      <w:r>
        <w:rPr>
          <w:rFonts w:hint="eastAsia" w:ascii="仿宋" w:hAnsi="仿宋" w:eastAsia="仿宋"/>
          <w:sz w:val="32"/>
          <w:szCs w:val="32"/>
        </w:rPr>
        <w:t>（1）石家庄冀佳工程建设监理有限公司对无极县昌逸建筑施工队的监理日志开始时间为2018年10月21日。</w:t>
      </w:r>
    </w:p>
    <w:p>
      <w:pPr>
        <w:spacing w:line="560" w:lineRule="exact"/>
        <w:ind w:firstLine="640"/>
        <w:jc w:val="both"/>
        <w:rPr>
          <w:rFonts w:ascii="仿宋" w:hAnsi="仿宋" w:eastAsia="仿宋"/>
          <w:sz w:val="32"/>
          <w:szCs w:val="32"/>
        </w:rPr>
      </w:pPr>
      <w:r>
        <w:rPr>
          <w:rFonts w:hint="eastAsia" w:ascii="仿宋" w:hAnsi="仿宋" w:eastAsia="仿宋"/>
          <w:sz w:val="32"/>
          <w:szCs w:val="32"/>
        </w:rPr>
        <w:t>里城道乡西东丈村，户主李兵全，《石家庄市农村户厕改造档案》中的施工记录表中验收日期为2018年10月6日；</w:t>
      </w:r>
    </w:p>
    <w:p>
      <w:pPr>
        <w:spacing w:line="560" w:lineRule="exact"/>
        <w:ind w:firstLine="640"/>
        <w:jc w:val="both"/>
        <w:rPr>
          <w:rFonts w:ascii="仿宋" w:hAnsi="仿宋" w:eastAsia="仿宋"/>
          <w:sz w:val="32"/>
          <w:szCs w:val="32"/>
        </w:rPr>
      </w:pPr>
      <w:r>
        <w:rPr>
          <w:rFonts w:hint="eastAsia" w:ascii="仿宋" w:hAnsi="仿宋" w:eastAsia="仿宋"/>
          <w:sz w:val="32"/>
          <w:szCs w:val="32"/>
        </w:rPr>
        <w:t>里城道乡西东丈村，户主刘占良，《石家庄市农村户厕改造档案》中的施工记录表中验收日期为2018年10月4日；</w:t>
      </w:r>
    </w:p>
    <w:p>
      <w:pPr>
        <w:spacing w:line="560" w:lineRule="exact"/>
        <w:ind w:firstLine="640"/>
        <w:jc w:val="both"/>
        <w:rPr>
          <w:rFonts w:ascii="仿宋" w:hAnsi="仿宋" w:eastAsia="仿宋"/>
          <w:sz w:val="32"/>
          <w:szCs w:val="32"/>
        </w:rPr>
      </w:pPr>
      <w:r>
        <w:rPr>
          <w:rFonts w:hint="eastAsia" w:ascii="仿宋" w:hAnsi="仿宋" w:eastAsia="仿宋"/>
          <w:sz w:val="32"/>
          <w:szCs w:val="32"/>
        </w:rPr>
        <w:t>（2）石家庄冀佳工程建设监理有限公司对无极县聚裕安建筑工程有限公司的监理日志开始时间为2018年10月2日。</w:t>
      </w:r>
    </w:p>
    <w:p>
      <w:pPr>
        <w:spacing w:line="560" w:lineRule="exact"/>
        <w:ind w:firstLine="640"/>
        <w:jc w:val="both"/>
        <w:rPr>
          <w:rFonts w:ascii="仿宋" w:hAnsi="仿宋" w:eastAsia="仿宋"/>
          <w:sz w:val="32"/>
          <w:szCs w:val="32"/>
        </w:rPr>
      </w:pPr>
      <w:r>
        <w:rPr>
          <w:rFonts w:hint="eastAsia" w:ascii="仿宋" w:hAnsi="仿宋" w:eastAsia="仿宋"/>
          <w:sz w:val="32"/>
          <w:szCs w:val="32"/>
        </w:rPr>
        <w:t>高头回族乡高头一村，户主白国方，《石家庄市农村户厕改造档案》中的施工记录表中验收日期为2018年9月28日。</w:t>
      </w:r>
    </w:p>
    <w:p>
      <w:pPr>
        <w:spacing w:line="560" w:lineRule="exact"/>
        <w:ind w:firstLine="640"/>
        <w:jc w:val="both"/>
        <w:rPr>
          <w:rFonts w:ascii="仿宋" w:hAnsi="仿宋" w:eastAsia="仿宋"/>
          <w:sz w:val="32"/>
          <w:szCs w:val="32"/>
        </w:rPr>
      </w:pPr>
      <w:r>
        <w:rPr>
          <w:rFonts w:hint="eastAsia" w:ascii="仿宋" w:hAnsi="仿宋" w:eastAsia="仿宋"/>
          <w:sz w:val="32"/>
          <w:szCs w:val="32"/>
        </w:rPr>
        <w:t>以上监理日志开始时间均晚于农户厕改验收时间。</w:t>
      </w:r>
    </w:p>
    <w:p>
      <w:pPr>
        <w:spacing w:line="560" w:lineRule="exact"/>
        <w:ind w:firstLine="640"/>
        <w:jc w:val="both"/>
        <w:rPr>
          <w:rFonts w:ascii="仿宋" w:hAnsi="仿宋" w:eastAsia="仿宋"/>
          <w:sz w:val="32"/>
          <w:szCs w:val="32"/>
        </w:rPr>
      </w:pPr>
      <w:r>
        <w:rPr>
          <w:rFonts w:hint="eastAsia" w:ascii="仿宋" w:hAnsi="仿宋" w:eastAsia="仿宋"/>
          <w:sz w:val="32"/>
          <w:szCs w:val="32"/>
        </w:rPr>
        <w:t>6、未按照“项目建设实行双重监理制”规定执行</w:t>
      </w:r>
    </w:p>
    <w:p>
      <w:pPr>
        <w:spacing w:line="560" w:lineRule="exact"/>
        <w:ind w:firstLine="640"/>
        <w:jc w:val="both"/>
        <w:rPr>
          <w:rFonts w:ascii="仿宋" w:hAnsi="仿宋" w:eastAsia="仿宋"/>
          <w:sz w:val="32"/>
          <w:szCs w:val="32"/>
        </w:rPr>
      </w:pPr>
      <w:r>
        <w:rPr>
          <w:rFonts w:hint="eastAsia" w:ascii="仿宋" w:hAnsi="仿宋" w:eastAsia="仿宋"/>
          <w:sz w:val="32"/>
          <w:szCs w:val="32"/>
        </w:rPr>
        <w:t>依据《无极县农村厕所改造项目管理办法》第三章建设与质量管理第十八条中的“项目建设实行双重监理制，严格控制工程的质量和进度。”和“各乡镇要及时成立专门机构全程对辖区内改厕工作进行督导检查”，经询问得知，无成立专门机构的会议纪要及督导检查记录。</w:t>
      </w:r>
    </w:p>
    <w:p>
      <w:pPr>
        <w:spacing w:line="560" w:lineRule="exact"/>
        <w:ind w:firstLine="640"/>
        <w:jc w:val="both"/>
        <w:rPr>
          <w:rFonts w:ascii="仿宋" w:hAnsi="仿宋" w:eastAsia="仿宋"/>
          <w:sz w:val="32"/>
          <w:szCs w:val="32"/>
        </w:rPr>
      </w:pPr>
      <w:r>
        <w:rPr>
          <w:rFonts w:hint="eastAsia" w:ascii="仿宋" w:hAnsi="仿宋" w:eastAsia="仿宋"/>
          <w:sz w:val="32"/>
          <w:szCs w:val="32"/>
        </w:rPr>
        <w:t>7、档案录入信息不全或者有误</w:t>
      </w:r>
    </w:p>
    <w:p>
      <w:pPr>
        <w:spacing w:line="560" w:lineRule="exact"/>
        <w:ind w:firstLine="640"/>
        <w:jc w:val="both"/>
        <w:rPr>
          <w:rFonts w:ascii="仿宋" w:hAnsi="仿宋" w:eastAsia="仿宋"/>
          <w:sz w:val="32"/>
          <w:szCs w:val="32"/>
        </w:rPr>
      </w:pPr>
      <w:r>
        <w:rPr>
          <w:rFonts w:hint="eastAsia" w:ascii="仿宋" w:hAnsi="仿宋" w:eastAsia="仿宋"/>
          <w:sz w:val="32"/>
          <w:szCs w:val="32"/>
        </w:rPr>
        <w:t>《无极县农村厕所改造项目管理办法》“第四章档案管理第二十四条各乡镇村要规范改厕工作的建档立卷，实行一户一档，改造一户、建档一户，基本信息要录入准确，施工过程中的重要环节要做好影像记录，存好照片，及时准确录入电子信息，按时上报改厕进度表。”</w:t>
      </w:r>
    </w:p>
    <w:p>
      <w:pPr>
        <w:spacing w:line="560" w:lineRule="exact"/>
        <w:ind w:firstLine="640"/>
        <w:jc w:val="both"/>
        <w:rPr>
          <w:rFonts w:ascii="仿宋" w:hAnsi="仿宋" w:eastAsia="仿宋"/>
          <w:sz w:val="32"/>
          <w:szCs w:val="32"/>
        </w:rPr>
      </w:pPr>
      <w:r>
        <w:rPr>
          <w:rFonts w:hint="eastAsia" w:ascii="仿宋" w:hAnsi="仿宋" w:eastAsia="仿宋"/>
          <w:sz w:val="32"/>
          <w:szCs w:val="32"/>
        </w:rPr>
        <w:t>档案管理系统显示2018年共建档17573户，其中452户存在档案漏填施工队信息的现象，该问题主要集中在高头回族乡和张段固镇。除此之外还有22户错填施工队信息，经询问得知，该22户所填施工队为2019年中标施工单位。</w:t>
      </w:r>
    </w:p>
    <w:p>
      <w:pPr>
        <w:spacing w:line="560" w:lineRule="exact"/>
        <w:ind w:firstLine="640"/>
        <w:jc w:val="both"/>
        <w:rPr>
          <w:rFonts w:ascii="黑体" w:hAnsi="黑体" w:eastAsia="黑体"/>
          <w:sz w:val="32"/>
          <w:szCs w:val="32"/>
        </w:rPr>
      </w:pPr>
      <w:r>
        <w:rPr>
          <w:rFonts w:hint="eastAsia" w:ascii="黑体" w:hAnsi="黑体" w:eastAsia="黑体"/>
          <w:sz w:val="32"/>
          <w:szCs w:val="32"/>
        </w:rPr>
        <w:t>五、相关建议</w:t>
      </w:r>
    </w:p>
    <w:p>
      <w:pPr>
        <w:spacing w:line="560" w:lineRule="exact"/>
        <w:ind w:firstLine="482" w:firstLineChars="150"/>
        <w:jc w:val="both"/>
        <w:rPr>
          <w:rFonts w:ascii="楷体" w:hAnsi="楷体" w:eastAsia="楷体"/>
          <w:b/>
          <w:sz w:val="32"/>
          <w:szCs w:val="32"/>
        </w:rPr>
      </w:pPr>
      <w:r>
        <w:rPr>
          <w:rFonts w:hint="eastAsia" w:ascii="楷体" w:hAnsi="楷体" w:eastAsia="楷体"/>
          <w:b/>
          <w:sz w:val="32"/>
          <w:szCs w:val="32"/>
        </w:rPr>
        <w:t>（一）加强项目建设精准度管理，严防超范围申请财政资金</w:t>
      </w:r>
    </w:p>
    <w:p>
      <w:pPr>
        <w:spacing w:line="560" w:lineRule="exact"/>
        <w:ind w:firstLine="640"/>
        <w:jc w:val="both"/>
        <w:rPr>
          <w:rFonts w:ascii="仿宋" w:hAnsi="仿宋" w:eastAsia="仿宋"/>
          <w:sz w:val="32"/>
          <w:szCs w:val="32"/>
        </w:rPr>
      </w:pPr>
      <w:r>
        <w:rPr>
          <w:rFonts w:hint="eastAsia" w:ascii="仿宋" w:hAnsi="仿宋" w:eastAsia="仿宋"/>
          <w:sz w:val="32"/>
          <w:szCs w:val="32"/>
        </w:rPr>
        <w:t>项目主管部门要精准测算年度项目实施数量，科学合理申请财政专项资金，资金要花的精准、高效，严禁高申请、低使用，造成公共财政资源浪费。</w:t>
      </w:r>
    </w:p>
    <w:p>
      <w:pPr>
        <w:spacing w:line="560" w:lineRule="exact"/>
        <w:ind w:firstLine="643"/>
        <w:jc w:val="both"/>
        <w:rPr>
          <w:rFonts w:ascii="楷体" w:hAnsi="楷体" w:eastAsia="楷体"/>
          <w:b/>
          <w:sz w:val="32"/>
          <w:szCs w:val="32"/>
        </w:rPr>
      </w:pPr>
      <w:r>
        <w:rPr>
          <w:rFonts w:hint="eastAsia" w:ascii="楷体" w:hAnsi="楷体" w:eastAsia="楷体"/>
          <w:b/>
          <w:sz w:val="32"/>
          <w:szCs w:val="32"/>
        </w:rPr>
        <w:t>（二）严禁超范围列支财政专项资金</w:t>
      </w:r>
    </w:p>
    <w:p>
      <w:pPr>
        <w:spacing w:line="560" w:lineRule="exact"/>
        <w:ind w:firstLine="640"/>
        <w:jc w:val="both"/>
        <w:rPr>
          <w:rFonts w:ascii="仿宋" w:hAnsi="仿宋" w:eastAsia="仿宋"/>
          <w:sz w:val="32"/>
          <w:szCs w:val="32"/>
        </w:rPr>
      </w:pPr>
      <w:r>
        <w:rPr>
          <w:rFonts w:hint="eastAsia" w:ascii="仿宋" w:hAnsi="仿宋" w:eastAsia="仿宋"/>
          <w:sz w:val="32"/>
          <w:szCs w:val="32"/>
        </w:rPr>
        <w:t>财政专项资金要做到专款专用，严格按照资金管理办法列支，不得超范围使用。</w:t>
      </w:r>
    </w:p>
    <w:p>
      <w:pPr>
        <w:spacing w:line="560" w:lineRule="exact"/>
        <w:ind w:firstLine="643"/>
        <w:jc w:val="both"/>
        <w:rPr>
          <w:rFonts w:ascii="楷体" w:hAnsi="楷体" w:eastAsia="楷体"/>
          <w:b/>
          <w:sz w:val="32"/>
          <w:szCs w:val="32"/>
        </w:rPr>
      </w:pPr>
      <w:r>
        <w:rPr>
          <w:rFonts w:hint="eastAsia" w:ascii="楷体" w:hAnsi="楷体" w:eastAsia="楷体"/>
          <w:b/>
          <w:sz w:val="32"/>
          <w:szCs w:val="32"/>
        </w:rPr>
        <w:t>（三）加强政府采购监管，严禁违反采购程序采购</w:t>
      </w:r>
    </w:p>
    <w:p>
      <w:pPr>
        <w:spacing w:line="560" w:lineRule="exact"/>
        <w:ind w:firstLine="800" w:firstLineChars="250"/>
        <w:jc w:val="both"/>
        <w:rPr>
          <w:rFonts w:ascii="仿宋" w:hAnsi="仿宋" w:eastAsia="仿宋"/>
          <w:sz w:val="32"/>
          <w:szCs w:val="32"/>
        </w:rPr>
      </w:pPr>
      <w:r>
        <w:rPr>
          <w:rFonts w:hint="eastAsia" w:ascii="仿宋" w:hAnsi="仿宋" w:eastAsia="仿宋"/>
          <w:sz w:val="32"/>
          <w:szCs w:val="32"/>
        </w:rPr>
        <w:t>相关问题乡镇村庄要加强改厕项目采购，严禁违反政府采购法规定，先施工后招标，法定程序倒置。对已发生的违规采购项目要进一步核查，对相关责任人进行追责处理，加强招投标、政府采购政策宣传，程序监管。</w:t>
      </w:r>
    </w:p>
    <w:p>
      <w:pPr>
        <w:spacing w:line="560" w:lineRule="exact"/>
        <w:ind w:firstLine="643"/>
        <w:jc w:val="both"/>
        <w:rPr>
          <w:rFonts w:ascii="楷体" w:hAnsi="楷体" w:eastAsia="楷体"/>
          <w:b/>
          <w:sz w:val="32"/>
          <w:szCs w:val="32"/>
        </w:rPr>
      </w:pPr>
      <w:r>
        <w:rPr>
          <w:rFonts w:hint="eastAsia" w:ascii="楷体" w:hAnsi="楷体" w:eastAsia="楷体"/>
          <w:b/>
          <w:sz w:val="32"/>
          <w:szCs w:val="32"/>
        </w:rPr>
        <w:t>（四）加强监理公司管理，严防监理责任缺失</w:t>
      </w:r>
    </w:p>
    <w:p>
      <w:pPr>
        <w:spacing w:line="560" w:lineRule="exact"/>
        <w:ind w:firstLine="640"/>
        <w:jc w:val="both"/>
        <w:rPr>
          <w:rFonts w:ascii="仿宋" w:hAnsi="仿宋" w:eastAsia="仿宋"/>
          <w:sz w:val="32"/>
          <w:szCs w:val="32"/>
        </w:rPr>
      </w:pPr>
      <w:r>
        <w:rPr>
          <w:rFonts w:hint="eastAsia" w:ascii="仿宋" w:hAnsi="仿宋" w:eastAsia="仿宋"/>
          <w:sz w:val="32"/>
          <w:szCs w:val="32"/>
        </w:rPr>
        <w:t>一是督导监理公司加强项目建设监理职能，对工作不到位的按照监理技术标准和合同约定进行责任追究。二是严格按照《无极县农村厕所改造项目管理办法》第三章建设与质量管理第十八条中的“项目建设实行双重监理制，严格控制工程的质量和进度”规定执行。</w:t>
      </w:r>
    </w:p>
    <w:p>
      <w:pPr>
        <w:spacing w:line="560" w:lineRule="exact"/>
        <w:ind w:firstLine="643"/>
        <w:jc w:val="both"/>
        <w:rPr>
          <w:rFonts w:ascii="楷体" w:hAnsi="楷体" w:eastAsia="楷体"/>
          <w:b/>
          <w:sz w:val="32"/>
          <w:szCs w:val="32"/>
        </w:rPr>
      </w:pPr>
      <w:r>
        <w:rPr>
          <w:rFonts w:hint="eastAsia" w:ascii="楷体" w:hAnsi="楷体" w:eastAsia="楷体"/>
          <w:b/>
          <w:sz w:val="32"/>
          <w:szCs w:val="32"/>
        </w:rPr>
        <w:t>（五）加强档案基础工作建设</w:t>
      </w:r>
    </w:p>
    <w:p>
      <w:pPr>
        <w:spacing w:line="560" w:lineRule="exact"/>
        <w:ind w:firstLine="640"/>
        <w:jc w:val="both"/>
        <w:rPr>
          <w:rFonts w:ascii="仿宋" w:hAnsi="仿宋" w:eastAsia="仿宋"/>
          <w:sz w:val="32"/>
          <w:szCs w:val="32"/>
        </w:rPr>
      </w:pPr>
      <w:r>
        <w:rPr>
          <w:rFonts w:hint="eastAsia" w:ascii="仿宋" w:hAnsi="仿宋" w:eastAsia="仿宋"/>
          <w:sz w:val="32"/>
          <w:szCs w:val="32"/>
        </w:rPr>
        <w:t>进一步加强改厕项目档案管理，基本信息要录入完整、准确，严禁漏报。</w:t>
      </w:r>
    </w:p>
    <w:p>
      <w:pPr>
        <w:spacing w:line="560" w:lineRule="exact"/>
        <w:ind w:firstLine="643"/>
        <w:jc w:val="both"/>
        <w:rPr>
          <w:rFonts w:ascii="楷体" w:hAnsi="楷体" w:eastAsia="楷体"/>
          <w:b/>
          <w:sz w:val="32"/>
          <w:szCs w:val="32"/>
        </w:rPr>
      </w:pPr>
      <w:r>
        <w:rPr>
          <w:rFonts w:hint="eastAsia" w:ascii="楷体" w:hAnsi="楷体" w:eastAsia="楷体"/>
          <w:b/>
          <w:sz w:val="32"/>
          <w:szCs w:val="32"/>
        </w:rPr>
        <w:t>（六）建立完善农村户厕长效管理机制</w:t>
      </w:r>
    </w:p>
    <w:p>
      <w:pPr>
        <w:spacing w:line="560" w:lineRule="exact"/>
        <w:ind w:firstLine="800" w:firstLineChars="250"/>
        <w:jc w:val="both"/>
        <w:rPr>
          <w:rFonts w:ascii="仿宋" w:hAnsi="仿宋" w:eastAsia="仿宋"/>
          <w:sz w:val="32"/>
          <w:szCs w:val="32"/>
        </w:rPr>
      </w:pPr>
      <w:r>
        <w:rPr>
          <w:rFonts w:hint="eastAsia" w:ascii="仿宋" w:hAnsi="仿宋" w:eastAsia="仿宋"/>
          <w:sz w:val="32"/>
          <w:szCs w:val="32"/>
        </w:rPr>
        <w:t>一是加强制度建设，根据上述问题，进一步完善项目管理和资金管理。二是严格按照《技术规范》进行施工和验收，确保项目质量达到要求。三是建立维护管理机制。不能只建设不维护，要建立维护基金，明确维护内容和标准，采取市场化方式运作，确保改建的户厕运行状况良好。</w:t>
      </w:r>
    </w:p>
    <w:p>
      <w:pPr>
        <w:spacing w:line="560" w:lineRule="exact"/>
        <w:ind w:firstLine="678" w:firstLineChars="212"/>
        <w:jc w:val="both"/>
        <w:rPr>
          <w:rFonts w:ascii="仿宋" w:hAnsi="仿宋" w:eastAsia="仿宋"/>
          <w:sz w:val="32"/>
          <w:szCs w:val="32"/>
        </w:rPr>
      </w:pPr>
      <w:r>
        <w:rPr>
          <w:rFonts w:hint="eastAsia" w:ascii="仿宋" w:hAnsi="仿宋" w:eastAsia="仿宋"/>
          <w:sz w:val="32"/>
          <w:szCs w:val="32"/>
        </w:rPr>
        <w:t>附件：农村厕所革命专项资金评分表</w:t>
      </w:r>
    </w:p>
    <w:p>
      <w:pPr>
        <w:spacing w:line="560" w:lineRule="exact"/>
        <w:ind w:firstLine="4640" w:firstLineChars="1450"/>
        <w:jc w:val="both"/>
        <w:rPr>
          <w:rFonts w:ascii="仿宋" w:hAnsi="仿宋" w:eastAsia="仿宋"/>
          <w:sz w:val="32"/>
          <w:szCs w:val="32"/>
        </w:rPr>
      </w:pPr>
    </w:p>
    <w:p>
      <w:pPr>
        <w:spacing w:line="560" w:lineRule="exact"/>
        <w:ind w:firstLine="4640" w:firstLineChars="1450"/>
        <w:jc w:val="both"/>
        <w:rPr>
          <w:rFonts w:ascii="仿宋" w:hAnsi="仿宋" w:eastAsia="仿宋"/>
          <w:sz w:val="32"/>
          <w:szCs w:val="32"/>
        </w:rPr>
      </w:pPr>
      <w:r>
        <w:rPr>
          <w:rFonts w:hint="eastAsia" w:ascii="仿宋" w:hAnsi="仿宋" w:eastAsia="仿宋"/>
          <w:sz w:val="32"/>
          <w:szCs w:val="32"/>
        </w:rPr>
        <w:t>无极县财政局</w:t>
      </w:r>
    </w:p>
    <w:p>
      <w:pPr>
        <w:spacing w:line="560" w:lineRule="exact"/>
        <w:ind w:firstLine="4320" w:firstLineChars="1350"/>
        <w:jc w:val="both"/>
        <w:rPr>
          <w:rFonts w:ascii="仿宋" w:hAnsi="仿宋" w:eastAsia="仿宋"/>
          <w:sz w:val="32"/>
          <w:szCs w:val="32"/>
        </w:rPr>
        <w:sectPr>
          <w:headerReference r:id="rId7" w:type="first"/>
          <w:footerReference r:id="rId10" w:type="first"/>
          <w:headerReference r:id="rId5" w:type="default"/>
          <w:footerReference r:id="rId8" w:type="default"/>
          <w:headerReference r:id="rId6" w:type="even"/>
          <w:footerReference r:id="rId9" w:type="even"/>
          <w:pgSz w:w="11906" w:h="16838"/>
          <w:pgMar w:top="1440" w:right="1800" w:bottom="1440" w:left="1800" w:header="708" w:footer="708" w:gutter="0"/>
          <w:cols w:space="708" w:num="1"/>
          <w:docGrid w:linePitch="360" w:charSpace="0"/>
        </w:sectPr>
      </w:pPr>
      <w:r>
        <w:rPr>
          <w:rFonts w:hint="eastAsia" w:ascii="仿宋" w:hAnsi="仿宋" w:eastAsia="仿宋"/>
          <w:sz w:val="32"/>
          <w:szCs w:val="32"/>
        </w:rPr>
        <w:t>2020年5月10日</w:t>
      </w:r>
    </w:p>
    <w:p>
      <w:pPr>
        <w:spacing w:line="560" w:lineRule="exact"/>
        <w:ind w:firstLine="198" w:firstLineChars="62"/>
        <w:jc w:val="center"/>
        <w:rPr>
          <w:rFonts w:hint="eastAsia" w:ascii="黑体" w:hAnsi="黑体" w:eastAsia="黑体"/>
          <w:sz w:val="32"/>
          <w:szCs w:val="32"/>
        </w:rPr>
      </w:pPr>
      <w:r>
        <w:rPr>
          <w:rFonts w:hint="eastAsia" w:ascii="黑体" w:hAnsi="黑体" w:eastAsia="黑体"/>
          <w:sz w:val="32"/>
          <w:szCs w:val="32"/>
        </w:rPr>
        <w:t>农村厕所革命专项资金评分表</w:t>
      </w:r>
    </w:p>
    <w:tbl>
      <w:tblPr>
        <w:tblStyle w:val="6"/>
        <w:tblW w:w="8522" w:type="dxa"/>
        <w:tblInd w:w="0" w:type="dxa"/>
        <w:tblLayout w:type="fixed"/>
        <w:tblCellMar>
          <w:top w:w="0" w:type="dxa"/>
          <w:left w:w="108" w:type="dxa"/>
          <w:bottom w:w="0" w:type="dxa"/>
          <w:right w:w="108" w:type="dxa"/>
        </w:tblCellMar>
      </w:tblPr>
      <w:tblGrid>
        <w:gridCol w:w="616"/>
        <w:gridCol w:w="616"/>
        <w:gridCol w:w="961"/>
        <w:gridCol w:w="2387"/>
        <w:gridCol w:w="1803"/>
        <w:gridCol w:w="716"/>
        <w:gridCol w:w="1423"/>
      </w:tblGrid>
      <w:tr>
        <w:tblPrEx>
          <w:tblCellMar>
            <w:top w:w="0" w:type="dxa"/>
            <w:left w:w="108" w:type="dxa"/>
            <w:bottom w:w="0" w:type="dxa"/>
            <w:right w:w="108" w:type="dxa"/>
          </w:tblCellMar>
        </w:tblPrEx>
        <w:trPr>
          <w:trHeight w:val="645" w:hRule="atLeast"/>
        </w:trPr>
        <w:tc>
          <w:tcPr>
            <w:tcW w:w="2193" w:type="dxa"/>
            <w:gridSpan w:val="3"/>
            <w:tcBorders>
              <w:top w:val="single" w:color="auto" w:sz="4" w:space="0"/>
              <w:left w:val="single" w:color="auto" w:sz="4" w:space="0"/>
              <w:bottom w:val="single" w:color="auto" w:sz="4" w:space="0"/>
              <w:right w:val="single" w:color="auto" w:sz="4" w:space="0"/>
            </w:tcBorders>
            <w:shd w:val="clear" w:color="auto" w:fill="auto"/>
            <w:vAlign w:val="center"/>
          </w:tcPr>
          <w:p>
            <w:pPr>
              <w:adjustRightInd/>
              <w:snapToGrid/>
              <w:spacing w:after="0"/>
              <w:ind w:firstLine="400" w:firstLineChars="0"/>
              <w:jc w:val="center"/>
              <w:rPr>
                <w:rFonts w:ascii="黑体" w:hAnsi="黑体" w:eastAsia="黑体" w:cs="宋体"/>
                <w:sz w:val="20"/>
                <w:szCs w:val="20"/>
              </w:rPr>
            </w:pPr>
            <w:r>
              <w:rPr>
                <w:rFonts w:hint="eastAsia" w:ascii="黑体" w:hAnsi="黑体" w:eastAsia="黑体" w:cs="宋体"/>
                <w:sz w:val="20"/>
                <w:szCs w:val="20"/>
              </w:rPr>
              <w:t>评价指标</w:t>
            </w:r>
          </w:p>
        </w:tc>
        <w:tc>
          <w:tcPr>
            <w:tcW w:w="2387" w:type="dxa"/>
            <w:vMerge w:val="restart"/>
            <w:tcBorders>
              <w:top w:val="single" w:color="auto" w:sz="4" w:space="0"/>
              <w:left w:val="single" w:color="auto" w:sz="4" w:space="0"/>
              <w:bottom w:val="single" w:color="000000" w:sz="4" w:space="0"/>
              <w:right w:val="single" w:color="auto" w:sz="4" w:space="0"/>
            </w:tcBorders>
            <w:shd w:val="clear" w:color="auto" w:fill="auto"/>
            <w:vAlign w:val="center"/>
          </w:tcPr>
          <w:p>
            <w:pPr>
              <w:adjustRightInd/>
              <w:snapToGrid/>
              <w:spacing w:after="0"/>
              <w:ind w:firstLine="0" w:firstLineChars="0"/>
              <w:jc w:val="center"/>
              <w:rPr>
                <w:rFonts w:ascii="黑体" w:hAnsi="黑体" w:eastAsia="黑体" w:cs="宋体"/>
                <w:sz w:val="20"/>
                <w:szCs w:val="20"/>
              </w:rPr>
            </w:pPr>
            <w:r>
              <w:rPr>
                <w:rFonts w:hint="eastAsia" w:ascii="黑体" w:hAnsi="黑体" w:eastAsia="黑体" w:cs="宋体"/>
                <w:sz w:val="20"/>
                <w:szCs w:val="20"/>
              </w:rPr>
              <w:t>评价内容</w:t>
            </w:r>
          </w:p>
        </w:tc>
        <w:tc>
          <w:tcPr>
            <w:tcW w:w="1803" w:type="dxa"/>
            <w:vMerge w:val="restart"/>
            <w:tcBorders>
              <w:top w:val="single" w:color="auto" w:sz="4" w:space="0"/>
              <w:left w:val="single" w:color="auto" w:sz="4" w:space="0"/>
              <w:bottom w:val="single" w:color="000000" w:sz="4" w:space="0"/>
              <w:right w:val="single" w:color="auto" w:sz="4" w:space="0"/>
            </w:tcBorders>
            <w:shd w:val="clear" w:color="auto" w:fill="auto"/>
            <w:vAlign w:val="center"/>
          </w:tcPr>
          <w:p>
            <w:pPr>
              <w:adjustRightInd/>
              <w:snapToGrid/>
              <w:spacing w:after="0"/>
              <w:ind w:firstLine="0" w:firstLineChars="0"/>
              <w:jc w:val="center"/>
              <w:rPr>
                <w:rFonts w:ascii="黑体" w:hAnsi="黑体" w:eastAsia="黑体" w:cs="宋体"/>
                <w:sz w:val="20"/>
                <w:szCs w:val="20"/>
              </w:rPr>
            </w:pPr>
            <w:r>
              <w:rPr>
                <w:rFonts w:hint="eastAsia" w:ascii="黑体" w:hAnsi="黑体" w:eastAsia="黑体" w:cs="宋体"/>
                <w:sz w:val="20"/>
                <w:szCs w:val="20"/>
              </w:rPr>
              <w:t>评价办法</w:t>
            </w:r>
          </w:p>
        </w:tc>
        <w:tc>
          <w:tcPr>
            <w:tcW w:w="716" w:type="dxa"/>
            <w:vMerge w:val="restart"/>
            <w:tcBorders>
              <w:top w:val="single" w:color="auto" w:sz="4" w:space="0"/>
              <w:left w:val="single" w:color="auto" w:sz="4" w:space="0"/>
              <w:bottom w:val="single" w:color="000000" w:sz="4" w:space="0"/>
              <w:right w:val="single" w:color="auto" w:sz="4" w:space="0"/>
            </w:tcBorders>
            <w:shd w:val="clear" w:color="auto" w:fill="auto"/>
            <w:vAlign w:val="center"/>
          </w:tcPr>
          <w:p>
            <w:pPr>
              <w:adjustRightInd/>
              <w:snapToGrid/>
              <w:spacing w:after="0"/>
              <w:ind w:firstLine="0" w:firstLineChars="0"/>
              <w:jc w:val="center"/>
              <w:rPr>
                <w:rFonts w:ascii="黑体" w:hAnsi="黑体" w:eastAsia="黑体" w:cs="宋体"/>
                <w:sz w:val="20"/>
                <w:szCs w:val="20"/>
              </w:rPr>
            </w:pPr>
            <w:r>
              <w:rPr>
                <w:rFonts w:hint="eastAsia" w:ascii="黑体" w:hAnsi="黑体" w:eastAsia="黑体" w:cs="宋体"/>
                <w:sz w:val="20"/>
                <w:szCs w:val="20"/>
              </w:rPr>
              <w:t>实际得分</w:t>
            </w:r>
          </w:p>
        </w:tc>
        <w:tc>
          <w:tcPr>
            <w:tcW w:w="1423" w:type="dxa"/>
            <w:vMerge w:val="restart"/>
            <w:tcBorders>
              <w:top w:val="single" w:color="auto" w:sz="4" w:space="0"/>
              <w:left w:val="single" w:color="auto" w:sz="4" w:space="0"/>
              <w:bottom w:val="single" w:color="000000" w:sz="4" w:space="0"/>
              <w:right w:val="single" w:color="auto" w:sz="4" w:space="0"/>
            </w:tcBorders>
            <w:shd w:val="clear" w:color="auto" w:fill="auto"/>
            <w:vAlign w:val="center"/>
          </w:tcPr>
          <w:p>
            <w:pPr>
              <w:adjustRightInd/>
              <w:snapToGrid/>
              <w:spacing w:after="0"/>
              <w:ind w:firstLine="0" w:firstLineChars="0"/>
              <w:jc w:val="center"/>
              <w:rPr>
                <w:rFonts w:ascii="黑体" w:hAnsi="黑体" w:eastAsia="黑体" w:cs="宋体"/>
                <w:sz w:val="20"/>
                <w:szCs w:val="20"/>
              </w:rPr>
            </w:pPr>
            <w:r>
              <w:rPr>
                <w:rFonts w:hint="eastAsia" w:ascii="黑体" w:hAnsi="黑体" w:eastAsia="黑体" w:cs="宋体"/>
                <w:sz w:val="20"/>
                <w:szCs w:val="20"/>
              </w:rPr>
              <w:t>减分说明</w:t>
            </w:r>
          </w:p>
        </w:tc>
      </w:tr>
      <w:tr>
        <w:tblPrEx>
          <w:tblCellMar>
            <w:top w:w="0" w:type="dxa"/>
            <w:left w:w="108" w:type="dxa"/>
            <w:bottom w:w="0" w:type="dxa"/>
            <w:right w:w="108" w:type="dxa"/>
          </w:tblCellMar>
        </w:tblPrEx>
        <w:trPr>
          <w:trHeight w:val="645" w:hRule="atLeast"/>
        </w:trPr>
        <w:tc>
          <w:tcPr>
            <w:tcW w:w="616" w:type="dxa"/>
            <w:tcBorders>
              <w:top w:val="nil"/>
              <w:left w:val="single" w:color="auto" w:sz="4" w:space="0"/>
              <w:bottom w:val="single" w:color="auto" w:sz="4" w:space="0"/>
              <w:right w:val="single" w:color="auto" w:sz="4" w:space="0"/>
            </w:tcBorders>
            <w:shd w:val="clear" w:color="auto" w:fill="auto"/>
            <w:vAlign w:val="center"/>
          </w:tcPr>
          <w:p>
            <w:pPr>
              <w:adjustRightInd/>
              <w:snapToGrid/>
              <w:spacing w:after="0"/>
              <w:ind w:firstLine="0" w:firstLineChars="0"/>
              <w:jc w:val="center"/>
              <w:rPr>
                <w:rFonts w:ascii="宋体" w:hAnsi="宋体" w:eastAsia="宋体" w:cs="宋体"/>
                <w:b/>
                <w:bCs/>
                <w:sz w:val="20"/>
                <w:szCs w:val="20"/>
              </w:rPr>
            </w:pPr>
            <w:r>
              <w:rPr>
                <w:rFonts w:hint="eastAsia" w:ascii="宋体" w:hAnsi="宋体" w:eastAsia="宋体" w:cs="宋体"/>
                <w:b/>
                <w:bCs/>
                <w:sz w:val="20"/>
                <w:szCs w:val="20"/>
              </w:rPr>
              <w:t>一级指标</w:t>
            </w:r>
          </w:p>
        </w:tc>
        <w:tc>
          <w:tcPr>
            <w:tcW w:w="616" w:type="dxa"/>
            <w:tcBorders>
              <w:top w:val="nil"/>
              <w:left w:val="nil"/>
              <w:bottom w:val="single" w:color="auto" w:sz="4" w:space="0"/>
              <w:right w:val="single" w:color="auto" w:sz="4" w:space="0"/>
            </w:tcBorders>
            <w:shd w:val="clear" w:color="auto" w:fill="auto"/>
            <w:vAlign w:val="center"/>
          </w:tcPr>
          <w:p>
            <w:pPr>
              <w:adjustRightInd/>
              <w:snapToGrid/>
              <w:spacing w:after="0"/>
              <w:ind w:firstLine="0" w:firstLineChars="0"/>
              <w:jc w:val="center"/>
              <w:rPr>
                <w:rFonts w:ascii="宋体" w:hAnsi="宋体" w:eastAsia="宋体" w:cs="宋体"/>
                <w:b/>
                <w:bCs/>
                <w:sz w:val="20"/>
                <w:szCs w:val="20"/>
              </w:rPr>
            </w:pPr>
            <w:r>
              <w:rPr>
                <w:rFonts w:hint="eastAsia" w:ascii="宋体" w:hAnsi="宋体" w:eastAsia="宋体" w:cs="宋体"/>
                <w:b/>
                <w:bCs/>
                <w:sz w:val="20"/>
                <w:szCs w:val="20"/>
              </w:rPr>
              <w:t>二级指标</w:t>
            </w:r>
          </w:p>
        </w:tc>
        <w:tc>
          <w:tcPr>
            <w:tcW w:w="961" w:type="dxa"/>
            <w:tcBorders>
              <w:top w:val="nil"/>
              <w:left w:val="nil"/>
              <w:bottom w:val="single" w:color="auto" w:sz="4" w:space="0"/>
              <w:right w:val="single" w:color="auto" w:sz="4" w:space="0"/>
            </w:tcBorders>
            <w:shd w:val="clear" w:color="auto" w:fill="auto"/>
            <w:vAlign w:val="center"/>
          </w:tcPr>
          <w:p>
            <w:pPr>
              <w:adjustRightInd/>
              <w:snapToGrid/>
              <w:spacing w:after="0"/>
              <w:ind w:firstLine="0" w:firstLineChars="0"/>
              <w:jc w:val="center"/>
              <w:rPr>
                <w:rFonts w:ascii="宋体" w:hAnsi="宋体" w:eastAsia="宋体" w:cs="宋体"/>
                <w:b/>
                <w:bCs/>
                <w:sz w:val="20"/>
                <w:szCs w:val="20"/>
              </w:rPr>
            </w:pPr>
            <w:r>
              <w:rPr>
                <w:rFonts w:hint="eastAsia" w:ascii="宋体" w:hAnsi="宋体" w:eastAsia="宋体" w:cs="宋体"/>
                <w:b/>
                <w:bCs/>
                <w:sz w:val="20"/>
                <w:szCs w:val="20"/>
              </w:rPr>
              <w:t>三级指标</w:t>
            </w:r>
          </w:p>
        </w:tc>
        <w:tc>
          <w:tcPr>
            <w:tcW w:w="2387" w:type="dxa"/>
            <w:vMerge w:val="continue"/>
            <w:tcBorders>
              <w:top w:val="single" w:color="auto" w:sz="4" w:space="0"/>
              <w:left w:val="single" w:color="auto" w:sz="4" w:space="0"/>
              <w:bottom w:val="single" w:color="000000" w:sz="4" w:space="0"/>
              <w:right w:val="single" w:color="auto" w:sz="4" w:space="0"/>
            </w:tcBorders>
            <w:vAlign w:val="center"/>
          </w:tcPr>
          <w:p>
            <w:pPr>
              <w:adjustRightInd/>
              <w:snapToGrid/>
              <w:spacing w:after="0"/>
              <w:ind w:firstLine="0" w:firstLineChars="0"/>
              <w:rPr>
                <w:rFonts w:ascii="黑体" w:hAnsi="黑体" w:eastAsia="黑体" w:cs="宋体"/>
                <w:sz w:val="20"/>
                <w:szCs w:val="20"/>
              </w:rPr>
            </w:pPr>
          </w:p>
        </w:tc>
        <w:tc>
          <w:tcPr>
            <w:tcW w:w="1803" w:type="dxa"/>
            <w:vMerge w:val="continue"/>
            <w:tcBorders>
              <w:top w:val="single" w:color="auto" w:sz="4" w:space="0"/>
              <w:left w:val="single" w:color="auto" w:sz="4" w:space="0"/>
              <w:bottom w:val="single" w:color="000000" w:sz="4" w:space="0"/>
              <w:right w:val="single" w:color="auto" w:sz="4" w:space="0"/>
            </w:tcBorders>
            <w:vAlign w:val="center"/>
          </w:tcPr>
          <w:p>
            <w:pPr>
              <w:adjustRightInd/>
              <w:snapToGrid/>
              <w:spacing w:after="0"/>
              <w:ind w:firstLine="0" w:firstLineChars="0"/>
              <w:rPr>
                <w:rFonts w:ascii="黑体" w:hAnsi="黑体" w:eastAsia="黑体" w:cs="宋体"/>
                <w:sz w:val="20"/>
                <w:szCs w:val="20"/>
              </w:rPr>
            </w:pPr>
          </w:p>
        </w:tc>
        <w:tc>
          <w:tcPr>
            <w:tcW w:w="716" w:type="dxa"/>
            <w:vMerge w:val="continue"/>
            <w:tcBorders>
              <w:top w:val="single" w:color="auto" w:sz="4" w:space="0"/>
              <w:left w:val="single" w:color="auto" w:sz="4" w:space="0"/>
              <w:bottom w:val="single" w:color="000000" w:sz="4" w:space="0"/>
              <w:right w:val="single" w:color="auto" w:sz="4" w:space="0"/>
            </w:tcBorders>
            <w:vAlign w:val="center"/>
          </w:tcPr>
          <w:p>
            <w:pPr>
              <w:adjustRightInd/>
              <w:snapToGrid/>
              <w:spacing w:after="0"/>
              <w:ind w:firstLine="0" w:firstLineChars="0"/>
              <w:rPr>
                <w:rFonts w:ascii="黑体" w:hAnsi="黑体" w:eastAsia="黑体" w:cs="宋体"/>
                <w:sz w:val="20"/>
                <w:szCs w:val="20"/>
              </w:rPr>
            </w:pPr>
          </w:p>
        </w:tc>
        <w:tc>
          <w:tcPr>
            <w:tcW w:w="1423" w:type="dxa"/>
            <w:vMerge w:val="continue"/>
            <w:tcBorders>
              <w:top w:val="single" w:color="auto" w:sz="4" w:space="0"/>
              <w:left w:val="single" w:color="auto" w:sz="4" w:space="0"/>
              <w:bottom w:val="single" w:color="000000" w:sz="4" w:space="0"/>
              <w:right w:val="single" w:color="auto" w:sz="4" w:space="0"/>
            </w:tcBorders>
            <w:vAlign w:val="center"/>
          </w:tcPr>
          <w:p>
            <w:pPr>
              <w:adjustRightInd/>
              <w:snapToGrid/>
              <w:spacing w:after="0"/>
              <w:ind w:firstLine="0" w:firstLineChars="0"/>
              <w:rPr>
                <w:rFonts w:ascii="黑体" w:hAnsi="黑体" w:eastAsia="黑体" w:cs="宋体"/>
                <w:sz w:val="20"/>
                <w:szCs w:val="20"/>
              </w:rPr>
            </w:pPr>
          </w:p>
        </w:tc>
      </w:tr>
      <w:tr>
        <w:tblPrEx>
          <w:tblCellMar>
            <w:top w:w="0" w:type="dxa"/>
            <w:left w:w="108" w:type="dxa"/>
            <w:bottom w:w="0" w:type="dxa"/>
            <w:right w:w="108" w:type="dxa"/>
          </w:tblCellMar>
        </w:tblPrEx>
        <w:trPr>
          <w:trHeight w:val="645" w:hRule="atLeast"/>
        </w:trPr>
        <w:tc>
          <w:tcPr>
            <w:tcW w:w="616" w:type="dxa"/>
            <w:tcBorders>
              <w:top w:val="nil"/>
              <w:left w:val="single" w:color="auto" w:sz="4" w:space="0"/>
              <w:bottom w:val="single" w:color="auto" w:sz="4" w:space="0"/>
              <w:right w:val="single" w:color="auto" w:sz="4" w:space="0"/>
            </w:tcBorders>
            <w:shd w:val="clear" w:color="auto" w:fill="auto"/>
            <w:vAlign w:val="center"/>
          </w:tcPr>
          <w:p>
            <w:pPr>
              <w:adjustRightInd/>
              <w:snapToGrid/>
              <w:spacing w:after="0"/>
              <w:ind w:firstLine="0" w:firstLineChars="0"/>
              <w:jc w:val="center"/>
              <w:rPr>
                <w:rFonts w:ascii="宋体" w:hAnsi="宋体" w:eastAsia="宋体" w:cs="宋体"/>
                <w:sz w:val="20"/>
                <w:szCs w:val="20"/>
              </w:rPr>
            </w:pPr>
            <w:r>
              <w:rPr>
                <w:rFonts w:hint="eastAsia" w:ascii="宋体" w:hAnsi="宋体" w:eastAsia="宋体" w:cs="宋体"/>
                <w:sz w:val="20"/>
                <w:szCs w:val="20"/>
              </w:rPr>
              <w:t>预算执行程度（10分）</w:t>
            </w:r>
          </w:p>
        </w:tc>
        <w:tc>
          <w:tcPr>
            <w:tcW w:w="616" w:type="dxa"/>
            <w:tcBorders>
              <w:top w:val="nil"/>
              <w:left w:val="nil"/>
              <w:bottom w:val="single" w:color="auto" w:sz="4" w:space="0"/>
              <w:right w:val="single" w:color="auto" w:sz="4" w:space="0"/>
            </w:tcBorders>
            <w:shd w:val="clear" w:color="auto" w:fill="auto"/>
            <w:vAlign w:val="center"/>
          </w:tcPr>
          <w:p>
            <w:pPr>
              <w:adjustRightInd/>
              <w:snapToGrid/>
              <w:spacing w:after="0"/>
              <w:ind w:firstLine="0" w:firstLineChars="0"/>
              <w:jc w:val="center"/>
              <w:rPr>
                <w:rFonts w:ascii="宋体" w:hAnsi="宋体" w:eastAsia="宋体" w:cs="宋体"/>
                <w:sz w:val="20"/>
                <w:szCs w:val="20"/>
              </w:rPr>
            </w:pPr>
            <w:r>
              <w:rPr>
                <w:rFonts w:hint="eastAsia" w:ascii="宋体" w:hAnsi="宋体" w:eastAsia="宋体" w:cs="宋体"/>
                <w:sz w:val="20"/>
                <w:szCs w:val="20"/>
              </w:rPr>
              <w:t>预算执行率（10分）</w:t>
            </w:r>
          </w:p>
        </w:tc>
        <w:tc>
          <w:tcPr>
            <w:tcW w:w="961" w:type="dxa"/>
            <w:tcBorders>
              <w:top w:val="nil"/>
              <w:left w:val="nil"/>
              <w:bottom w:val="single" w:color="auto" w:sz="4" w:space="0"/>
              <w:right w:val="single" w:color="auto" w:sz="4" w:space="0"/>
            </w:tcBorders>
            <w:shd w:val="clear" w:color="auto" w:fill="auto"/>
            <w:vAlign w:val="center"/>
          </w:tcPr>
          <w:p>
            <w:pPr>
              <w:adjustRightInd/>
              <w:snapToGrid/>
              <w:spacing w:after="0"/>
              <w:ind w:firstLine="0" w:firstLineChars="0"/>
              <w:jc w:val="center"/>
              <w:rPr>
                <w:rFonts w:ascii="宋体" w:hAnsi="宋体" w:eastAsia="宋体" w:cs="宋体"/>
                <w:sz w:val="20"/>
                <w:szCs w:val="20"/>
              </w:rPr>
            </w:pPr>
            <w:r>
              <w:rPr>
                <w:rFonts w:hint="eastAsia" w:ascii="宋体" w:hAnsi="宋体" w:eastAsia="宋体" w:cs="宋体"/>
                <w:sz w:val="20"/>
                <w:szCs w:val="20"/>
              </w:rPr>
              <w:t>资金支出率（10分）</w:t>
            </w:r>
          </w:p>
        </w:tc>
        <w:tc>
          <w:tcPr>
            <w:tcW w:w="2387" w:type="dxa"/>
            <w:tcBorders>
              <w:top w:val="nil"/>
              <w:left w:val="nil"/>
              <w:bottom w:val="single" w:color="auto" w:sz="4" w:space="0"/>
              <w:right w:val="single" w:color="auto" w:sz="4" w:space="0"/>
            </w:tcBorders>
            <w:shd w:val="clear" w:color="auto" w:fill="auto"/>
            <w:vAlign w:val="center"/>
          </w:tcPr>
          <w:p>
            <w:pPr>
              <w:adjustRightInd/>
              <w:snapToGrid/>
              <w:spacing w:after="0"/>
              <w:ind w:firstLine="0" w:firstLineChars="0"/>
              <w:jc w:val="center"/>
              <w:rPr>
                <w:rFonts w:ascii="宋体" w:hAnsi="宋体" w:eastAsia="宋体" w:cs="宋体"/>
                <w:sz w:val="20"/>
                <w:szCs w:val="20"/>
              </w:rPr>
            </w:pPr>
            <w:r>
              <w:rPr>
                <w:rFonts w:hint="eastAsia" w:ascii="宋体" w:hAnsi="宋体" w:eastAsia="宋体" w:cs="宋体"/>
                <w:sz w:val="20"/>
                <w:szCs w:val="20"/>
              </w:rPr>
              <w:t>考核资金支出进度。资金支出率=（合规支付资金额/应支付资金额）*100%</w:t>
            </w:r>
          </w:p>
        </w:tc>
        <w:tc>
          <w:tcPr>
            <w:tcW w:w="1803" w:type="dxa"/>
            <w:tcBorders>
              <w:top w:val="nil"/>
              <w:left w:val="nil"/>
              <w:bottom w:val="single" w:color="auto" w:sz="4" w:space="0"/>
              <w:right w:val="single" w:color="auto" w:sz="4" w:space="0"/>
            </w:tcBorders>
            <w:shd w:val="clear" w:color="auto" w:fill="auto"/>
            <w:vAlign w:val="center"/>
          </w:tcPr>
          <w:p>
            <w:pPr>
              <w:adjustRightInd/>
              <w:snapToGrid/>
              <w:spacing w:after="0"/>
              <w:ind w:firstLine="0" w:firstLineChars="0"/>
              <w:jc w:val="center"/>
              <w:rPr>
                <w:rFonts w:ascii="宋体" w:hAnsi="宋体" w:eastAsia="宋体" w:cs="宋体"/>
                <w:sz w:val="20"/>
                <w:szCs w:val="20"/>
              </w:rPr>
            </w:pPr>
            <w:r>
              <w:rPr>
                <w:rFonts w:hint="eastAsia" w:ascii="宋体" w:hAnsi="宋体" w:eastAsia="宋体" w:cs="宋体"/>
                <w:sz w:val="20"/>
                <w:szCs w:val="20"/>
              </w:rPr>
              <w:t>得分=资金支出率*10分</w:t>
            </w:r>
          </w:p>
        </w:tc>
        <w:tc>
          <w:tcPr>
            <w:tcW w:w="716" w:type="dxa"/>
            <w:tcBorders>
              <w:top w:val="nil"/>
              <w:left w:val="nil"/>
              <w:bottom w:val="single" w:color="auto" w:sz="4" w:space="0"/>
              <w:right w:val="single" w:color="auto" w:sz="4" w:space="0"/>
            </w:tcBorders>
            <w:shd w:val="clear" w:color="auto" w:fill="auto"/>
            <w:vAlign w:val="center"/>
          </w:tcPr>
          <w:p>
            <w:pPr>
              <w:adjustRightInd/>
              <w:snapToGrid/>
              <w:spacing w:after="0"/>
              <w:ind w:firstLine="0" w:firstLineChars="0"/>
              <w:rPr>
                <w:rFonts w:ascii="宋体" w:hAnsi="宋体" w:eastAsia="宋体" w:cs="宋体"/>
                <w:sz w:val="20"/>
                <w:szCs w:val="20"/>
              </w:rPr>
            </w:pPr>
            <w:r>
              <w:rPr>
                <w:rFonts w:hint="eastAsia" w:ascii="宋体" w:hAnsi="宋体" w:eastAsia="宋体" w:cs="宋体"/>
                <w:sz w:val="20"/>
                <w:szCs w:val="20"/>
              </w:rPr>
              <w:t xml:space="preserve">    8.55 </w:t>
            </w:r>
          </w:p>
        </w:tc>
        <w:tc>
          <w:tcPr>
            <w:tcW w:w="1423" w:type="dxa"/>
            <w:tcBorders>
              <w:top w:val="nil"/>
              <w:left w:val="nil"/>
              <w:bottom w:val="single" w:color="auto" w:sz="4" w:space="0"/>
              <w:right w:val="single" w:color="auto" w:sz="4" w:space="0"/>
            </w:tcBorders>
            <w:shd w:val="clear" w:color="auto" w:fill="auto"/>
            <w:vAlign w:val="center"/>
          </w:tcPr>
          <w:p>
            <w:pPr>
              <w:adjustRightInd/>
              <w:snapToGrid/>
              <w:spacing w:after="0"/>
              <w:ind w:firstLine="0" w:firstLineChars="0"/>
              <w:jc w:val="center"/>
              <w:rPr>
                <w:rFonts w:ascii="宋体" w:hAnsi="宋体" w:eastAsia="宋体" w:cs="宋体"/>
                <w:sz w:val="20"/>
                <w:szCs w:val="20"/>
              </w:rPr>
            </w:pPr>
            <w:r>
              <w:rPr>
                <w:rFonts w:hint="eastAsia" w:ascii="宋体" w:hAnsi="宋体" w:eastAsia="宋体" w:cs="宋体"/>
                <w:sz w:val="20"/>
                <w:szCs w:val="20"/>
              </w:rPr>
              <w:t>合规支付资金=21349347.24元，应支付资金=24966221.87元</w:t>
            </w:r>
          </w:p>
        </w:tc>
      </w:tr>
      <w:tr>
        <w:tblPrEx>
          <w:tblCellMar>
            <w:top w:w="0" w:type="dxa"/>
            <w:left w:w="108" w:type="dxa"/>
            <w:bottom w:w="0" w:type="dxa"/>
            <w:right w:w="108" w:type="dxa"/>
          </w:tblCellMar>
        </w:tblPrEx>
        <w:trPr>
          <w:trHeight w:val="645" w:hRule="atLeast"/>
        </w:trPr>
        <w:tc>
          <w:tcPr>
            <w:tcW w:w="616" w:type="dxa"/>
            <w:vMerge w:val="restart"/>
            <w:tcBorders>
              <w:top w:val="nil"/>
              <w:left w:val="single" w:color="auto" w:sz="4" w:space="0"/>
              <w:bottom w:val="nil"/>
              <w:right w:val="single" w:color="auto" w:sz="4" w:space="0"/>
            </w:tcBorders>
            <w:shd w:val="clear" w:color="auto" w:fill="auto"/>
            <w:vAlign w:val="center"/>
          </w:tcPr>
          <w:p>
            <w:pPr>
              <w:adjustRightInd/>
              <w:snapToGrid/>
              <w:spacing w:after="0"/>
              <w:ind w:firstLine="0" w:firstLineChars="0"/>
              <w:jc w:val="center"/>
              <w:rPr>
                <w:rFonts w:ascii="宋体" w:hAnsi="宋体" w:eastAsia="宋体" w:cs="宋体"/>
                <w:sz w:val="20"/>
                <w:szCs w:val="20"/>
              </w:rPr>
            </w:pPr>
            <w:r>
              <w:rPr>
                <w:rFonts w:hint="eastAsia" w:ascii="宋体" w:hAnsi="宋体" w:eastAsia="宋体" w:cs="宋体"/>
                <w:sz w:val="20"/>
                <w:szCs w:val="20"/>
              </w:rPr>
              <w:t>产出指标（50分）</w:t>
            </w:r>
          </w:p>
        </w:tc>
        <w:tc>
          <w:tcPr>
            <w:tcW w:w="616" w:type="dxa"/>
            <w:tcBorders>
              <w:top w:val="nil"/>
              <w:left w:val="nil"/>
              <w:bottom w:val="single" w:color="auto" w:sz="4" w:space="0"/>
              <w:right w:val="single" w:color="auto" w:sz="4" w:space="0"/>
            </w:tcBorders>
            <w:shd w:val="clear" w:color="auto" w:fill="auto"/>
            <w:vAlign w:val="center"/>
          </w:tcPr>
          <w:p>
            <w:pPr>
              <w:adjustRightInd/>
              <w:snapToGrid/>
              <w:spacing w:after="0"/>
              <w:ind w:firstLine="0" w:firstLineChars="0"/>
              <w:jc w:val="center"/>
              <w:rPr>
                <w:rFonts w:ascii="宋体" w:hAnsi="宋体" w:eastAsia="宋体" w:cs="宋体"/>
                <w:sz w:val="20"/>
                <w:szCs w:val="20"/>
              </w:rPr>
            </w:pPr>
            <w:r>
              <w:rPr>
                <w:rFonts w:hint="eastAsia" w:ascii="宋体" w:hAnsi="宋体" w:eastAsia="宋体" w:cs="宋体"/>
                <w:sz w:val="20"/>
                <w:szCs w:val="20"/>
              </w:rPr>
              <w:t>产出数量(10分)</w:t>
            </w:r>
          </w:p>
        </w:tc>
        <w:tc>
          <w:tcPr>
            <w:tcW w:w="961" w:type="dxa"/>
            <w:tcBorders>
              <w:top w:val="nil"/>
              <w:left w:val="nil"/>
              <w:bottom w:val="single" w:color="auto" w:sz="4" w:space="0"/>
              <w:right w:val="single" w:color="auto" w:sz="4" w:space="0"/>
            </w:tcBorders>
            <w:shd w:val="clear" w:color="auto" w:fill="auto"/>
            <w:vAlign w:val="center"/>
          </w:tcPr>
          <w:p>
            <w:pPr>
              <w:adjustRightInd/>
              <w:snapToGrid/>
              <w:spacing w:after="0"/>
              <w:ind w:firstLine="0" w:firstLineChars="0"/>
              <w:jc w:val="center"/>
              <w:rPr>
                <w:rFonts w:ascii="宋体" w:hAnsi="宋体" w:eastAsia="宋体" w:cs="宋体"/>
                <w:sz w:val="20"/>
                <w:szCs w:val="20"/>
              </w:rPr>
            </w:pPr>
            <w:r>
              <w:rPr>
                <w:rFonts w:hint="eastAsia" w:ascii="宋体" w:hAnsi="宋体" w:eastAsia="宋体" w:cs="宋体"/>
                <w:sz w:val="20"/>
                <w:szCs w:val="20"/>
              </w:rPr>
              <w:t>项目验收完成率(10分）</w:t>
            </w:r>
          </w:p>
        </w:tc>
        <w:tc>
          <w:tcPr>
            <w:tcW w:w="2387" w:type="dxa"/>
            <w:tcBorders>
              <w:top w:val="nil"/>
              <w:left w:val="nil"/>
              <w:bottom w:val="single" w:color="auto" w:sz="4" w:space="0"/>
              <w:right w:val="single" w:color="auto" w:sz="4" w:space="0"/>
            </w:tcBorders>
            <w:shd w:val="clear" w:color="auto" w:fill="auto"/>
            <w:vAlign w:val="center"/>
          </w:tcPr>
          <w:p>
            <w:pPr>
              <w:adjustRightInd/>
              <w:snapToGrid/>
              <w:spacing w:after="0"/>
              <w:ind w:firstLine="0" w:firstLineChars="0"/>
              <w:jc w:val="center"/>
              <w:rPr>
                <w:rFonts w:ascii="宋体" w:hAnsi="宋体" w:eastAsia="宋体" w:cs="宋体"/>
                <w:sz w:val="20"/>
                <w:szCs w:val="20"/>
              </w:rPr>
            </w:pPr>
            <w:r>
              <w:rPr>
                <w:rFonts w:hint="eastAsia" w:ascii="宋体" w:hAnsi="宋体" w:eastAsia="宋体" w:cs="宋体"/>
                <w:sz w:val="20"/>
                <w:szCs w:val="20"/>
              </w:rPr>
              <w:t>考核项目产出数量目标的实现程度。验收完成率=（验收合格数/计划建成数）*100%</w:t>
            </w:r>
          </w:p>
        </w:tc>
        <w:tc>
          <w:tcPr>
            <w:tcW w:w="1803" w:type="dxa"/>
            <w:tcBorders>
              <w:top w:val="nil"/>
              <w:left w:val="nil"/>
              <w:bottom w:val="single" w:color="auto" w:sz="4" w:space="0"/>
              <w:right w:val="single" w:color="auto" w:sz="4" w:space="0"/>
            </w:tcBorders>
            <w:shd w:val="clear" w:color="auto" w:fill="auto"/>
            <w:vAlign w:val="center"/>
          </w:tcPr>
          <w:p>
            <w:pPr>
              <w:adjustRightInd/>
              <w:snapToGrid/>
              <w:spacing w:after="0"/>
              <w:ind w:firstLine="0" w:firstLineChars="0"/>
              <w:jc w:val="center"/>
              <w:rPr>
                <w:rFonts w:ascii="宋体" w:hAnsi="宋体" w:eastAsia="宋体" w:cs="宋体"/>
                <w:sz w:val="20"/>
                <w:szCs w:val="20"/>
              </w:rPr>
            </w:pPr>
            <w:r>
              <w:rPr>
                <w:rFonts w:hint="eastAsia" w:ascii="宋体" w:hAnsi="宋体" w:eastAsia="宋体" w:cs="宋体"/>
                <w:sz w:val="20"/>
                <w:szCs w:val="20"/>
              </w:rPr>
              <w:t>得分=验收完成率*10分</w:t>
            </w:r>
          </w:p>
        </w:tc>
        <w:tc>
          <w:tcPr>
            <w:tcW w:w="716" w:type="dxa"/>
            <w:tcBorders>
              <w:top w:val="nil"/>
              <w:left w:val="nil"/>
              <w:bottom w:val="single" w:color="auto" w:sz="4" w:space="0"/>
              <w:right w:val="single" w:color="auto" w:sz="4" w:space="0"/>
            </w:tcBorders>
            <w:shd w:val="clear" w:color="auto" w:fill="auto"/>
            <w:vAlign w:val="center"/>
          </w:tcPr>
          <w:p>
            <w:pPr>
              <w:adjustRightInd/>
              <w:snapToGrid/>
              <w:spacing w:after="0"/>
              <w:ind w:firstLine="0" w:firstLineChars="0"/>
              <w:jc w:val="right"/>
              <w:rPr>
                <w:rFonts w:ascii="宋体" w:hAnsi="宋体" w:eastAsia="宋体" w:cs="宋体"/>
                <w:sz w:val="20"/>
                <w:szCs w:val="20"/>
              </w:rPr>
            </w:pPr>
            <w:r>
              <w:rPr>
                <w:rFonts w:hint="eastAsia" w:ascii="宋体" w:hAnsi="宋体" w:eastAsia="宋体" w:cs="宋体"/>
                <w:sz w:val="20"/>
                <w:szCs w:val="20"/>
              </w:rPr>
              <w:t>9.7</w:t>
            </w:r>
          </w:p>
        </w:tc>
        <w:tc>
          <w:tcPr>
            <w:tcW w:w="1423" w:type="dxa"/>
            <w:tcBorders>
              <w:top w:val="nil"/>
              <w:left w:val="nil"/>
              <w:bottom w:val="single" w:color="auto" w:sz="4" w:space="0"/>
              <w:right w:val="single" w:color="auto" w:sz="4" w:space="0"/>
            </w:tcBorders>
            <w:shd w:val="clear" w:color="auto" w:fill="auto"/>
            <w:vAlign w:val="center"/>
          </w:tcPr>
          <w:p>
            <w:pPr>
              <w:adjustRightInd/>
              <w:snapToGrid/>
              <w:spacing w:after="0"/>
              <w:ind w:firstLine="0" w:firstLineChars="0"/>
              <w:jc w:val="center"/>
              <w:rPr>
                <w:rFonts w:ascii="宋体" w:hAnsi="宋体" w:eastAsia="宋体" w:cs="宋体"/>
                <w:sz w:val="20"/>
                <w:szCs w:val="20"/>
              </w:rPr>
            </w:pPr>
            <w:r>
              <w:rPr>
                <w:rFonts w:hint="eastAsia" w:ascii="宋体" w:hAnsi="宋体" w:eastAsia="宋体" w:cs="宋体"/>
                <w:sz w:val="20"/>
                <w:szCs w:val="20"/>
              </w:rPr>
              <w:t>17570/18100</w:t>
            </w:r>
          </w:p>
        </w:tc>
      </w:tr>
      <w:tr>
        <w:tblPrEx>
          <w:tblCellMar>
            <w:top w:w="0" w:type="dxa"/>
            <w:left w:w="108" w:type="dxa"/>
            <w:bottom w:w="0" w:type="dxa"/>
            <w:right w:w="108" w:type="dxa"/>
          </w:tblCellMar>
        </w:tblPrEx>
        <w:trPr>
          <w:trHeight w:val="645" w:hRule="atLeast"/>
        </w:trPr>
        <w:tc>
          <w:tcPr>
            <w:tcW w:w="616" w:type="dxa"/>
            <w:vMerge w:val="continue"/>
            <w:tcBorders>
              <w:top w:val="nil"/>
              <w:left w:val="single" w:color="auto" w:sz="4" w:space="0"/>
              <w:bottom w:val="nil"/>
              <w:right w:val="single" w:color="auto" w:sz="4" w:space="0"/>
            </w:tcBorders>
            <w:vAlign w:val="center"/>
          </w:tcPr>
          <w:p>
            <w:pPr>
              <w:adjustRightInd/>
              <w:snapToGrid/>
              <w:spacing w:after="0"/>
              <w:ind w:firstLine="0" w:firstLineChars="0"/>
              <w:rPr>
                <w:rFonts w:ascii="宋体" w:hAnsi="宋体" w:eastAsia="宋体" w:cs="宋体"/>
                <w:sz w:val="20"/>
                <w:szCs w:val="20"/>
              </w:rPr>
            </w:pPr>
          </w:p>
        </w:tc>
        <w:tc>
          <w:tcPr>
            <w:tcW w:w="616" w:type="dxa"/>
            <w:vMerge w:val="restart"/>
            <w:tcBorders>
              <w:top w:val="nil"/>
              <w:left w:val="single" w:color="auto" w:sz="4" w:space="0"/>
              <w:bottom w:val="single" w:color="000000" w:sz="4" w:space="0"/>
              <w:right w:val="single" w:color="auto" w:sz="4" w:space="0"/>
            </w:tcBorders>
            <w:shd w:val="clear" w:color="auto" w:fill="auto"/>
            <w:vAlign w:val="center"/>
          </w:tcPr>
          <w:p>
            <w:pPr>
              <w:adjustRightInd/>
              <w:snapToGrid/>
              <w:spacing w:after="0"/>
              <w:ind w:firstLine="0" w:firstLineChars="0"/>
              <w:jc w:val="center"/>
              <w:rPr>
                <w:rFonts w:ascii="宋体" w:hAnsi="宋体" w:eastAsia="宋体" w:cs="宋体"/>
                <w:sz w:val="20"/>
                <w:szCs w:val="20"/>
              </w:rPr>
            </w:pPr>
            <w:r>
              <w:rPr>
                <w:rFonts w:hint="eastAsia" w:ascii="宋体" w:hAnsi="宋体" w:eastAsia="宋体" w:cs="宋体"/>
                <w:sz w:val="20"/>
                <w:szCs w:val="20"/>
              </w:rPr>
              <w:t>产出质量(16分)</w:t>
            </w:r>
          </w:p>
        </w:tc>
        <w:tc>
          <w:tcPr>
            <w:tcW w:w="961" w:type="dxa"/>
            <w:tcBorders>
              <w:top w:val="nil"/>
              <w:left w:val="nil"/>
              <w:bottom w:val="single" w:color="auto" w:sz="4" w:space="0"/>
              <w:right w:val="single" w:color="auto" w:sz="4" w:space="0"/>
            </w:tcBorders>
            <w:shd w:val="clear" w:color="auto" w:fill="auto"/>
            <w:vAlign w:val="center"/>
          </w:tcPr>
          <w:p>
            <w:pPr>
              <w:adjustRightInd/>
              <w:snapToGrid/>
              <w:spacing w:after="0"/>
              <w:ind w:firstLine="0" w:firstLineChars="0"/>
              <w:jc w:val="center"/>
              <w:rPr>
                <w:rFonts w:ascii="宋体" w:hAnsi="宋体" w:eastAsia="宋体" w:cs="宋体"/>
                <w:sz w:val="20"/>
                <w:szCs w:val="20"/>
              </w:rPr>
            </w:pPr>
            <w:r>
              <w:rPr>
                <w:rFonts w:hint="eastAsia" w:ascii="宋体" w:hAnsi="宋体" w:eastAsia="宋体" w:cs="宋体"/>
                <w:sz w:val="20"/>
                <w:szCs w:val="20"/>
              </w:rPr>
              <w:t>工程质量（8分）</w:t>
            </w:r>
          </w:p>
        </w:tc>
        <w:tc>
          <w:tcPr>
            <w:tcW w:w="2387" w:type="dxa"/>
            <w:tcBorders>
              <w:top w:val="nil"/>
              <w:left w:val="nil"/>
              <w:bottom w:val="single" w:color="auto" w:sz="4" w:space="0"/>
              <w:right w:val="single" w:color="auto" w:sz="4" w:space="0"/>
            </w:tcBorders>
            <w:shd w:val="clear" w:color="auto" w:fill="auto"/>
            <w:vAlign w:val="center"/>
          </w:tcPr>
          <w:p>
            <w:pPr>
              <w:adjustRightInd/>
              <w:snapToGrid/>
              <w:spacing w:after="0"/>
              <w:ind w:firstLine="0" w:firstLineChars="0"/>
              <w:jc w:val="center"/>
              <w:rPr>
                <w:rFonts w:ascii="宋体" w:hAnsi="宋体" w:eastAsia="宋体" w:cs="宋体"/>
                <w:sz w:val="20"/>
                <w:szCs w:val="20"/>
              </w:rPr>
            </w:pPr>
            <w:r>
              <w:rPr>
                <w:rFonts w:hint="eastAsia" w:ascii="宋体" w:hAnsi="宋体" w:eastAsia="宋体" w:cs="宋体"/>
                <w:sz w:val="20"/>
                <w:szCs w:val="20"/>
              </w:rPr>
              <w:t>实地查看厕改项目，是否符合工程标准。</w:t>
            </w:r>
          </w:p>
        </w:tc>
        <w:tc>
          <w:tcPr>
            <w:tcW w:w="1803" w:type="dxa"/>
            <w:tcBorders>
              <w:top w:val="nil"/>
              <w:left w:val="nil"/>
              <w:bottom w:val="single" w:color="auto" w:sz="4" w:space="0"/>
              <w:right w:val="single" w:color="auto" w:sz="4" w:space="0"/>
            </w:tcBorders>
            <w:shd w:val="clear" w:color="auto" w:fill="auto"/>
            <w:vAlign w:val="center"/>
          </w:tcPr>
          <w:p>
            <w:pPr>
              <w:adjustRightInd/>
              <w:snapToGrid/>
              <w:spacing w:after="0"/>
              <w:ind w:firstLine="0" w:firstLineChars="0"/>
              <w:jc w:val="center"/>
              <w:rPr>
                <w:rFonts w:ascii="宋体" w:hAnsi="宋体" w:eastAsia="宋体" w:cs="宋体"/>
                <w:sz w:val="20"/>
                <w:szCs w:val="20"/>
              </w:rPr>
            </w:pPr>
            <w:r>
              <w:rPr>
                <w:rFonts w:hint="eastAsia" w:ascii="宋体" w:hAnsi="宋体" w:eastAsia="宋体" w:cs="宋体"/>
                <w:sz w:val="20"/>
                <w:szCs w:val="20"/>
              </w:rPr>
              <w:t>厕房建设高度不低于2.0米（2分），有顶、门、通风窗和防蚊蝇措施（1分）；厕房室内地面应好硬化（1分），地坪至少高于室外地坪10公分（2分），厕房内冲水设施要有保温防冻措施（2分）。发现一处扣0.5分，扣完为止</w:t>
            </w:r>
          </w:p>
        </w:tc>
        <w:tc>
          <w:tcPr>
            <w:tcW w:w="716" w:type="dxa"/>
            <w:tcBorders>
              <w:top w:val="nil"/>
              <w:left w:val="nil"/>
              <w:bottom w:val="single" w:color="auto" w:sz="4" w:space="0"/>
              <w:right w:val="single" w:color="auto" w:sz="4" w:space="0"/>
            </w:tcBorders>
            <w:shd w:val="clear" w:color="auto" w:fill="auto"/>
            <w:vAlign w:val="center"/>
          </w:tcPr>
          <w:p>
            <w:pPr>
              <w:adjustRightInd/>
              <w:snapToGrid/>
              <w:spacing w:after="0"/>
              <w:ind w:firstLine="0" w:firstLineChars="0"/>
              <w:jc w:val="right"/>
              <w:rPr>
                <w:rFonts w:ascii="宋体" w:hAnsi="宋体" w:eastAsia="宋体" w:cs="宋体"/>
                <w:sz w:val="20"/>
                <w:szCs w:val="20"/>
              </w:rPr>
            </w:pPr>
            <w:r>
              <w:rPr>
                <w:rFonts w:hint="eastAsia" w:ascii="宋体" w:hAnsi="宋体" w:eastAsia="宋体" w:cs="宋体"/>
                <w:sz w:val="20"/>
                <w:szCs w:val="20"/>
              </w:rPr>
              <w:t>8</w:t>
            </w:r>
          </w:p>
        </w:tc>
        <w:tc>
          <w:tcPr>
            <w:tcW w:w="1423" w:type="dxa"/>
            <w:tcBorders>
              <w:top w:val="nil"/>
              <w:left w:val="nil"/>
              <w:bottom w:val="single" w:color="auto" w:sz="4" w:space="0"/>
              <w:right w:val="single" w:color="auto" w:sz="4" w:space="0"/>
            </w:tcBorders>
            <w:shd w:val="clear" w:color="auto" w:fill="auto"/>
            <w:vAlign w:val="center"/>
          </w:tcPr>
          <w:p>
            <w:pPr>
              <w:adjustRightInd/>
              <w:snapToGrid/>
              <w:spacing w:after="0"/>
              <w:ind w:firstLine="0" w:firstLineChars="0"/>
              <w:jc w:val="center"/>
              <w:rPr>
                <w:rFonts w:ascii="宋体" w:hAnsi="宋体" w:eastAsia="宋体" w:cs="宋体"/>
                <w:sz w:val="20"/>
                <w:szCs w:val="20"/>
              </w:rPr>
            </w:pPr>
            <w:r>
              <w:rPr>
                <w:rFonts w:hint="eastAsia" w:ascii="宋体" w:hAnsi="宋体" w:eastAsia="宋体" w:cs="宋体"/>
                <w:sz w:val="20"/>
                <w:szCs w:val="20"/>
              </w:rPr>
              <w:t>　</w:t>
            </w:r>
          </w:p>
        </w:tc>
      </w:tr>
      <w:tr>
        <w:tblPrEx>
          <w:tblCellMar>
            <w:top w:w="0" w:type="dxa"/>
            <w:left w:w="108" w:type="dxa"/>
            <w:bottom w:w="0" w:type="dxa"/>
            <w:right w:w="108" w:type="dxa"/>
          </w:tblCellMar>
        </w:tblPrEx>
        <w:trPr>
          <w:trHeight w:val="645" w:hRule="atLeast"/>
        </w:trPr>
        <w:tc>
          <w:tcPr>
            <w:tcW w:w="616" w:type="dxa"/>
            <w:vMerge w:val="continue"/>
            <w:tcBorders>
              <w:top w:val="nil"/>
              <w:left w:val="single" w:color="auto" w:sz="4" w:space="0"/>
              <w:bottom w:val="nil"/>
              <w:right w:val="single" w:color="auto" w:sz="4" w:space="0"/>
            </w:tcBorders>
            <w:vAlign w:val="center"/>
          </w:tcPr>
          <w:p>
            <w:pPr>
              <w:adjustRightInd/>
              <w:snapToGrid/>
              <w:spacing w:after="0"/>
              <w:ind w:firstLine="0" w:firstLineChars="0"/>
              <w:rPr>
                <w:rFonts w:ascii="宋体" w:hAnsi="宋体" w:eastAsia="宋体" w:cs="宋体"/>
                <w:sz w:val="20"/>
                <w:szCs w:val="20"/>
              </w:rPr>
            </w:pPr>
          </w:p>
        </w:tc>
        <w:tc>
          <w:tcPr>
            <w:tcW w:w="616" w:type="dxa"/>
            <w:vMerge w:val="continue"/>
            <w:tcBorders>
              <w:top w:val="nil"/>
              <w:left w:val="single" w:color="auto" w:sz="4" w:space="0"/>
              <w:bottom w:val="single" w:color="000000" w:sz="4" w:space="0"/>
              <w:right w:val="single" w:color="auto" w:sz="4" w:space="0"/>
            </w:tcBorders>
            <w:vAlign w:val="center"/>
          </w:tcPr>
          <w:p>
            <w:pPr>
              <w:adjustRightInd/>
              <w:snapToGrid/>
              <w:spacing w:after="0"/>
              <w:ind w:firstLine="0" w:firstLineChars="0"/>
              <w:rPr>
                <w:rFonts w:ascii="宋体" w:hAnsi="宋体" w:eastAsia="宋体" w:cs="宋体"/>
                <w:sz w:val="20"/>
                <w:szCs w:val="20"/>
              </w:rPr>
            </w:pPr>
          </w:p>
        </w:tc>
        <w:tc>
          <w:tcPr>
            <w:tcW w:w="961" w:type="dxa"/>
            <w:tcBorders>
              <w:top w:val="nil"/>
              <w:left w:val="nil"/>
              <w:bottom w:val="single" w:color="auto" w:sz="4" w:space="0"/>
              <w:right w:val="single" w:color="auto" w:sz="4" w:space="0"/>
            </w:tcBorders>
            <w:shd w:val="clear" w:color="auto" w:fill="auto"/>
            <w:vAlign w:val="center"/>
          </w:tcPr>
          <w:p>
            <w:pPr>
              <w:adjustRightInd/>
              <w:snapToGrid/>
              <w:spacing w:after="0"/>
              <w:ind w:firstLine="0" w:firstLineChars="0"/>
              <w:jc w:val="center"/>
              <w:rPr>
                <w:rFonts w:ascii="宋体" w:hAnsi="宋体" w:eastAsia="宋体" w:cs="宋体"/>
                <w:sz w:val="20"/>
                <w:szCs w:val="20"/>
              </w:rPr>
            </w:pPr>
            <w:r>
              <w:rPr>
                <w:rFonts w:hint="eastAsia" w:ascii="宋体" w:hAnsi="宋体" w:eastAsia="宋体" w:cs="宋体"/>
                <w:sz w:val="20"/>
                <w:szCs w:val="20"/>
              </w:rPr>
              <w:t>监理质量（8分）</w:t>
            </w:r>
          </w:p>
        </w:tc>
        <w:tc>
          <w:tcPr>
            <w:tcW w:w="2387" w:type="dxa"/>
            <w:tcBorders>
              <w:top w:val="nil"/>
              <w:left w:val="nil"/>
              <w:bottom w:val="single" w:color="auto" w:sz="4" w:space="0"/>
              <w:right w:val="single" w:color="auto" w:sz="4" w:space="0"/>
            </w:tcBorders>
            <w:shd w:val="clear" w:color="auto" w:fill="auto"/>
            <w:vAlign w:val="center"/>
          </w:tcPr>
          <w:p>
            <w:pPr>
              <w:adjustRightInd/>
              <w:snapToGrid/>
              <w:spacing w:after="0"/>
              <w:ind w:firstLine="0" w:firstLineChars="0"/>
              <w:jc w:val="center"/>
              <w:rPr>
                <w:rFonts w:ascii="宋体" w:hAnsi="宋体" w:eastAsia="宋体" w:cs="宋体"/>
                <w:sz w:val="20"/>
                <w:szCs w:val="20"/>
              </w:rPr>
            </w:pPr>
            <w:r>
              <w:rPr>
                <w:rFonts w:hint="eastAsia" w:ascii="宋体" w:hAnsi="宋体" w:eastAsia="宋体" w:cs="宋体"/>
                <w:sz w:val="20"/>
                <w:szCs w:val="20"/>
              </w:rPr>
              <w:t>施工监理质量是否得到有效控制；乡镇是否组建检查小组</w:t>
            </w:r>
          </w:p>
        </w:tc>
        <w:tc>
          <w:tcPr>
            <w:tcW w:w="1803" w:type="dxa"/>
            <w:tcBorders>
              <w:top w:val="nil"/>
              <w:left w:val="nil"/>
              <w:bottom w:val="single" w:color="auto" w:sz="4" w:space="0"/>
              <w:right w:val="single" w:color="auto" w:sz="4" w:space="0"/>
            </w:tcBorders>
            <w:shd w:val="clear" w:color="auto" w:fill="auto"/>
            <w:vAlign w:val="center"/>
          </w:tcPr>
          <w:p>
            <w:pPr>
              <w:adjustRightInd/>
              <w:snapToGrid/>
              <w:spacing w:after="0"/>
              <w:ind w:firstLine="0" w:firstLineChars="0"/>
              <w:jc w:val="center"/>
              <w:rPr>
                <w:rFonts w:ascii="宋体" w:hAnsi="宋体" w:eastAsia="宋体" w:cs="宋体"/>
                <w:sz w:val="20"/>
                <w:szCs w:val="20"/>
              </w:rPr>
            </w:pPr>
            <w:r>
              <w:rPr>
                <w:rFonts w:hint="eastAsia" w:ascii="宋体" w:hAnsi="宋体" w:eastAsia="宋体" w:cs="宋体"/>
                <w:sz w:val="20"/>
                <w:szCs w:val="20"/>
              </w:rPr>
              <w:t>是否严格执行监理机制</w:t>
            </w:r>
          </w:p>
        </w:tc>
        <w:tc>
          <w:tcPr>
            <w:tcW w:w="716" w:type="dxa"/>
            <w:tcBorders>
              <w:top w:val="nil"/>
              <w:left w:val="nil"/>
              <w:bottom w:val="single" w:color="auto" w:sz="4" w:space="0"/>
              <w:right w:val="single" w:color="auto" w:sz="4" w:space="0"/>
            </w:tcBorders>
            <w:shd w:val="clear" w:color="auto" w:fill="auto"/>
            <w:vAlign w:val="center"/>
          </w:tcPr>
          <w:p>
            <w:pPr>
              <w:adjustRightInd/>
              <w:snapToGrid/>
              <w:spacing w:after="0"/>
              <w:ind w:firstLine="0" w:firstLineChars="0"/>
              <w:jc w:val="right"/>
              <w:rPr>
                <w:rFonts w:ascii="宋体" w:hAnsi="宋体" w:eastAsia="宋体" w:cs="宋体"/>
                <w:sz w:val="20"/>
                <w:szCs w:val="20"/>
              </w:rPr>
            </w:pPr>
            <w:r>
              <w:rPr>
                <w:rFonts w:hint="eastAsia" w:ascii="宋体" w:hAnsi="宋体" w:eastAsia="宋体" w:cs="宋体"/>
                <w:sz w:val="20"/>
                <w:szCs w:val="20"/>
              </w:rPr>
              <w:t>0</w:t>
            </w:r>
          </w:p>
        </w:tc>
        <w:tc>
          <w:tcPr>
            <w:tcW w:w="1423" w:type="dxa"/>
            <w:tcBorders>
              <w:top w:val="nil"/>
              <w:left w:val="nil"/>
              <w:bottom w:val="single" w:color="auto" w:sz="4" w:space="0"/>
              <w:right w:val="single" w:color="auto" w:sz="4" w:space="0"/>
            </w:tcBorders>
            <w:shd w:val="clear" w:color="auto" w:fill="auto"/>
            <w:vAlign w:val="center"/>
          </w:tcPr>
          <w:p>
            <w:pPr>
              <w:adjustRightInd/>
              <w:snapToGrid/>
              <w:spacing w:after="0"/>
              <w:ind w:firstLine="0" w:firstLineChars="0"/>
              <w:jc w:val="center"/>
              <w:rPr>
                <w:rFonts w:ascii="宋体" w:hAnsi="宋体" w:eastAsia="宋体" w:cs="宋体"/>
                <w:sz w:val="20"/>
                <w:szCs w:val="20"/>
              </w:rPr>
            </w:pPr>
            <w:r>
              <w:rPr>
                <w:rFonts w:hint="eastAsia" w:ascii="宋体" w:hAnsi="宋体" w:eastAsia="宋体" w:cs="宋体"/>
                <w:sz w:val="20"/>
                <w:szCs w:val="20"/>
              </w:rPr>
              <w:t>乡镇未组建检查小组，无监查记录；监理单位部分监理记录日期晚于施工日期</w:t>
            </w:r>
          </w:p>
        </w:tc>
      </w:tr>
      <w:tr>
        <w:tblPrEx>
          <w:tblCellMar>
            <w:top w:w="0" w:type="dxa"/>
            <w:left w:w="108" w:type="dxa"/>
            <w:bottom w:w="0" w:type="dxa"/>
            <w:right w:w="108" w:type="dxa"/>
          </w:tblCellMar>
        </w:tblPrEx>
        <w:trPr>
          <w:trHeight w:val="645" w:hRule="atLeast"/>
        </w:trPr>
        <w:tc>
          <w:tcPr>
            <w:tcW w:w="616" w:type="dxa"/>
            <w:vMerge w:val="continue"/>
            <w:tcBorders>
              <w:top w:val="nil"/>
              <w:left w:val="single" w:color="auto" w:sz="4" w:space="0"/>
              <w:bottom w:val="nil"/>
              <w:right w:val="single" w:color="auto" w:sz="4" w:space="0"/>
            </w:tcBorders>
            <w:vAlign w:val="center"/>
          </w:tcPr>
          <w:p>
            <w:pPr>
              <w:adjustRightInd/>
              <w:snapToGrid/>
              <w:spacing w:after="0"/>
              <w:ind w:firstLine="0" w:firstLineChars="0"/>
              <w:rPr>
                <w:rFonts w:ascii="宋体" w:hAnsi="宋体" w:eastAsia="宋体" w:cs="宋体"/>
                <w:sz w:val="20"/>
                <w:szCs w:val="20"/>
              </w:rPr>
            </w:pPr>
          </w:p>
        </w:tc>
        <w:tc>
          <w:tcPr>
            <w:tcW w:w="616" w:type="dxa"/>
            <w:vMerge w:val="restart"/>
            <w:tcBorders>
              <w:top w:val="nil"/>
              <w:left w:val="single" w:color="auto" w:sz="4" w:space="0"/>
              <w:bottom w:val="single" w:color="000000" w:sz="4" w:space="0"/>
              <w:right w:val="single" w:color="auto" w:sz="4" w:space="0"/>
            </w:tcBorders>
            <w:shd w:val="clear" w:color="auto" w:fill="auto"/>
            <w:vAlign w:val="center"/>
          </w:tcPr>
          <w:p>
            <w:pPr>
              <w:adjustRightInd/>
              <w:snapToGrid/>
              <w:spacing w:after="0"/>
              <w:ind w:firstLine="0" w:firstLineChars="0"/>
              <w:jc w:val="center"/>
              <w:rPr>
                <w:rFonts w:ascii="宋体" w:hAnsi="宋体" w:eastAsia="宋体" w:cs="宋体"/>
                <w:sz w:val="20"/>
                <w:szCs w:val="20"/>
              </w:rPr>
            </w:pPr>
            <w:r>
              <w:rPr>
                <w:rFonts w:hint="eastAsia" w:ascii="宋体" w:hAnsi="宋体" w:eastAsia="宋体" w:cs="宋体"/>
                <w:sz w:val="20"/>
                <w:szCs w:val="20"/>
              </w:rPr>
              <w:t>制度建设(8分)</w:t>
            </w:r>
          </w:p>
        </w:tc>
        <w:tc>
          <w:tcPr>
            <w:tcW w:w="961" w:type="dxa"/>
            <w:tcBorders>
              <w:top w:val="nil"/>
              <w:left w:val="nil"/>
              <w:bottom w:val="single" w:color="auto" w:sz="4" w:space="0"/>
              <w:right w:val="single" w:color="auto" w:sz="4" w:space="0"/>
            </w:tcBorders>
            <w:shd w:val="clear" w:color="auto" w:fill="auto"/>
            <w:vAlign w:val="center"/>
          </w:tcPr>
          <w:p>
            <w:pPr>
              <w:adjustRightInd/>
              <w:snapToGrid/>
              <w:spacing w:after="0"/>
              <w:ind w:firstLine="0" w:firstLineChars="0"/>
              <w:jc w:val="center"/>
              <w:rPr>
                <w:rFonts w:ascii="宋体" w:hAnsi="宋体" w:eastAsia="宋体" w:cs="宋体"/>
                <w:sz w:val="20"/>
                <w:szCs w:val="20"/>
              </w:rPr>
            </w:pPr>
            <w:r>
              <w:rPr>
                <w:rFonts w:hint="eastAsia" w:ascii="宋体" w:hAnsi="宋体" w:eastAsia="宋体" w:cs="宋体"/>
                <w:sz w:val="20"/>
                <w:szCs w:val="20"/>
              </w:rPr>
              <w:t>制度档案健全性（4分）</w:t>
            </w:r>
          </w:p>
        </w:tc>
        <w:tc>
          <w:tcPr>
            <w:tcW w:w="2387" w:type="dxa"/>
            <w:tcBorders>
              <w:top w:val="nil"/>
              <w:left w:val="nil"/>
              <w:bottom w:val="single" w:color="auto" w:sz="4" w:space="0"/>
              <w:right w:val="single" w:color="auto" w:sz="4" w:space="0"/>
            </w:tcBorders>
            <w:shd w:val="clear" w:color="auto" w:fill="auto"/>
            <w:vAlign w:val="center"/>
          </w:tcPr>
          <w:p>
            <w:pPr>
              <w:adjustRightInd/>
              <w:snapToGrid/>
              <w:spacing w:after="0"/>
              <w:ind w:firstLine="0" w:firstLineChars="0"/>
              <w:jc w:val="center"/>
              <w:rPr>
                <w:rFonts w:ascii="宋体" w:hAnsi="宋体" w:eastAsia="宋体" w:cs="宋体"/>
                <w:sz w:val="20"/>
                <w:szCs w:val="20"/>
              </w:rPr>
            </w:pPr>
            <w:r>
              <w:rPr>
                <w:rFonts w:hint="eastAsia" w:ascii="宋体" w:hAnsi="宋体" w:eastAsia="宋体" w:cs="宋体"/>
                <w:sz w:val="20"/>
                <w:szCs w:val="20"/>
              </w:rPr>
              <w:t>制度建设和档案管理</w:t>
            </w:r>
          </w:p>
        </w:tc>
        <w:tc>
          <w:tcPr>
            <w:tcW w:w="1803" w:type="dxa"/>
            <w:tcBorders>
              <w:top w:val="nil"/>
              <w:left w:val="nil"/>
              <w:bottom w:val="single" w:color="auto" w:sz="4" w:space="0"/>
              <w:right w:val="single" w:color="auto" w:sz="4" w:space="0"/>
            </w:tcBorders>
            <w:shd w:val="clear" w:color="auto" w:fill="auto"/>
            <w:vAlign w:val="center"/>
          </w:tcPr>
          <w:p>
            <w:pPr>
              <w:adjustRightInd/>
              <w:snapToGrid/>
              <w:spacing w:after="0"/>
              <w:ind w:firstLine="0" w:firstLineChars="0"/>
              <w:jc w:val="center"/>
              <w:rPr>
                <w:rFonts w:ascii="宋体" w:hAnsi="宋体" w:eastAsia="宋体" w:cs="宋体"/>
                <w:sz w:val="20"/>
                <w:szCs w:val="20"/>
              </w:rPr>
            </w:pPr>
            <w:r>
              <w:rPr>
                <w:rFonts w:hint="eastAsia" w:ascii="宋体" w:hAnsi="宋体" w:eastAsia="宋体" w:cs="宋体"/>
                <w:sz w:val="20"/>
                <w:szCs w:val="20"/>
              </w:rPr>
              <w:t>项目管理制度和资金管理制度是否健全完整（2分）；厕改相关档案是否完整（2分），发现一处扣0.5分，扣完为止</w:t>
            </w:r>
          </w:p>
        </w:tc>
        <w:tc>
          <w:tcPr>
            <w:tcW w:w="716" w:type="dxa"/>
            <w:tcBorders>
              <w:top w:val="nil"/>
              <w:left w:val="nil"/>
              <w:bottom w:val="single" w:color="auto" w:sz="4" w:space="0"/>
              <w:right w:val="single" w:color="auto" w:sz="4" w:space="0"/>
            </w:tcBorders>
            <w:shd w:val="clear" w:color="auto" w:fill="auto"/>
            <w:vAlign w:val="center"/>
          </w:tcPr>
          <w:p>
            <w:pPr>
              <w:adjustRightInd/>
              <w:snapToGrid/>
              <w:spacing w:after="0"/>
              <w:ind w:firstLine="0" w:firstLineChars="0"/>
              <w:jc w:val="right"/>
              <w:rPr>
                <w:rFonts w:ascii="宋体" w:hAnsi="宋体" w:eastAsia="宋体" w:cs="宋体"/>
                <w:sz w:val="20"/>
                <w:szCs w:val="20"/>
              </w:rPr>
            </w:pPr>
            <w:r>
              <w:rPr>
                <w:rFonts w:hint="eastAsia" w:ascii="宋体" w:hAnsi="宋体" w:eastAsia="宋体" w:cs="宋体"/>
                <w:sz w:val="20"/>
                <w:szCs w:val="20"/>
              </w:rPr>
              <w:t>2</w:t>
            </w:r>
          </w:p>
        </w:tc>
        <w:tc>
          <w:tcPr>
            <w:tcW w:w="1423" w:type="dxa"/>
            <w:tcBorders>
              <w:top w:val="nil"/>
              <w:left w:val="nil"/>
              <w:bottom w:val="single" w:color="auto" w:sz="4" w:space="0"/>
              <w:right w:val="single" w:color="auto" w:sz="4" w:space="0"/>
            </w:tcBorders>
            <w:shd w:val="clear" w:color="auto" w:fill="auto"/>
            <w:vAlign w:val="center"/>
          </w:tcPr>
          <w:p>
            <w:pPr>
              <w:adjustRightInd/>
              <w:snapToGrid/>
              <w:spacing w:after="0"/>
              <w:ind w:firstLine="0" w:firstLineChars="0"/>
              <w:jc w:val="center"/>
              <w:rPr>
                <w:rFonts w:ascii="宋体" w:hAnsi="宋体" w:eastAsia="宋体" w:cs="宋体"/>
                <w:sz w:val="20"/>
                <w:szCs w:val="20"/>
              </w:rPr>
            </w:pPr>
            <w:r>
              <w:rPr>
                <w:rFonts w:hint="eastAsia" w:ascii="宋体" w:hAnsi="宋体" w:eastAsia="宋体" w:cs="宋体"/>
                <w:sz w:val="20"/>
                <w:szCs w:val="20"/>
              </w:rPr>
              <w:t>厕改电子档案有填写不完整和填写错误的现象</w:t>
            </w:r>
          </w:p>
        </w:tc>
      </w:tr>
      <w:tr>
        <w:tblPrEx>
          <w:tblCellMar>
            <w:top w:w="0" w:type="dxa"/>
            <w:left w:w="108" w:type="dxa"/>
            <w:bottom w:w="0" w:type="dxa"/>
            <w:right w:w="108" w:type="dxa"/>
          </w:tblCellMar>
        </w:tblPrEx>
        <w:trPr>
          <w:trHeight w:val="1095" w:hRule="atLeast"/>
        </w:trPr>
        <w:tc>
          <w:tcPr>
            <w:tcW w:w="616" w:type="dxa"/>
            <w:vMerge w:val="continue"/>
            <w:tcBorders>
              <w:top w:val="nil"/>
              <w:left w:val="single" w:color="auto" w:sz="4" w:space="0"/>
              <w:bottom w:val="nil"/>
              <w:right w:val="single" w:color="auto" w:sz="4" w:space="0"/>
            </w:tcBorders>
            <w:vAlign w:val="center"/>
          </w:tcPr>
          <w:p>
            <w:pPr>
              <w:adjustRightInd/>
              <w:snapToGrid/>
              <w:spacing w:after="0"/>
              <w:ind w:firstLine="0" w:firstLineChars="0"/>
              <w:rPr>
                <w:rFonts w:ascii="宋体" w:hAnsi="宋体" w:eastAsia="宋体" w:cs="宋体"/>
                <w:sz w:val="20"/>
                <w:szCs w:val="20"/>
              </w:rPr>
            </w:pPr>
          </w:p>
        </w:tc>
        <w:tc>
          <w:tcPr>
            <w:tcW w:w="616" w:type="dxa"/>
            <w:vMerge w:val="continue"/>
            <w:tcBorders>
              <w:top w:val="nil"/>
              <w:left w:val="single" w:color="auto" w:sz="4" w:space="0"/>
              <w:bottom w:val="single" w:color="000000" w:sz="4" w:space="0"/>
              <w:right w:val="single" w:color="auto" w:sz="4" w:space="0"/>
            </w:tcBorders>
            <w:vAlign w:val="center"/>
          </w:tcPr>
          <w:p>
            <w:pPr>
              <w:adjustRightInd/>
              <w:snapToGrid/>
              <w:spacing w:after="0"/>
              <w:ind w:firstLine="0" w:firstLineChars="0"/>
              <w:rPr>
                <w:rFonts w:ascii="宋体" w:hAnsi="宋体" w:eastAsia="宋体" w:cs="宋体"/>
                <w:sz w:val="20"/>
                <w:szCs w:val="20"/>
              </w:rPr>
            </w:pPr>
          </w:p>
        </w:tc>
        <w:tc>
          <w:tcPr>
            <w:tcW w:w="961" w:type="dxa"/>
            <w:tcBorders>
              <w:top w:val="nil"/>
              <w:left w:val="nil"/>
              <w:bottom w:val="single" w:color="auto" w:sz="4" w:space="0"/>
              <w:right w:val="single" w:color="auto" w:sz="4" w:space="0"/>
            </w:tcBorders>
            <w:shd w:val="clear" w:color="auto" w:fill="auto"/>
            <w:vAlign w:val="center"/>
          </w:tcPr>
          <w:p>
            <w:pPr>
              <w:adjustRightInd/>
              <w:snapToGrid/>
              <w:spacing w:after="0"/>
              <w:ind w:firstLine="0" w:firstLineChars="0"/>
              <w:jc w:val="center"/>
              <w:rPr>
                <w:rFonts w:ascii="宋体" w:hAnsi="宋体" w:eastAsia="宋体" w:cs="宋体"/>
                <w:sz w:val="20"/>
                <w:szCs w:val="20"/>
              </w:rPr>
            </w:pPr>
            <w:r>
              <w:rPr>
                <w:rFonts w:hint="eastAsia" w:ascii="宋体" w:hAnsi="宋体" w:eastAsia="宋体" w:cs="宋体"/>
                <w:sz w:val="20"/>
                <w:szCs w:val="20"/>
              </w:rPr>
              <w:t>制度有效性（4分）</w:t>
            </w:r>
          </w:p>
        </w:tc>
        <w:tc>
          <w:tcPr>
            <w:tcW w:w="2387" w:type="dxa"/>
            <w:tcBorders>
              <w:top w:val="nil"/>
              <w:left w:val="nil"/>
              <w:bottom w:val="single" w:color="auto" w:sz="4" w:space="0"/>
              <w:right w:val="single" w:color="auto" w:sz="4" w:space="0"/>
            </w:tcBorders>
            <w:shd w:val="clear" w:color="auto" w:fill="auto"/>
            <w:vAlign w:val="center"/>
          </w:tcPr>
          <w:p>
            <w:pPr>
              <w:adjustRightInd/>
              <w:snapToGrid/>
              <w:spacing w:after="0"/>
              <w:ind w:firstLine="0" w:firstLineChars="0"/>
              <w:jc w:val="center"/>
              <w:rPr>
                <w:rFonts w:ascii="宋体" w:hAnsi="宋体" w:eastAsia="宋体" w:cs="宋体"/>
                <w:sz w:val="20"/>
                <w:szCs w:val="20"/>
              </w:rPr>
            </w:pPr>
            <w:r>
              <w:rPr>
                <w:rFonts w:hint="eastAsia" w:ascii="宋体" w:hAnsi="宋体" w:eastAsia="宋体" w:cs="宋体"/>
                <w:sz w:val="20"/>
                <w:szCs w:val="20"/>
              </w:rPr>
              <w:t>项目是否依照制度实施、资金是否依照制度支付</w:t>
            </w:r>
          </w:p>
        </w:tc>
        <w:tc>
          <w:tcPr>
            <w:tcW w:w="1803" w:type="dxa"/>
            <w:tcBorders>
              <w:top w:val="nil"/>
              <w:left w:val="nil"/>
              <w:bottom w:val="single" w:color="auto" w:sz="4" w:space="0"/>
              <w:right w:val="single" w:color="auto" w:sz="4" w:space="0"/>
            </w:tcBorders>
            <w:shd w:val="clear" w:color="auto" w:fill="auto"/>
            <w:vAlign w:val="center"/>
          </w:tcPr>
          <w:p>
            <w:pPr>
              <w:adjustRightInd/>
              <w:snapToGrid/>
              <w:spacing w:after="0"/>
              <w:ind w:firstLine="0" w:firstLineChars="0"/>
              <w:jc w:val="center"/>
              <w:rPr>
                <w:rFonts w:ascii="宋体" w:hAnsi="宋体" w:eastAsia="宋体" w:cs="宋体"/>
                <w:sz w:val="20"/>
                <w:szCs w:val="20"/>
              </w:rPr>
            </w:pPr>
            <w:r>
              <w:rPr>
                <w:rFonts w:hint="eastAsia" w:ascii="宋体" w:hAnsi="宋体" w:eastAsia="宋体" w:cs="宋体"/>
                <w:sz w:val="20"/>
                <w:szCs w:val="20"/>
              </w:rPr>
              <w:t>资金使用是否专户管理（1分），资金支出审批是否合规（1分）政府采购手续是否齐全（1分），项目实施过程是否符合相关项目政策（1分）</w:t>
            </w:r>
          </w:p>
        </w:tc>
        <w:tc>
          <w:tcPr>
            <w:tcW w:w="716" w:type="dxa"/>
            <w:tcBorders>
              <w:top w:val="nil"/>
              <w:left w:val="nil"/>
              <w:bottom w:val="single" w:color="auto" w:sz="4" w:space="0"/>
              <w:right w:val="single" w:color="auto" w:sz="4" w:space="0"/>
            </w:tcBorders>
            <w:shd w:val="clear" w:color="auto" w:fill="auto"/>
            <w:vAlign w:val="center"/>
          </w:tcPr>
          <w:p>
            <w:pPr>
              <w:adjustRightInd/>
              <w:snapToGrid/>
              <w:spacing w:after="0"/>
              <w:ind w:firstLine="0" w:firstLineChars="0"/>
              <w:jc w:val="right"/>
              <w:rPr>
                <w:rFonts w:ascii="宋体" w:hAnsi="宋体" w:eastAsia="宋体" w:cs="宋体"/>
                <w:sz w:val="20"/>
                <w:szCs w:val="20"/>
              </w:rPr>
            </w:pPr>
            <w:r>
              <w:rPr>
                <w:rFonts w:hint="eastAsia" w:ascii="宋体" w:hAnsi="宋体" w:eastAsia="宋体" w:cs="宋体"/>
                <w:sz w:val="20"/>
                <w:szCs w:val="20"/>
              </w:rPr>
              <w:t>2</w:t>
            </w:r>
          </w:p>
        </w:tc>
        <w:tc>
          <w:tcPr>
            <w:tcW w:w="1423" w:type="dxa"/>
            <w:tcBorders>
              <w:top w:val="nil"/>
              <w:left w:val="nil"/>
              <w:bottom w:val="single" w:color="auto" w:sz="4" w:space="0"/>
              <w:right w:val="single" w:color="auto" w:sz="4" w:space="0"/>
            </w:tcBorders>
            <w:shd w:val="clear" w:color="auto" w:fill="auto"/>
            <w:vAlign w:val="center"/>
          </w:tcPr>
          <w:p>
            <w:pPr>
              <w:adjustRightInd/>
              <w:snapToGrid/>
              <w:spacing w:after="0"/>
              <w:ind w:firstLine="0" w:firstLineChars="0"/>
              <w:jc w:val="center"/>
              <w:rPr>
                <w:rFonts w:ascii="宋体" w:hAnsi="宋体" w:eastAsia="宋体" w:cs="宋体"/>
                <w:sz w:val="20"/>
                <w:szCs w:val="20"/>
              </w:rPr>
            </w:pPr>
            <w:r>
              <w:rPr>
                <w:rFonts w:hint="eastAsia" w:ascii="宋体" w:hAnsi="宋体" w:eastAsia="宋体" w:cs="宋体"/>
                <w:sz w:val="20"/>
                <w:szCs w:val="20"/>
              </w:rPr>
              <w:t>超范围支付专项资金，用于监理费和2019年使用设备；采用公开招标的采购方式，存在先施工后招标现象</w:t>
            </w:r>
          </w:p>
        </w:tc>
      </w:tr>
      <w:tr>
        <w:tblPrEx>
          <w:tblCellMar>
            <w:top w:w="0" w:type="dxa"/>
            <w:left w:w="108" w:type="dxa"/>
            <w:bottom w:w="0" w:type="dxa"/>
            <w:right w:w="108" w:type="dxa"/>
          </w:tblCellMar>
        </w:tblPrEx>
        <w:trPr>
          <w:trHeight w:val="645" w:hRule="atLeast"/>
        </w:trPr>
        <w:tc>
          <w:tcPr>
            <w:tcW w:w="616" w:type="dxa"/>
            <w:vMerge w:val="continue"/>
            <w:tcBorders>
              <w:top w:val="nil"/>
              <w:left w:val="single" w:color="auto" w:sz="4" w:space="0"/>
              <w:bottom w:val="nil"/>
              <w:right w:val="single" w:color="auto" w:sz="4" w:space="0"/>
            </w:tcBorders>
            <w:vAlign w:val="center"/>
          </w:tcPr>
          <w:p>
            <w:pPr>
              <w:adjustRightInd/>
              <w:snapToGrid/>
              <w:spacing w:after="0"/>
              <w:ind w:firstLine="0" w:firstLineChars="0"/>
              <w:rPr>
                <w:rFonts w:ascii="宋体" w:hAnsi="宋体" w:eastAsia="宋体" w:cs="宋体"/>
                <w:sz w:val="20"/>
                <w:szCs w:val="20"/>
              </w:rPr>
            </w:pPr>
          </w:p>
        </w:tc>
        <w:tc>
          <w:tcPr>
            <w:tcW w:w="616" w:type="dxa"/>
            <w:vMerge w:val="restart"/>
            <w:tcBorders>
              <w:top w:val="nil"/>
              <w:left w:val="single" w:color="auto" w:sz="4" w:space="0"/>
              <w:bottom w:val="nil"/>
              <w:right w:val="single" w:color="auto" w:sz="4" w:space="0"/>
            </w:tcBorders>
            <w:shd w:val="clear" w:color="auto" w:fill="auto"/>
            <w:vAlign w:val="center"/>
          </w:tcPr>
          <w:p>
            <w:pPr>
              <w:adjustRightInd/>
              <w:snapToGrid/>
              <w:spacing w:after="0"/>
              <w:ind w:firstLine="0" w:firstLineChars="0"/>
              <w:jc w:val="center"/>
              <w:rPr>
                <w:rFonts w:ascii="宋体" w:hAnsi="宋体" w:eastAsia="宋体" w:cs="宋体"/>
                <w:sz w:val="20"/>
                <w:szCs w:val="20"/>
              </w:rPr>
            </w:pPr>
            <w:r>
              <w:rPr>
                <w:rFonts w:hint="eastAsia" w:ascii="宋体" w:hAnsi="宋体" w:eastAsia="宋体" w:cs="宋体"/>
                <w:sz w:val="20"/>
                <w:szCs w:val="20"/>
              </w:rPr>
              <w:t>资金使用（16分）</w:t>
            </w:r>
          </w:p>
        </w:tc>
        <w:tc>
          <w:tcPr>
            <w:tcW w:w="961" w:type="dxa"/>
            <w:tcBorders>
              <w:top w:val="nil"/>
              <w:left w:val="nil"/>
              <w:bottom w:val="single" w:color="auto" w:sz="4" w:space="0"/>
              <w:right w:val="single" w:color="auto" w:sz="4" w:space="0"/>
            </w:tcBorders>
            <w:shd w:val="clear" w:color="auto" w:fill="auto"/>
            <w:vAlign w:val="center"/>
          </w:tcPr>
          <w:p>
            <w:pPr>
              <w:adjustRightInd/>
              <w:snapToGrid/>
              <w:spacing w:after="0"/>
              <w:ind w:firstLine="0" w:firstLineChars="0"/>
              <w:jc w:val="center"/>
              <w:rPr>
                <w:rFonts w:ascii="宋体" w:hAnsi="宋体" w:eastAsia="宋体" w:cs="宋体"/>
                <w:sz w:val="20"/>
                <w:szCs w:val="20"/>
              </w:rPr>
            </w:pPr>
            <w:r>
              <w:rPr>
                <w:rFonts w:hint="eastAsia" w:ascii="宋体" w:hAnsi="宋体" w:eastAsia="宋体" w:cs="宋体"/>
                <w:sz w:val="20"/>
                <w:szCs w:val="20"/>
              </w:rPr>
              <w:t>资金使用合规性（8分）</w:t>
            </w:r>
          </w:p>
        </w:tc>
        <w:tc>
          <w:tcPr>
            <w:tcW w:w="2387" w:type="dxa"/>
            <w:tcBorders>
              <w:top w:val="nil"/>
              <w:left w:val="nil"/>
              <w:bottom w:val="nil"/>
              <w:right w:val="nil"/>
            </w:tcBorders>
            <w:shd w:val="clear" w:color="auto" w:fill="auto"/>
            <w:vAlign w:val="center"/>
          </w:tcPr>
          <w:p>
            <w:pPr>
              <w:adjustRightInd/>
              <w:snapToGrid/>
              <w:spacing w:after="0"/>
              <w:ind w:firstLine="0" w:firstLineChars="0"/>
              <w:jc w:val="center"/>
              <w:rPr>
                <w:rFonts w:ascii="宋体" w:hAnsi="宋体" w:eastAsia="宋体" w:cs="宋体"/>
                <w:sz w:val="20"/>
                <w:szCs w:val="20"/>
              </w:rPr>
            </w:pPr>
            <w:r>
              <w:rPr>
                <w:rFonts w:hint="eastAsia" w:ascii="宋体" w:hAnsi="宋体" w:eastAsia="宋体" w:cs="宋体"/>
                <w:sz w:val="20"/>
                <w:szCs w:val="20"/>
              </w:rPr>
              <w:t>考核专项资金使用合规情况。资金使用合规率=（合规使用资金额/实际使用资金总额）*100%</w:t>
            </w:r>
          </w:p>
        </w:tc>
        <w:tc>
          <w:tcPr>
            <w:tcW w:w="1803" w:type="dxa"/>
            <w:tcBorders>
              <w:top w:val="nil"/>
              <w:left w:val="single" w:color="auto" w:sz="4" w:space="0"/>
              <w:bottom w:val="single" w:color="auto" w:sz="4" w:space="0"/>
              <w:right w:val="single" w:color="auto" w:sz="4" w:space="0"/>
            </w:tcBorders>
            <w:shd w:val="clear" w:color="auto" w:fill="auto"/>
            <w:vAlign w:val="center"/>
          </w:tcPr>
          <w:p>
            <w:pPr>
              <w:adjustRightInd/>
              <w:snapToGrid/>
              <w:spacing w:after="0"/>
              <w:ind w:firstLine="0" w:firstLineChars="0"/>
              <w:jc w:val="center"/>
              <w:rPr>
                <w:rFonts w:ascii="宋体" w:hAnsi="宋体" w:eastAsia="宋体" w:cs="宋体"/>
                <w:sz w:val="20"/>
                <w:szCs w:val="20"/>
              </w:rPr>
            </w:pPr>
            <w:r>
              <w:rPr>
                <w:rFonts w:hint="eastAsia" w:ascii="宋体" w:hAnsi="宋体" w:eastAsia="宋体" w:cs="宋体"/>
                <w:sz w:val="20"/>
                <w:szCs w:val="20"/>
              </w:rPr>
              <w:t>无截留、挤占、挪用、不合规使用资金等情况，按照使用合规率*8分</w:t>
            </w:r>
          </w:p>
        </w:tc>
        <w:tc>
          <w:tcPr>
            <w:tcW w:w="716" w:type="dxa"/>
            <w:tcBorders>
              <w:top w:val="nil"/>
              <w:left w:val="nil"/>
              <w:bottom w:val="single" w:color="auto" w:sz="4" w:space="0"/>
              <w:right w:val="single" w:color="auto" w:sz="4" w:space="0"/>
            </w:tcBorders>
            <w:shd w:val="clear" w:color="auto" w:fill="auto"/>
            <w:vAlign w:val="center"/>
          </w:tcPr>
          <w:p>
            <w:pPr>
              <w:adjustRightInd/>
              <w:snapToGrid/>
              <w:spacing w:after="0"/>
              <w:ind w:firstLine="0" w:firstLineChars="0"/>
              <w:jc w:val="right"/>
              <w:rPr>
                <w:rFonts w:ascii="宋体" w:hAnsi="宋体" w:eastAsia="宋体" w:cs="宋体"/>
                <w:sz w:val="20"/>
                <w:szCs w:val="20"/>
              </w:rPr>
            </w:pPr>
            <w:r>
              <w:rPr>
                <w:rFonts w:hint="eastAsia" w:ascii="宋体" w:hAnsi="宋体" w:eastAsia="宋体" w:cs="宋体"/>
                <w:sz w:val="20"/>
                <w:szCs w:val="20"/>
              </w:rPr>
              <w:t>7.74</w:t>
            </w:r>
          </w:p>
        </w:tc>
        <w:tc>
          <w:tcPr>
            <w:tcW w:w="1423" w:type="dxa"/>
            <w:tcBorders>
              <w:top w:val="nil"/>
              <w:left w:val="nil"/>
              <w:bottom w:val="single" w:color="auto" w:sz="4" w:space="0"/>
              <w:right w:val="single" w:color="auto" w:sz="4" w:space="0"/>
            </w:tcBorders>
            <w:shd w:val="clear" w:color="auto" w:fill="auto"/>
            <w:vAlign w:val="center"/>
          </w:tcPr>
          <w:p>
            <w:pPr>
              <w:adjustRightInd/>
              <w:snapToGrid/>
              <w:spacing w:after="0"/>
              <w:ind w:firstLine="0" w:firstLineChars="0"/>
              <w:jc w:val="center"/>
              <w:rPr>
                <w:rFonts w:ascii="宋体" w:hAnsi="宋体" w:eastAsia="宋体" w:cs="宋体"/>
                <w:sz w:val="20"/>
                <w:szCs w:val="20"/>
              </w:rPr>
            </w:pPr>
            <w:r>
              <w:rPr>
                <w:rFonts w:hint="eastAsia" w:ascii="宋体" w:hAnsi="宋体" w:eastAsia="宋体" w:cs="宋体"/>
                <w:sz w:val="20"/>
                <w:szCs w:val="20"/>
              </w:rPr>
              <w:t>合规支付资金=21349347.24元，实际支出资金=22066732.24元</w:t>
            </w:r>
          </w:p>
        </w:tc>
      </w:tr>
      <w:tr>
        <w:tblPrEx>
          <w:tblCellMar>
            <w:top w:w="0" w:type="dxa"/>
            <w:left w:w="108" w:type="dxa"/>
            <w:bottom w:w="0" w:type="dxa"/>
            <w:right w:w="108" w:type="dxa"/>
          </w:tblCellMar>
        </w:tblPrEx>
        <w:trPr>
          <w:trHeight w:val="645" w:hRule="atLeast"/>
        </w:trPr>
        <w:tc>
          <w:tcPr>
            <w:tcW w:w="616" w:type="dxa"/>
            <w:vMerge w:val="continue"/>
            <w:tcBorders>
              <w:top w:val="nil"/>
              <w:left w:val="single" w:color="auto" w:sz="4" w:space="0"/>
              <w:bottom w:val="nil"/>
              <w:right w:val="single" w:color="auto" w:sz="4" w:space="0"/>
            </w:tcBorders>
            <w:vAlign w:val="center"/>
          </w:tcPr>
          <w:p>
            <w:pPr>
              <w:adjustRightInd/>
              <w:snapToGrid/>
              <w:spacing w:after="0"/>
              <w:ind w:firstLine="0" w:firstLineChars="0"/>
              <w:rPr>
                <w:rFonts w:ascii="宋体" w:hAnsi="宋体" w:eastAsia="宋体" w:cs="宋体"/>
                <w:sz w:val="20"/>
                <w:szCs w:val="20"/>
              </w:rPr>
            </w:pPr>
          </w:p>
        </w:tc>
        <w:tc>
          <w:tcPr>
            <w:tcW w:w="616" w:type="dxa"/>
            <w:vMerge w:val="continue"/>
            <w:tcBorders>
              <w:top w:val="nil"/>
              <w:left w:val="single" w:color="auto" w:sz="4" w:space="0"/>
              <w:bottom w:val="nil"/>
              <w:right w:val="single" w:color="auto" w:sz="4" w:space="0"/>
            </w:tcBorders>
            <w:vAlign w:val="center"/>
          </w:tcPr>
          <w:p>
            <w:pPr>
              <w:adjustRightInd/>
              <w:snapToGrid/>
              <w:spacing w:after="0"/>
              <w:ind w:firstLine="0" w:firstLineChars="0"/>
              <w:rPr>
                <w:rFonts w:ascii="宋体" w:hAnsi="宋体" w:eastAsia="宋体" w:cs="宋体"/>
                <w:sz w:val="20"/>
                <w:szCs w:val="20"/>
              </w:rPr>
            </w:pPr>
          </w:p>
        </w:tc>
        <w:tc>
          <w:tcPr>
            <w:tcW w:w="961" w:type="dxa"/>
            <w:tcBorders>
              <w:top w:val="nil"/>
              <w:left w:val="nil"/>
              <w:bottom w:val="single" w:color="auto" w:sz="4" w:space="0"/>
              <w:right w:val="single" w:color="auto" w:sz="4" w:space="0"/>
            </w:tcBorders>
            <w:shd w:val="clear" w:color="auto" w:fill="auto"/>
            <w:vAlign w:val="center"/>
          </w:tcPr>
          <w:p>
            <w:pPr>
              <w:adjustRightInd/>
              <w:snapToGrid/>
              <w:spacing w:after="0"/>
              <w:ind w:firstLine="0" w:firstLineChars="0"/>
              <w:jc w:val="center"/>
              <w:rPr>
                <w:rFonts w:ascii="宋体" w:hAnsi="宋体" w:eastAsia="宋体" w:cs="宋体"/>
                <w:sz w:val="20"/>
                <w:szCs w:val="20"/>
              </w:rPr>
            </w:pPr>
            <w:r>
              <w:rPr>
                <w:rFonts w:hint="eastAsia" w:ascii="宋体" w:hAnsi="宋体" w:eastAsia="宋体" w:cs="宋体"/>
                <w:sz w:val="20"/>
                <w:szCs w:val="20"/>
              </w:rPr>
              <w:t>资金到位率（8分）</w:t>
            </w:r>
          </w:p>
        </w:tc>
        <w:tc>
          <w:tcPr>
            <w:tcW w:w="2387" w:type="dxa"/>
            <w:tcBorders>
              <w:top w:val="single" w:color="auto" w:sz="4" w:space="0"/>
              <w:left w:val="nil"/>
              <w:bottom w:val="single" w:color="auto" w:sz="4" w:space="0"/>
              <w:right w:val="single" w:color="auto" w:sz="4" w:space="0"/>
            </w:tcBorders>
            <w:shd w:val="clear" w:color="auto" w:fill="auto"/>
            <w:vAlign w:val="center"/>
          </w:tcPr>
          <w:p>
            <w:pPr>
              <w:adjustRightInd/>
              <w:snapToGrid/>
              <w:spacing w:after="0"/>
              <w:ind w:firstLine="0" w:firstLineChars="0"/>
              <w:jc w:val="center"/>
              <w:rPr>
                <w:rFonts w:ascii="宋体" w:hAnsi="宋体" w:eastAsia="宋体" w:cs="宋体"/>
                <w:sz w:val="20"/>
                <w:szCs w:val="20"/>
              </w:rPr>
            </w:pPr>
            <w:r>
              <w:rPr>
                <w:rFonts w:hint="eastAsia" w:ascii="宋体" w:hAnsi="宋体" w:eastAsia="宋体" w:cs="宋体"/>
                <w:sz w:val="20"/>
                <w:szCs w:val="20"/>
              </w:rPr>
              <w:t>考核市、县两级专项资金发放是否及时足额发放，资金发放率=（实际发放数/计划发放数）*100%</w:t>
            </w:r>
          </w:p>
        </w:tc>
        <w:tc>
          <w:tcPr>
            <w:tcW w:w="1803" w:type="dxa"/>
            <w:tcBorders>
              <w:top w:val="nil"/>
              <w:left w:val="nil"/>
              <w:bottom w:val="single" w:color="auto" w:sz="4" w:space="0"/>
              <w:right w:val="single" w:color="auto" w:sz="4" w:space="0"/>
            </w:tcBorders>
            <w:shd w:val="clear" w:color="auto" w:fill="auto"/>
            <w:vAlign w:val="center"/>
          </w:tcPr>
          <w:p>
            <w:pPr>
              <w:adjustRightInd/>
              <w:snapToGrid/>
              <w:spacing w:after="0"/>
              <w:ind w:firstLine="0" w:firstLineChars="0"/>
              <w:jc w:val="center"/>
              <w:rPr>
                <w:rFonts w:ascii="宋体" w:hAnsi="宋体" w:eastAsia="宋体" w:cs="宋体"/>
                <w:sz w:val="20"/>
                <w:szCs w:val="20"/>
              </w:rPr>
            </w:pPr>
            <w:r>
              <w:rPr>
                <w:rFonts w:hint="eastAsia" w:ascii="宋体" w:hAnsi="宋体" w:eastAsia="宋体" w:cs="宋体"/>
                <w:sz w:val="20"/>
                <w:szCs w:val="20"/>
              </w:rPr>
              <w:t>得分=资金到位率*8分</w:t>
            </w:r>
          </w:p>
        </w:tc>
        <w:tc>
          <w:tcPr>
            <w:tcW w:w="716" w:type="dxa"/>
            <w:tcBorders>
              <w:top w:val="nil"/>
              <w:left w:val="nil"/>
              <w:bottom w:val="single" w:color="auto" w:sz="4" w:space="0"/>
              <w:right w:val="single" w:color="auto" w:sz="4" w:space="0"/>
            </w:tcBorders>
            <w:shd w:val="clear" w:color="auto" w:fill="auto"/>
            <w:vAlign w:val="center"/>
          </w:tcPr>
          <w:p>
            <w:pPr>
              <w:adjustRightInd/>
              <w:snapToGrid/>
              <w:spacing w:after="0"/>
              <w:ind w:firstLine="0" w:firstLineChars="0"/>
              <w:rPr>
                <w:rFonts w:ascii="宋体" w:hAnsi="宋体" w:eastAsia="宋体" w:cs="宋体"/>
                <w:sz w:val="20"/>
                <w:szCs w:val="20"/>
              </w:rPr>
            </w:pPr>
            <w:r>
              <w:rPr>
                <w:rFonts w:hint="eastAsia" w:ascii="宋体" w:hAnsi="宋体" w:eastAsia="宋体" w:cs="宋体"/>
                <w:sz w:val="20"/>
                <w:szCs w:val="20"/>
              </w:rPr>
              <w:t xml:space="preserve">    7.87 </w:t>
            </w:r>
          </w:p>
        </w:tc>
        <w:tc>
          <w:tcPr>
            <w:tcW w:w="1423" w:type="dxa"/>
            <w:tcBorders>
              <w:top w:val="nil"/>
              <w:left w:val="nil"/>
              <w:bottom w:val="single" w:color="auto" w:sz="4" w:space="0"/>
              <w:right w:val="single" w:color="auto" w:sz="4" w:space="0"/>
            </w:tcBorders>
            <w:shd w:val="clear" w:color="auto" w:fill="auto"/>
            <w:vAlign w:val="center"/>
          </w:tcPr>
          <w:p>
            <w:pPr>
              <w:adjustRightInd/>
              <w:snapToGrid/>
              <w:spacing w:after="0"/>
              <w:ind w:firstLine="0" w:firstLineChars="0"/>
              <w:jc w:val="center"/>
              <w:rPr>
                <w:rFonts w:ascii="宋体" w:hAnsi="宋体" w:eastAsia="宋体" w:cs="宋体"/>
                <w:sz w:val="20"/>
                <w:szCs w:val="20"/>
              </w:rPr>
            </w:pPr>
            <w:r>
              <w:rPr>
                <w:rFonts w:hint="eastAsia" w:ascii="宋体" w:hAnsi="宋体" w:eastAsia="宋体" w:cs="宋体"/>
                <w:sz w:val="20"/>
                <w:szCs w:val="20"/>
              </w:rPr>
              <w:t>实际发放数=24901300元，计划发放数=25327000元</w:t>
            </w:r>
          </w:p>
        </w:tc>
      </w:tr>
      <w:tr>
        <w:tblPrEx>
          <w:tblCellMar>
            <w:top w:w="0" w:type="dxa"/>
            <w:left w:w="108" w:type="dxa"/>
            <w:bottom w:w="0" w:type="dxa"/>
            <w:right w:w="108" w:type="dxa"/>
          </w:tblCellMar>
        </w:tblPrEx>
        <w:trPr>
          <w:trHeight w:val="645" w:hRule="atLeast"/>
        </w:trPr>
        <w:tc>
          <w:tcPr>
            <w:tcW w:w="616" w:type="dxa"/>
            <w:vMerge w:val="restart"/>
            <w:tcBorders>
              <w:top w:val="single" w:color="auto" w:sz="4" w:space="0"/>
              <w:left w:val="single" w:color="auto" w:sz="4" w:space="0"/>
              <w:bottom w:val="single" w:color="000000" w:sz="4" w:space="0"/>
              <w:right w:val="single" w:color="auto" w:sz="4" w:space="0"/>
            </w:tcBorders>
            <w:shd w:val="clear" w:color="auto" w:fill="auto"/>
            <w:vAlign w:val="center"/>
          </w:tcPr>
          <w:p>
            <w:pPr>
              <w:adjustRightInd/>
              <w:snapToGrid/>
              <w:spacing w:after="0"/>
              <w:ind w:firstLine="0" w:firstLineChars="0"/>
              <w:jc w:val="center"/>
              <w:rPr>
                <w:rFonts w:ascii="宋体" w:hAnsi="宋体" w:eastAsia="宋体" w:cs="宋体"/>
                <w:sz w:val="20"/>
                <w:szCs w:val="20"/>
              </w:rPr>
            </w:pPr>
            <w:r>
              <w:rPr>
                <w:rFonts w:hint="eastAsia" w:ascii="宋体" w:hAnsi="宋体" w:eastAsia="宋体" w:cs="宋体"/>
                <w:sz w:val="20"/>
                <w:szCs w:val="20"/>
              </w:rPr>
              <w:t>效益指标（30分）</w:t>
            </w:r>
          </w:p>
        </w:tc>
        <w:tc>
          <w:tcPr>
            <w:tcW w:w="616" w:type="dxa"/>
            <w:tcBorders>
              <w:top w:val="single" w:color="auto" w:sz="4" w:space="0"/>
              <w:left w:val="nil"/>
              <w:bottom w:val="single" w:color="auto" w:sz="4" w:space="0"/>
              <w:right w:val="single" w:color="auto" w:sz="4" w:space="0"/>
            </w:tcBorders>
            <w:shd w:val="clear" w:color="auto" w:fill="auto"/>
            <w:vAlign w:val="center"/>
          </w:tcPr>
          <w:p>
            <w:pPr>
              <w:adjustRightInd/>
              <w:snapToGrid/>
              <w:spacing w:after="0"/>
              <w:ind w:firstLine="0" w:firstLineChars="0"/>
              <w:jc w:val="center"/>
              <w:rPr>
                <w:rFonts w:ascii="宋体" w:hAnsi="宋体" w:eastAsia="宋体" w:cs="宋体"/>
                <w:sz w:val="20"/>
                <w:szCs w:val="20"/>
              </w:rPr>
            </w:pPr>
            <w:r>
              <w:rPr>
                <w:rFonts w:hint="eastAsia" w:ascii="宋体" w:hAnsi="宋体" w:eastAsia="宋体" w:cs="宋体"/>
                <w:sz w:val="20"/>
                <w:szCs w:val="20"/>
              </w:rPr>
              <w:t>生态效益（10分）</w:t>
            </w:r>
          </w:p>
        </w:tc>
        <w:tc>
          <w:tcPr>
            <w:tcW w:w="961" w:type="dxa"/>
            <w:tcBorders>
              <w:top w:val="nil"/>
              <w:left w:val="nil"/>
              <w:bottom w:val="single" w:color="auto" w:sz="4" w:space="0"/>
              <w:right w:val="single" w:color="auto" w:sz="4" w:space="0"/>
            </w:tcBorders>
            <w:shd w:val="clear" w:color="auto" w:fill="auto"/>
            <w:vAlign w:val="center"/>
          </w:tcPr>
          <w:p>
            <w:pPr>
              <w:adjustRightInd/>
              <w:snapToGrid/>
              <w:spacing w:after="0"/>
              <w:ind w:firstLine="0" w:firstLineChars="0"/>
              <w:jc w:val="center"/>
              <w:rPr>
                <w:rFonts w:ascii="宋体" w:hAnsi="宋体" w:eastAsia="宋体" w:cs="宋体"/>
                <w:sz w:val="20"/>
                <w:szCs w:val="20"/>
              </w:rPr>
            </w:pPr>
            <w:r>
              <w:rPr>
                <w:rFonts w:hint="eastAsia" w:ascii="宋体" w:hAnsi="宋体" w:eastAsia="宋体" w:cs="宋体"/>
                <w:sz w:val="20"/>
                <w:szCs w:val="20"/>
              </w:rPr>
              <w:t>生态效益（10分）</w:t>
            </w:r>
          </w:p>
        </w:tc>
        <w:tc>
          <w:tcPr>
            <w:tcW w:w="2387" w:type="dxa"/>
            <w:tcBorders>
              <w:top w:val="nil"/>
              <w:left w:val="nil"/>
              <w:bottom w:val="single" w:color="auto" w:sz="4" w:space="0"/>
              <w:right w:val="single" w:color="auto" w:sz="4" w:space="0"/>
            </w:tcBorders>
            <w:shd w:val="clear" w:color="auto" w:fill="auto"/>
            <w:vAlign w:val="center"/>
          </w:tcPr>
          <w:p>
            <w:pPr>
              <w:adjustRightInd/>
              <w:snapToGrid/>
              <w:spacing w:after="0"/>
              <w:ind w:firstLine="0" w:firstLineChars="0"/>
              <w:jc w:val="center"/>
              <w:rPr>
                <w:rFonts w:ascii="宋体" w:hAnsi="宋体" w:eastAsia="宋体" w:cs="宋体"/>
                <w:sz w:val="20"/>
                <w:szCs w:val="20"/>
              </w:rPr>
            </w:pPr>
            <w:r>
              <w:rPr>
                <w:rFonts w:hint="eastAsia" w:ascii="宋体" w:hAnsi="宋体" w:eastAsia="宋体" w:cs="宋体"/>
                <w:sz w:val="20"/>
                <w:szCs w:val="20"/>
              </w:rPr>
              <w:t>是否对乡村环境改善产生积极影响</w:t>
            </w:r>
          </w:p>
        </w:tc>
        <w:tc>
          <w:tcPr>
            <w:tcW w:w="1803" w:type="dxa"/>
            <w:tcBorders>
              <w:top w:val="nil"/>
              <w:left w:val="nil"/>
              <w:bottom w:val="single" w:color="auto" w:sz="4" w:space="0"/>
              <w:right w:val="single" w:color="auto" w:sz="4" w:space="0"/>
            </w:tcBorders>
            <w:shd w:val="clear" w:color="auto" w:fill="auto"/>
            <w:vAlign w:val="center"/>
          </w:tcPr>
          <w:p>
            <w:pPr>
              <w:adjustRightInd/>
              <w:snapToGrid/>
              <w:spacing w:after="0"/>
              <w:ind w:firstLine="0" w:firstLineChars="0"/>
              <w:jc w:val="center"/>
              <w:rPr>
                <w:rFonts w:ascii="宋体" w:hAnsi="宋体" w:eastAsia="宋体" w:cs="宋体"/>
                <w:sz w:val="20"/>
                <w:szCs w:val="20"/>
              </w:rPr>
            </w:pPr>
            <w:r>
              <w:rPr>
                <w:rFonts w:hint="eastAsia" w:ascii="宋体" w:hAnsi="宋体" w:eastAsia="宋体" w:cs="宋体"/>
                <w:sz w:val="20"/>
                <w:szCs w:val="20"/>
              </w:rPr>
              <w:t>村容村貌得到提升，环境污染得到减少</w:t>
            </w:r>
          </w:p>
        </w:tc>
        <w:tc>
          <w:tcPr>
            <w:tcW w:w="716" w:type="dxa"/>
            <w:tcBorders>
              <w:top w:val="nil"/>
              <w:left w:val="nil"/>
              <w:bottom w:val="single" w:color="auto" w:sz="4" w:space="0"/>
              <w:right w:val="single" w:color="auto" w:sz="4" w:space="0"/>
            </w:tcBorders>
            <w:shd w:val="clear" w:color="auto" w:fill="auto"/>
            <w:vAlign w:val="center"/>
          </w:tcPr>
          <w:p>
            <w:pPr>
              <w:adjustRightInd/>
              <w:snapToGrid/>
              <w:spacing w:after="0"/>
              <w:ind w:firstLine="0" w:firstLineChars="0"/>
              <w:jc w:val="right"/>
              <w:rPr>
                <w:rFonts w:ascii="宋体" w:hAnsi="宋体" w:eastAsia="宋体" w:cs="宋体"/>
                <w:sz w:val="20"/>
                <w:szCs w:val="20"/>
              </w:rPr>
            </w:pPr>
            <w:r>
              <w:rPr>
                <w:rFonts w:hint="eastAsia" w:ascii="宋体" w:hAnsi="宋体" w:eastAsia="宋体" w:cs="宋体"/>
                <w:sz w:val="20"/>
                <w:szCs w:val="20"/>
              </w:rPr>
              <w:t>10</w:t>
            </w:r>
          </w:p>
        </w:tc>
        <w:tc>
          <w:tcPr>
            <w:tcW w:w="1423" w:type="dxa"/>
            <w:tcBorders>
              <w:top w:val="nil"/>
              <w:left w:val="nil"/>
              <w:bottom w:val="single" w:color="auto" w:sz="4" w:space="0"/>
              <w:right w:val="single" w:color="auto" w:sz="4" w:space="0"/>
            </w:tcBorders>
            <w:shd w:val="clear" w:color="auto" w:fill="auto"/>
            <w:vAlign w:val="center"/>
          </w:tcPr>
          <w:p>
            <w:pPr>
              <w:adjustRightInd/>
              <w:snapToGrid/>
              <w:spacing w:after="0"/>
              <w:ind w:firstLine="0" w:firstLineChars="0"/>
              <w:jc w:val="center"/>
              <w:rPr>
                <w:rFonts w:ascii="宋体" w:hAnsi="宋体" w:eastAsia="宋体" w:cs="宋体"/>
                <w:sz w:val="20"/>
                <w:szCs w:val="20"/>
              </w:rPr>
            </w:pPr>
            <w:r>
              <w:rPr>
                <w:rFonts w:hint="eastAsia" w:ascii="宋体" w:hAnsi="宋体" w:eastAsia="宋体" w:cs="宋体"/>
                <w:sz w:val="20"/>
                <w:szCs w:val="20"/>
              </w:rPr>
              <w:t>　</w:t>
            </w:r>
          </w:p>
        </w:tc>
      </w:tr>
      <w:tr>
        <w:tblPrEx>
          <w:tblCellMar>
            <w:top w:w="0" w:type="dxa"/>
            <w:left w:w="108" w:type="dxa"/>
            <w:bottom w:w="0" w:type="dxa"/>
            <w:right w:w="108" w:type="dxa"/>
          </w:tblCellMar>
        </w:tblPrEx>
        <w:trPr>
          <w:trHeight w:val="690" w:hRule="atLeast"/>
        </w:trPr>
        <w:tc>
          <w:tcPr>
            <w:tcW w:w="616" w:type="dxa"/>
            <w:vMerge w:val="continue"/>
            <w:tcBorders>
              <w:top w:val="single" w:color="auto" w:sz="4" w:space="0"/>
              <w:left w:val="single" w:color="auto" w:sz="4" w:space="0"/>
              <w:bottom w:val="single" w:color="000000" w:sz="4" w:space="0"/>
              <w:right w:val="single" w:color="auto" w:sz="4" w:space="0"/>
            </w:tcBorders>
            <w:vAlign w:val="center"/>
          </w:tcPr>
          <w:p>
            <w:pPr>
              <w:adjustRightInd/>
              <w:snapToGrid/>
              <w:spacing w:after="0"/>
              <w:ind w:firstLine="0" w:firstLineChars="0"/>
              <w:rPr>
                <w:rFonts w:ascii="宋体" w:hAnsi="宋体" w:eastAsia="宋体" w:cs="宋体"/>
                <w:sz w:val="20"/>
                <w:szCs w:val="20"/>
              </w:rPr>
            </w:pPr>
          </w:p>
        </w:tc>
        <w:tc>
          <w:tcPr>
            <w:tcW w:w="616" w:type="dxa"/>
            <w:tcBorders>
              <w:top w:val="nil"/>
              <w:left w:val="nil"/>
              <w:bottom w:val="single" w:color="auto" w:sz="4" w:space="0"/>
              <w:right w:val="single" w:color="auto" w:sz="4" w:space="0"/>
            </w:tcBorders>
            <w:shd w:val="clear" w:color="auto" w:fill="auto"/>
            <w:vAlign w:val="center"/>
          </w:tcPr>
          <w:p>
            <w:pPr>
              <w:adjustRightInd/>
              <w:snapToGrid/>
              <w:spacing w:after="0"/>
              <w:ind w:firstLine="0" w:firstLineChars="0"/>
              <w:jc w:val="center"/>
              <w:rPr>
                <w:rFonts w:ascii="宋体" w:hAnsi="宋体" w:eastAsia="宋体" w:cs="宋体"/>
                <w:sz w:val="20"/>
                <w:szCs w:val="20"/>
              </w:rPr>
            </w:pPr>
            <w:r>
              <w:rPr>
                <w:rFonts w:hint="eastAsia" w:ascii="宋体" w:hAnsi="宋体" w:eastAsia="宋体" w:cs="宋体"/>
                <w:sz w:val="20"/>
                <w:szCs w:val="20"/>
              </w:rPr>
              <w:t>社会效益(10分）</w:t>
            </w:r>
          </w:p>
        </w:tc>
        <w:tc>
          <w:tcPr>
            <w:tcW w:w="961" w:type="dxa"/>
            <w:tcBorders>
              <w:top w:val="nil"/>
              <w:left w:val="nil"/>
              <w:bottom w:val="single" w:color="auto" w:sz="4" w:space="0"/>
              <w:right w:val="single" w:color="auto" w:sz="4" w:space="0"/>
            </w:tcBorders>
            <w:shd w:val="clear" w:color="auto" w:fill="auto"/>
            <w:vAlign w:val="center"/>
          </w:tcPr>
          <w:p>
            <w:pPr>
              <w:adjustRightInd/>
              <w:snapToGrid/>
              <w:spacing w:after="0"/>
              <w:ind w:firstLine="0" w:firstLineChars="0"/>
              <w:jc w:val="center"/>
              <w:rPr>
                <w:rFonts w:ascii="宋体" w:hAnsi="宋体" w:eastAsia="宋体" w:cs="宋体"/>
                <w:sz w:val="20"/>
                <w:szCs w:val="20"/>
              </w:rPr>
            </w:pPr>
            <w:r>
              <w:rPr>
                <w:rFonts w:hint="eastAsia" w:ascii="宋体" w:hAnsi="宋体" w:eastAsia="宋体" w:cs="宋体"/>
                <w:sz w:val="20"/>
                <w:szCs w:val="20"/>
              </w:rPr>
              <w:t>社会效益(10分）</w:t>
            </w:r>
          </w:p>
        </w:tc>
        <w:tc>
          <w:tcPr>
            <w:tcW w:w="2387" w:type="dxa"/>
            <w:tcBorders>
              <w:top w:val="nil"/>
              <w:left w:val="nil"/>
              <w:bottom w:val="single" w:color="auto" w:sz="4" w:space="0"/>
              <w:right w:val="single" w:color="auto" w:sz="4" w:space="0"/>
            </w:tcBorders>
            <w:shd w:val="clear" w:color="auto" w:fill="auto"/>
            <w:vAlign w:val="center"/>
          </w:tcPr>
          <w:p>
            <w:pPr>
              <w:adjustRightInd/>
              <w:snapToGrid/>
              <w:spacing w:after="0"/>
              <w:ind w:firstLine="0" w:firstLineChars="0"/>
              <w:jc w:val="center"/>
              <w:rPr>
                <w:rFonts w:ascii="宋体" w:hAnsi="宋体" w:eastAsia="宋体" w:cs="宋体"/>
                <w:sz w:val="20"/>
                <w:szCs w:val="20"/>
              </w:rPr>
            </w:pPr>
            <w:r>
              <w:rPr>
                <w:rFonts w:hint="eastAsia" w:ascii="宋体" w:hAnsi="宋体" w:eastAsia="宋体" w:cs="宋体"/>
                <w:sz w:val="20"/>
                <w:szCs w:val="20"/>
              </w:rPr>
              <w:t>是否提高政府公信力</w:t>
            </w:r>
          </w:p>
        </w:tc>
        <w:tc>
          <w:tcPr>
            <w:tcW w:w="1803" w:type="dxa"/>
            <w:tcBorders>
              <w:top w:val="nil"/>
              <w:left w:val="nil"/>
              <w:bottom w:val="single" w:color="auto" w:sz="4" w:space="0"/>
              <w:right w:val="single" w:color="auto" w:sz="4" w:space="0"/>
            </w:tcBorders>
            <w:shd w:val="clear" w:color="auto" w:fill="auto"/>
            <w:vAlign w:val="center"/>
          </w:tcPr>
          <w:p>
            <w:pPr>
              <w:adjustRightInd/>
              <w:snapToGrid/>
              <w:spacing w:after="0"/>
              <w:ind w:firstLine="0" w:firstLineChars="0"/>
              <w:jc w:val="center"/>
              <w:rPr>
                <w:rFonts w:ascii="宋体" w:hAnsi="宋体" w:eastAsia="宋体" w:cs="宋体"/>
                <w:sz w:val="20"/>
                <w:szCs w:val="20"/>
              </w:rPr>
            </w:pPr>
            <w:r>
              <w:rPr>
                <w:rFonts w:hint="eastAsia" w:ascii="宋体" w:hAnsi="宋体" w:eastAsia="宋体" w:cs="宋体"/>
                <w:sz w:val="20"/>
                <w:szCs w:val="20"/>
              </w:rPr>
              <w:t>政府公信力得到提升</w:t>
            </w:r>
          </w:p>
        </w:tc>
        <w:tc>
          <w:tcPr>
            <w:tcW w:w="716" w:type="dxa"/>
            <w:tcBorders>
              <w:top w:val="nil"/>
              <w:left w:val="nil"/>
              <w:bottom w:val="single" w:color="auto" w:sz="4" w:space="0"/>
              <w:right w:val="single" w:color="auto" w:sz="4" w:space="0"/>
            </w:tcBorders>
            <w:shd w:val="clear" w:color="auto" w:fill="auto"/>
            <w:vAlign w:val="center"/>
          </w:tcPr>
          <w:p>
            <w:pPr>
              <w:adjustRightInd/>
              <w:snapToGrid/>
              <w:spacing w:after="0"/>
              <w:ind w:firstLine="0" w:firstLineChars="0"/>
              <w:jc w:val="right"/>
              <w:rPr>
                <w:rFonts w:ascii="宋体" w:hAnsi="宋体" w:eastAsia="宋体" w:cs="宋体"/>
                <w:sz w:val="20"/>
                <w:szCs w:val="20"/>
              </w:rPr>
            </w:pPr>
            <w:r>
              <w:rPr>
                <w:rFonts w:hint="eastAsia" w:ascii="宋体" w:hAnsi="宋体" w:eastAsia="宋体" w:cs="宋体"/>
                <w:sz w:val="20"/>
                <w:szCs w:val="20"/>
              </w:rPr>
              <w:t>10</w:t>
            </w:r>
          </w:p>
        </w:tc>
        <w:tc>
          <w:tcPr>
            <w:tcW w:w="1423" w:type="dxa"/>
            <w:tcBorders>
              <w:top w:val="nil"/>
              <w:left w:val="nil"/>
              <w:bottom w:val="single" w:color="auto" w:sz="4" w:space="0"/>
              <w:right w:val="single" w:color="auto" w:sz="4" w:space="0"/>
            </w:tcBorders>
            <w:shd w:val="clear" w:color="auto" w:fill="auto"/>
            <w:vAlign w:val="center"/>
          </w:tcPr>
          <w:p>
            <w:pPr>
              <w:adjustRightInd/>
              <w:snapToGrid/>
              <w:spacing w:after="0"/>
              <w:ind w:firstLine="0" w:firstLineChars="0"/>
              <w:jc w:val="center"/>
              <w:rPr>
                <w:rFonts w:ascii="宋体" w:hAnsi="宋体" w:eastAsia="宋体" w:cs="宋体"/>
                <w:sz w:val="20"/>
                <w:szCs w:val="20"/>
              </w:rPr>
            </w:pPr>
            <w:r>
              <w:rPr>
                <w:rFonts w:hint="eastAsia" w:ascii="宋体" w:hAnsi="宋体" w:eastAsia="宋体" w:cs="宋体"/>
                <w:sz w:val="20"/>
                <w:szCs w:val="20"/>
              </w:rPr>
              <w:t>　</w:t>
            </w:r>
          </w:p>
        </w:tc>
      </w:tr>
      <w:tr>
        <w:tblPrEx>
          <w:tblCellMar>
            <w:top w:w="0" w:type="dxa"/>
            <w:left w:w="108" w:type="dxa"/>
            <w:bottom w:w="0" w:type="dxa"/>
            <w:right w:w="108" w:type="dxa"/>
          </w:tblCellMar>
        </w:tblPrEx>
        <w:trPr>
          <w:trHeight w:val="645" w:hRule="atLeast"/>
        </w:trPr>
        <w:tc>
          <w:tcPr>
            <w:tcW w:w="616" w:type="dxa"/>
            <w:vMerge w:val="continue"/>
            <w:tcBorders>
              <w:top w:val="single" w:color="auto" w:sz="4" w:space="0"/>
              <w:left w:val="single" w:color="auto" w:sz="4" w:space="0"/>
              <w:bottom w:val="single" w:color="000000" w:sz="4" w:space="0"/>
              <w:right w:val="single" w:color="auto" w:sz="4" w:space="0"/>
            </w:tcBorders>
            <w:vAlign w:val="center"/>
          </w:tcPr>
          <w:p>
            <w:pPr>
              <w:adjustRightInd/>
              <w:snapToGrid/>
              <w:spacing w:after="0"/>
              <w:ind w:firstLine="0" w:firstLineChars="0"/>
              <w:rPr>
                <w:rFonts w:ascii="宋体" w:hAnsi="宋体" w:eastAsia="宋体" w:cs="宋体"/>
                <w:sz w:val="20"/>
                <w:szCs w:val="20"/>
              </w:rPr>
            </w:pPr>
          </w:p>
        </w:tc>
        <w:tc>
          <w:tcPr>
            <w:tcW w:w="616" w:type="dxa"/>
            <w:tcBorders>
              <w:top w:val="nil"/>
              <w:left w:val="nil"/>
              <w:bottom w:val="single" w:color="auto" w:sz="4" w:space="0"/>
              <w:right w:val="single" w:color="auto" w:sz="4" w:space="0"/>
            </w:tcBorders>
            <w:shd w:val="clear" w:color="auto" w:fill="auto"/>
            <w:vAlign w:val="center"/>
          </w:tcPr>
          <w:p>
            <w:pPr>
              <w:adjustRightInd/>
              <w:snapToGrid/>
              <w:spacing w:after="0"/>
              <w:ind w:firstLine="0" w:firstLineChars="0"/>
              <w:jc w:val="center"/>
              <w:rPr>
                <w:rFonts w:ascii="宋体" w:hAnsi="宋体" w:eastAsia="宋体" w:cs="宋体"/>
                <w:sz w:val="20"/>
                <w:szCs w:val="20"/>
              </w:rPr>
            </w:pPr>
            <w:r>
              <w:rPr>
                <w:rFonts w:hint="eastAsia" w:ascii="宋体" w:hAnsi="宋体" w:eastAsia="宋体" w:cs="宋体"/>
                <w:sz w:val="20"/>
                <w:szCs w:val="20"/>
              </w:rPr>
              <w:t>可持续影响效益（10分）</w:t>
            </w:r>
          </w:p>
        </w:tc>
        <w:tc>
          <w:tcPr>
            <w:tcW w:w="961" w:type="dxa"/>
            <w:tcBorders>
              <w:top w:val="nil"/>
              <w:left w:val="nil"/>
              <w:bottom w:val="single" w:color="auto" w:sz="4" w:space="0"/>
              <w:right w:val="single" w:color="auto" w:sz="4" w:space="0"/>
            </w:tcBorders>
            <w:shd w:val="clear" w:color="auto" w:fill="auto"/>
            <w:vAlign w:val="center"/>
          </w:tcPr>
          <w:p>
            <w:pPr>
              <w:adjustRightInd/>
              <w:snapToGrid/>
              <w:spacing w:after="0"/>
              <w:ind w:firstLine="0" w:firstLineChars="0"/>
              <w:jc w:val="center"/>
              <w:rPr>
                <w:rFonts w:ascii="宋体" w:hAnsi="宋体" w:eastAsia="宋体" w:cs="宋体"/>
                <w:sz w:val="20"/>
                <w:szCs w:val="20"/>
              </w:rPr>
            </w:pPr>
            <w:r>
              <w:rPr>
                <w:rFonts w:hint="eastAsia" w:ascii="宋体" w:hAnsi="宋体" w:eastAsia="宋体" w:cs="宋体"/>
                <w:sz w:val="20"/>
                <w:szCs w:val="20"/>
              </w:rPr>
              <w:t>可持续影响效益（10分）</w:t>
            </w:r>
          </w:p>
        </w:tc>
        <w:tc>
          <w:tcPr>
            <w:tcW w:w="2387" w:type="dxa"/>
            <w:tcBorders>
              <w:top w:val="nil"/>
              <w:left w:val="nil"/>
              <w:bottom w:val="single" w:color="auto" w:sz="4" w:space="0"/>
              <w:right w:val="single" w:color="auto" w:sz="4" w:space="0"/>
            </w:tcBorders>
            <w:shd w:val="clear" w:color="auto" w:fill="auto"/>
            <w:vAlign w:val="center"/>
          </w:tcPr>
          <w:p>
            <w:pPr>
              <w:adjustRightInd/>
              <w:snapToGrid/>
              <w:spacing w:after="0"/>
              <w:ind w:firstLine="0" w:firstLineChars="0"/>
              <w:jc w:val="center"/>
              <w:rPr>
                <w:rFonts w:ascii="宋体" w:hAnsi="宋体" w:eastAsia="宋体" w:cs="宋体"/>
                <w:sz w:val="20"/>
                <w:szCs w:val="20"/>
              </w:rPr>
            </w:pPr>
            <w:r>
              <w:rPr>
                <w:rFonts w:hint="eastAsia" w:ascii="宋体" w:hAnsi="宋体" w:eastAsia="宋体" w:cs="宋体"/>
                <w:sz w:val="20"/>
                <w:szCs w:val="20"/>
              </w:rPr>
              <w:t>是否符合可持续发展战略；</w:t>
            </w:r>
            <w:r>
              <w:rPr>
                <w:rFonts w:hint="eastAsia" w:ascii="宋体" w:hAnsi="宋体" w:eastAsia="宋体" w:cs="宋体"/>
                <w:sz w:val="20"/>
                <w:szCs w:val="20"/>
                <w:lang w:eastAsia="zh-CN"/>
              </w:rPr>
              <w:t>“十三五”规划</w:t>
            </w:r>
            <w:r>
              <w:rPr>
                <w:rFonts w:hint="eastAsia" w:ascii="宋体" w:hAnsi="宋体" w:eastAsia="宋体" w:cs="宋体"/>
                <w:sz w:val="20"/>
                <w:szCs w:val="20"/>
              </w:rPr>
              <w:t>里改善人居环境</w:t>
            </w:r>
          </w:p>
        </w:tc>
        <w:tc>
          <w:tcPr>
            <w:tcW w:w="1803" w:type="dxa"/>
            <w:tcBorders>
              <w:top w:val="nil"/>
              <w:left w:val="nil"/>
              <w:bottom w:val="single" w:color="auto" w:sz="4" w:space="0"/>
              <w:right w:val="single" w:color="auto" w:sz="4" w:space="0"/>
            </w:tcBorders>
            <w:shd w:val="clear" w:color="auto" w:fill="auto"/>
            <w:vAlign w:val="center"/>
          </w:tcPr>
          <w:p>
            <w:pPr>
              <w:adjustRightInd/>
              <w:snapToGrid/>
              <w:spacing w:after="0"/>
              <w:ind w:firstLine="0" w:firstLineChars="0"/>
              <w:jc w:val="center"/>
              <w:rPr>
                <w:rFonts w:ascii="宋体" w:hAnsi="宋体" w:eastAsia="宋体" w:cs="宋体"/>
                <w:sz w:val="20"/>
                <w:szCs w:val="20"/>
              </w:rPr>
            </w:pPr>
            <w:r>
              <w:rPr>
                <w:rFonts w:hint="eastAsia" w:ascii="宋体" w:hAnsi="宋体" w:eastAsia="宋体" w:cs="宋体"/>
                <w:sz w:val="20"/>
                <w:szCs w:val="20"/>
              </w:rPr>
              <w:t>项目完成后所产生的影响，提出对策和措施是否促使项目与经济、社会、生态相协调，达到满足当代人的需求的同时又不对后代人的发展构成危害的效果</w:t>
            </w:r>
          </w:p>
        </w:tc>
        <w:tc>
          <w:tcPr>
            <w:tcW w:w="716" w:type="dxa"/>
            <w:tcBorders>
              <w:top w:val="nil"/>
              <w:left w:val="nil"/>
              <w:bottom w:val="single" w:color="auto" w:sz="4" w:space="0"/>
              <w:right w:val="single" w:color="auto" w:sz="4" w:space="0"/>
            </w:tcBorders>
            <w:shd w:val="clear" w:color="auto" w:fill="auto"/>
            <w:vAlign w:val="center"/>
          </w:tcPr>
          <w:p>
            <w:pPr>
              <w:adjustRightInd/>
              <w:snapToGrid/>
              <w:spacing w:after="0"/>
              <w:ind w:firstLine="0" w:firstLineChars="0"/>
              <w:jc w:val="right"/>
              <w:rPr>
                <w:rFonts w:ascii="宋体" w:hAnsi="宋体" w:eastAsia="宋体" w:cs="宋体"/>
                <w:sz w:val="20"/>
                <w:szCs w:val="20"/>
              </w:rPr>
            </w:pPr>
            <w:r>
              <w:rPr>
                <w:rFonts w:hint="eastAsia" w:ascii="宋体" w:hAnsi="宋体" w:eastAsia="宋体" w:cs="宋体"/>
                <w:sz w:val="20"/>
                <w:szCs w:val="20"/>
              </w:rPr>
              <w:t>10</w:t>
            </w:r>
          </w:p>
        </w:tc>
        <w:tc>
          <w:tcPr>
            <w:tcW w:w="1423" w:type="dxa"/>
            <w:tcBorders>
              <w:top w:val="nil"/>
              <w:left w:val="nil"/>
              <w:bottom w:val="single" w:color="auto" w:sz="4" w:space="0"/>
              <w:right w:val="single" w:color="auto" w:sz="4" w:space="0"/>
            </w:tcBorders>
            <w:shd w:val="clear" w:color="auto" w:fill="auto"/>
            <w:vAlign w:val="center"/>
          </w:tcPr>
          <w:p>
            <w:pPr>
              <w:adjustRightInd/>
              <w:snapToGrid/>
              <w:spacing w:after="0"/>
              <w:ind w:firstLine="0" w:firstLineChars="0"/>
              <w:jc w:val="center"/>
              <w:rPr>
                <w:rFonts w:ascii="宋体" w:hAnsi="宋体" w:eastAsia="宋体" w:cs="宋体"/>
                <w:sz w:val="20"/>
                <w:szCs w:val="20"/>
              </w:rPr>
            </w:pPr>
            <w:r>
              <w:rPr>
                <w:rFonts w:hint="eastAsia" w:ascii="宋体" w:hAnsi="宋体" w:eastAsia="宋体" w:cs="宋体"/>
                <w:sz w:val="20"/>
                <w:szCs w:val="20"/>
              </w:rPr>
              <w:t>　</w:t>
            </w:r>
          </w:p>
        </w:tc>
      </w:tr>
      <w:tr>
        <w:tblPrEx>
          <w:tblCellMar>
            <w:top w:w="0" w:type="dxa"/>
            <w:left w:w="108" w:type="dxa"/>
            <w:bottom w:w="0" w:type="dxa"/>
            <w:right w:w="108" w:type="dxa"/>
          </w:tblCellMar>
        </w:tblPrEx>
        <w:trPr>
          <w:trHeight w:val="645" w:hRule="atLeast"/>
        </w:trPr>
        <w:tc>
          <w:tcPr>
            <w:tcW w:w="616" w:type="dxa"/>
            <w:tcBorders>
              <w:top w:val="nil"/>
              <w:left w:val="single" w:color="auto" w:sz="4" w:space="0"/>
              <w:bottom w:val="single" w:color="auto" w:sz="4" w:space="0"/>
              <w:right w:val="single" w:color="auto" w:sz="4" w:space="0"/>
            </w:tcBorders>
            <w:shd w:val="clear" w:color="auto" w:fill="auto"/>
            <w:vAlign w:val="center"/>
          </w:tcPr>
          <w:p>
            <w:pPr>
              <w:adjustRightInd/>
              <w:snapToGrid/>
              <w:spacing w:after="0"/>
              <w:ind w:firstLine="0" w:firstLineChars="0"/>
              <w:jc w:val="center"/>
              <w:rPr>
                <w:rFonts w:ascii="宋体" w:hAnsi="宋体" w:eastAsia="宋体" w:cs="宋体"/>
                <w:sz w:val="20"/>
                <w:szCs w:val="20"/>
              </w:rPr>
            </w:pPr>
            <w:r>
              <w:rPr>
                <w:rFonts w:hint="eastAsia" w:ascii="宋体" w:hAnsi="宋体" w:eastAsia="宋体" w:cs="宋体"/>
                <w:sz w:val="20"/>
                <w:szCs w:val="20"/>
              </w:rPr>
              <w:t>社会满意度（10分）</w:t>
            </w:r>
          </w:p>
        </w:tc>
        <w:tc>
          <w:tcPr>
            <w:tcW w:w="616" w:type="dxa"/>
            <w:tcBorders>
              <w:top w:val="nil"/>
              <w:left w:val="nil"/>
              <w:bottom w:val="single" w:color="auto" w:sz="4" w:space="0"/>
              <w:right w:val="single" w:color="auto" w:sz="4" w:space="0"/>
            </w:tcBorders>
            <w:shd w:val="clear" w:color="auto" w:fill="auto"/>
            <w:vAlign w:val="center"/>
          </w:tcPr>
          <w:p>
            <w:pPr>
              <w:adjustRightInd/>
              <w:snapToGrid/>
              <w:spacing w:after="0"/>
              <w:ind w:firstLine="0" w:firstLineChars="0"/>
              <w:jc w:val="center"/>
              <w:rPr>
                <w:rFonts w:ascii="宋体" w:hAnsi="宋体" w:eastAsia="宋体" w:cs="宋体"/>
                <w:sz w:val="20"/>
                <w:szCs w:val="20"/>
              </w:rPr>
            </w:pPr>
            <w:r>
              <w:rPr>
                <w:rFonts w:hint="eastAsia" w:ascii="宋体" w:hAnsi="宋体" w:eastAsia="宋体" w:cs="宋体"/>
                <w:sz w:val="20"/>
                <w:szCs w:val="20"/>
              </w:rPr>
              <w:t>社会满意度（10分）</w:t>
            </w:r>
          </w:p>
        </w:tc>
        <w:tc>
          <w:tcPr>
            <w:tcW w:w="961" w:type="dxa"/>
            <w:tcBorders>
              <w:top w:val="nil"/>
              <w:left w:val="nil"/>
              <w:bottom w:val="single" w:color="auto" w:sz="4" w:space="0"/>
              <w:right w:val="single" w:color="auto" w:sz="4" w:space="0"/>
            </w:tcBorders>
            <w:shd w:val="clear" w:color="auto" w:fill="auto"/>
            <w:vAlign w:val="center"/>
          </w:tcPr>
          <w:p>
            <w:pPr>
              <w:adjustRightInd/>
              <w:snapToGrid/>
              <w:spacing w:after="0"/>
              <w:ind w:firstLine="0" w:firstLineChars="0"/>
              <w:jc w:val="center"/>
              <w:rPr>
                <w:rFonts w:ascii="宋体" w:hAnsi="宋体" w:eastAsia="宋体" w:cs="宋体"/>
                <w:sz w:val="20"/>
                <w:szCs w:val="20"/>
              </w:rPr>
            </w:pPr>
            <w:r>
              <w:rPr>
                <w:rFonts w:hint="eastAsia" w:ascii="宋体" w:hAnsi="宋体" w:eastAsia="宋体" w:cs="宋体"/>
                <w:sz w:val="20"/>
                <w:szCs w:val="20"/>
              </w:rPr>
              <w:t>服务对象满意度（10分）</w:t>
            </w:r>
          </w:p>
        </w:tc>
        <w:tc>
          <w:tcPr>
            <w:tcW w:w="2387" w:type="dxa"/>
            <w:tcBorders>
              <w:top w:val="nil"/>
              <w:left w:val="nil"/>
              <w:bottom w:val="single" w:color="auto" w:sz="4" w:space="0"/>
              <w:right w:val="single" w:color="auto" w:sz="4" w:space="0"/>
            </w:tcBorders>
            <w:shd w:val="clear" w:color="auto" w:fill="auto"/>
            <w:vAlign w:val="center"/>
          </w:tcPr>
          <w:p>
            <w:pPr>
              <w:adjustRightInd/>
              <w:snapToGrid/>
              <w:spacing w:after="0"/>
              <w:ind w:firstLine="0" w:firstLineChars="0"/>
              <w:jc w:val="center"/>
              <w:rPr>
                <w:rFonts w:ascii="宋体" w:hAnsi="宋体" w:eastAsia="宋体" w:cs="宋体"/>
                <w:sz w:val="20"/>
                <w:szCs w:val="20"/>
              </w:rPr>
            </w:pPr>
            <w:r>
              <w:rPr>
                <w:rFonts w:hint="eastAsia" w:ascii="宋体" w:hAnsi="宋体" w:eastAsia="宋体" w:cs="宋体"/>
                <w:sz w:val="20"/>
                <w:szCs w:val="20"/>
              </w:rPr>
              <w:t>通过对村民走访，问卷调查，了解是否对农村厕改工作满意，满意率=（满意人数/调查人数）*100%</w:t>
            </w:r>
          </w:p>
        </w:tc>
        <w:tc>
          <w:tcPr>
            <w:tcW w:w="1803" w:type="dxa"/>
            <w:tcBorders>
              <w:top w:val="nil"/>
              <w:left w:val="nil"/>
              <w:bottom w:val="single" w:color="auto" w:sz="4" w:space="0"/>
              <w:right w:val="single" w:color="auto" w:sz="4" w:space="0"/>
            </w:tcBorders>
            <w:shd w:val="clear" w:color="auto" w:fill="auto"/>
            <w:vAlign w:val="center"/>
          </w:tcPr>
          <w:p>
            <w:pPr>
              <w:adjustRightInd/>
              <w:snapToGrid/>
              <w:spacing w:after="0"/>
              <w:ind w:firstLine="0" w:firstLineChars="0"/>
              <w:jc w:val="center"/>
              <w:rPr>
                <w:rFonts w:ascii="宋体" w:hAnsi="宋体" w:eastAsia="宋体" w:cs="宋体"/>
                <w:sz w:val="20"/>
                <w:szCs w:val="20"/>
              </w:rPr>
            </w:pPr>
            <w:r>
              <w:rPr>
                <w:rFonts w:hint="eastAsia" w:ascii="宋体" w:hAnsi="宋体" w:eastAsia="宋体" w:cs="宋体"/>
                <w:sz w:val="20"/>
                <w:szCs w:val="20"/>
              </w:rPr>
              <w:t>得分=满意率*10分</w:t>
            </w:r>
          </w:p>
        </w:tc>
        <w:tc>
          <w:tcPr>
            <w:tcW w:w="716" w:type="dxa"/>
            <w:tcBorders>
              <w:top w:val="nil"/>
              <w:left w:val="nil"/>
              <w:bottom w:val="single" w:color="auto" w:sz="4" w:space="0"/>
              <w:right w:val="single" w:color="auto" w:sz="4" w:space="0"/>
            </w:tcBorders>
            <w:shd w:val="clear" w:color="auto" w:fill="auto"/>
            <w:vAlign w:val="center"/>
          </w:tcPr>
          <w:p>
            <w:pPr>
              <w:adjustRightInd/>
              <w:snapToGrid/>
              <w:spacing w:after="0"/>
              <w:ind w:firstLine="0" w:firstLineChars="0"/>
              <w:jc w:val="right"/>
              <w:rPr>
                <w:rFonts w:ascii="宋体" w:hAnsi="宋体" w:eastAsia="宋体" w:cs="宋体"/>
                <w:sz w:val="20"/>
                <w:szCs w:val="20"/>
              </w:rPr>
            </w:pPr>
            <w:r>
              <w:rPr>
                <w:rFonts w:hint="eastAsia" w:ascii="宋体" w:hAnsi="宋体" w:eastAsia="宋体" w:cs="宋体"/>
                <w:sz w:val="20"/>
                <w:szCs w:val="20"/>
              </w:rPr>
              <w:t>10</w:t>
            </w:r>
          </w:p>
        </w:tc>
        <w:tc>
          <w:tcPr>
            <w:tcW w:w="1423" w:type="dxa"/>
            <w:tcBorders>
              <w:top w:val="nil"/>
              <w:left w:val="nil"/>
              <w:bottom w:val="single" w:color="auto" w:sz="4" w:space="0"/>
              <w:right w:val="single" w:color="auto" w:sz="4" w:space="0"/>
            </w:tcBorders>
            <w:shd w:val="clear" w:color="auto" w:fill="auto"/>
            <w:vAlign w:val="center"/>
          </w:tcPr>
          <w:p>
            <w:pPr>
              <w:adjustRightInd/>
              <w:snapToGrid/>
              <w:spacing w:after="0"/>
              <w:ind w:firstLine="0" w:firstLineChars="0"/>
              <w:jc w:val="center"/>
              <w:rPr>
                <w:rFonts w:ascii="宋体" w:hAnsi="宋体" w:eastAsia="宋体" w:cs="宋体"/>
                <w:sz w:val="20"/>
                <w:szCs w:val="20"/>
              </w:rPr>
            </w:pPr>
            <w:r>
              <w:rPr>
                <w:rFonts w:hint="eastAsia" w:ascii="宋体" w:hAnsi="宋体" w:eastAsia="宋体" w:cs="宋体"/>
                <w:sz w:val="20"/>
                <w:szCs w:val="20"/>
              </w:rPr>
              <w:t>　</w:t>
            </w:r>
          </w:p>
        </w:tc>
      </w:tr>
      <w:tr>
        <w:tblPrEx>
          <w:tblCellMar>
            <w:top w:w="0" w:type="dxa"/>
            <w:left w:w="108" w:type="dxa"/>
            <w:bottom w:w="0" w:type="dxa"/>
            <w:right w:w="108" w:type="dxa"/>
          </w:tblCellMar>
        </w:tblPrEx>
        <w:trPr>
          <w:trHeight w:val="645" w:hRule="atLeast"/>
        </w:trPr>
        <w:tc>
          <w:tcPr>
            <w:tcW w:w="616" w:type="dxa"/>
            <w:tcBorders>
              <w:top w:val="nil"/>
              <w:left w:val="single" w:color="auto" w:sz="4" w:space="0"/>
              <w:bottom w:val="single" w:color="auto" w:sz="4" w:space="0"/>
              <w:right w:val="single" w:color="auto" w:sz="4" w:space="0"/>
            </w:tcBorders>
            <w:shd w:val="clear" w:color="auto" w:fill="auto"/>
            <w:vAlign w:val="center"/>
          </w:tcPr>
          <w:p>
            <w:pPr>
              <w:adjustRightInd/>
              <w:snapToGrid/>
              <w:spacing w:after="0"/>
              <w:ind w:firstLine="0" w:firstLineChars="0"/>
              <w:rPr>
                <w:rFonts w:ascii="宋体" w:hAnsi="宋体" w:eastAsia="宋体" w:cs="宋体"/>
                <w:sz w:val="20"/>
                <w:szCs w:val="20"/>
              </w:rPr>
            </w:pPr>
            <w:r>
              <w:rPr>
                <w:rFonts w:hint="eastAsia" w:ascii="宋体" w:hAnsi="宋体" w:eastAsia="宋体" w:cs="宋体"/>
                <w:sz w:val="20"/>
                <w:szCs w:val="20"/>
              </w:rPr>
              <w:t>合计：100分</w:t>
            </w:r>
          </w:p>
        </w:tc>
        <w:tc>
          <w:tcPr>
            <w:tcW w:w="616" w:type="dxa"/>
            <w:tcBorders>
              <w:top w:val="nil"/>
              <w:left w:val="nil"/>
              <w:bottom w:val="single" w:color="auto" w:sz="4" w:space="0"/>
              <w:right w:val="single" w:color="auto" w:sz="4" w:space="0"/>
            </w:tcBorders>
            <w:shd w:val="clear" w:color="auto" w:fill="auto"/>
            <w:vAlign w:val="center"/>
          </w:tcPr>
          <w:p>
            <w:pPr>
              <w:adjustRightInd/>
              <w:snapToGrid/>
              <w:spacing w:after="0"/>
              <w:ind w:firstLine="0" w:firstLineChars="0"/>
              <w:rPr>
                <w:rFonts w:ascii="宋体" w:hAnsi="宋体" w:eastAsia="宋体" w:cs="宋体"/>
                <w:sz w:val="20"/>
                <w:szCs w:val="20"/>
              </w:rPr>
            </w:pPr>
            <w:r>
              <w:rPr>
                <w:rFonts w:hint="eastAsia" w:ascii="宋体" w:hAnsi="宋体" w:eastAsia="宋体" w:cs="宋体"/>
                <w:sz w:val="20"/>
                <w:szCs w:val="20"/>
              </w:rPr>
              <w:t>100分</w:t>
            </w:r>
          </w:p>
        </w:tc>
        <w:tc>
          <w:tcPr>
            <w:tcW w:w="961" w:type="dxa"/>
            <w:tcBorders>
              <w:top w:val="nil"/>
              <w:left w:val="nil"/>
              <w:bottom w:val="single" w:color="auto" w:sz="4" w:space="0"/>
              <w:right w:val="single" w:color="auto" w:sz="4" w:space="0"/>
            </w:tcBorders>
            <w:shd w:val="clear" w:color="auto" w:fill="auto"/>
            <w:vAlign w:val="center"/>
          </w:tcPr>
          <w:p>
            <w:pPr>
              <w:adjustRightInd/>
              <w:snapToGrid/>
              <w:spacing w:after="0"/>
              <w:ind w:firstLine="0" w:firstLineChars="0"/>
              <w:rPr>
                <w:rFonts w:ascii="宋体" w:hAnsi="宋体" w:eastAsia="宋体" w:cs="宋体"/>
                <w:sz w:val="20"/>
                <w:szCs w:val="20"/>
              </w:rPr>
            </w:pPr>
            <w:r>
              <w:rPr>
                <w:rFonts w:hint="eastAsia" w:ascii="宋体" w:hAnsi="宋体" w:eastAsia="宋体" w:cs="宋体"/>
                <w:sz w:val="20"/>
                <w:szCs w:val="20"/>
              </w:rPr>
              <w:t>　</w:t>
            </w:r>
          </w:p>
        </w:tc>
        <w:tc>
          <w:tcPr>
            <w:tcW w:w="2387" w:type="dxa"/>
            <w:tcBorders>
              <w:top w:val="nil"/>
              <w:left w:val="nil"/>
              <w:bottom w:val="single" w:color="auto" w:sz="4" w:space="0"/>
              <w:right w:val="single" w:color="auto" w:sz="4" w:space="0"/>
            </w:tcBorders>
            <w:shd w:val="clear" w:color="auto" w:fill="auto"/>
            <w:vAlign w:val="center"/>
          </w:tcPr>
          <w:p>
            <w:pPr>
              <w:adjustRightInd/>
              <w:snapToGrid/>
              <w:spacing w:after="0"/>
              <w:ind w:firstLine="0" w:firstLineChars="0"/>
              <w:rPr>
                <w:rFonts w:ascii="宋体" w:hAnsi="宋体" w:eastAsia="宋体" w:cs="宋体"/>
                <w:sz w:val="20"/>
                <w:szCs w:val="20"/>
              </w:rPr>
            </w:pPr>
            <w:r>
              <w:rPr>
                <w:rFonts w:hint="eastAsia" w:ascii="宋体" w:hAnsi="宋体" w:eastAsia="宋体" w:cs="宋体"/>
                <w:sz w:val="20"/>
                <w:szCs w:val="20"/>
              </w:rPr>
              <w:t>　</w:t>
            </w:r>
          </w:p>
        </w:tc>
        <w:tc>
          <w:tcPr>
            <w:tcW w:w="1803" w:type="dxa"/>
            <w:tcBorders>
              <w:top w:val="nil"/>
              <w:left w:val="nil"/>
              <w:bottom w:val="single" w:color="auto" w:sz="4" w:space="0"/>
              <w:right w:val="single" w:color="auto" w:sz="4" w:space="0"/>
            </w:tcBorders>
            <w:shd w:val="clear" w:color="auto" w:fill="auto"/>
            <w:vAlign w:val="center"/>
          </w:tcPr>
          <w:p>
            <w:pPr>
              <w:adjustRightInd/>
              <w:snapToGrid/>
              <w:spacing w:after="0"/>
              <w:ind w:firstLine="0" w:firstLineChars="0"/>
              <w:rPr>
                <w:rFonts w:ascii="宋体" w:hAnsi="宋体" w:eastAsia="宋体" w:cs="宋体"/>
                <w:sz w:val="20"/>
                <w:szCs w:val="20"/>
              </w:rPr>
            </w:pPr>
            <w:r>
              <w:rPr>
                <w:rFonts w:hint="eastAsia" w:ascii="宋体" w:hAnsi="宋体" w:eastAsia="宋体" w:cs="宋体"/>
                <w:sz w:val="20"/>
                <w:szCs w:val="20"/>
              </w:rPr>
              <w:t>　</w:t>
            </w:r>
          </w:p>
        </w:tc>
        <w:tc>
          <w:tcPr>
            <w:tcW w:w="716" w:type="dxa"/>
            <w:tcBorders>
              <w:top w:val="nil"/>
              <w:left w:val="nil"/>
              <w:bottom w:val="single" w:color="auto" w:sz="4" w:space="0"/>
              <w:right w:val="single" w:color="auto" w:sz="4" w:space="0"/>
            </w:tcBorders>
            <w:shd w:val="clear" w:color="auto" w:fill="auto"/>
            <w:vAlign w:val="center"/>
          </w:tcPr>
          <w:p>
            <w:pPr>
              <w:adjustRightInd/>
              <w:snapToGrid/>
              <w:spacing w:after="0"/>
              <w:ind w:firstLine="0" w:firstLineChars="0"/>
              <w:rPr>
                <w:rFonts w:ascii="宋体" w:hAnsi="宋体" w:eastAsia="宋体" w:cs="宋体"/>
                <w:sz w:val="20"/>
                <w:szCs w:val="20"/>
              </w:rPr>
            </w:pPr>
            <w:r>
              <w:rPr>
                <w:rFonts w:hint="eastAsia" w:ascii="宋体" w:hAnsi="宋体" w:eastAsia="宋体" w:cs="宋体"/>
                <w:sz w:val="20"/>
                <w:szCs w:val="20"/>
              </w:rPr>
              <w:t xml:space="preserve">   85.86 </w:t>
            </w:r>
          </w:p>
        </w:tc>
        <w:tc>
          <w:tcPr>
            <w:tcW w:w="1423" w:type="dxa"/>
            <w:tcBorders>
              <w:top w:val="nil"/>
              <w:left w:val="nil"/>
              <w:bottom w:val="single" w:color="auto" w:sz="4" w:space="0"/>
              <w:right w:val="single" w:color="auto" w:sz="4" w:space="0"/>
            </w:tcBorders>
            <w:shd w:val="clear" w:color="auto" w:fill="auto"/>
            <w:vAlign w:val="center"/>
          </w:tcPr>
          <w:p>
            <w:pPr>
              <w:adjustRightInd/>
              <w:snapToGrid/>
              <w:spacing w:after="0"/>
              <w:ind w:firstLine="0" w:firstLineChars="0"/>
              <w:rPr>
                <w:rFonts w:ascii="宋体" w:hAnsi="宋体" w:eastAsia="宋体" w:cs="宋体"/>
                <w:sz w:val="20"/>
                <w:szCs w:val="20"/>
              </w:rPr>
            </w:pPr>
            <w:r>
              <w:rPr>
                <w:rFonts w:hint="eastAsia" w:ascii="宋体" w:hAnsi="宋体" w:eastAsia="宋体" w:cs="宋体"/>
                <w:sz w:val="20"/>
                <w:szCs w:val="20"/>
              </w:rPr>
              <w:t>　</w:t>
            </w:r>
          </w:p>
        </w:tc>
      </w:tr>
    </w:tbl>
    <w:p>
      <w:pPr>
        <w:spacing w:line="560" w:lineRule="exact"/>
        <w:ind w:firstLine="0" w:firstLineChars="0"/>
        <w:jc w:val="both"/>
        <w:rPr>
          <w:rFonts w:ascii="仿宋" w:hAnsi="仿宋" w:eastAsia="仿宋"/>
          <w:sz w:val="32"/>
          <w:szCs w:val="32"/>
        </w:rPr>
      </w:pPr>
    </w:p>
    <w:sectPr>
      <w:footerReference r:id="rId11" w:type="default"/>
      <w:pgSz w:w="11906" w:h="16838"/>
      <w:pgMar w:top="1440" w:right="1800" w:bottom="1440" w:left="1800" w:header="708" w:footer="708" w:gutter="0"/>
      <w:pgNumType w:start="1"/>
      <w:cols w:space="708"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40"/>
      </w:pPr>
      <w:r>
        <w:separator/>
      </w:r>
    </w:p>
  </w:endnote>
  <w:endnote w:type="continuationSeparator" w:id="1">
    <w:p>
      <w:pPr>
        <w:spacing w:line="240" w:lineRule="auto"/>
        <w:ind w:firstLine="4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Tahoma">
    <w:panose1 w:val="020B0604030504040204"/>
    <w:charset w:val="00"/>
    <w:family w:val="swiss"/>
    <w:pitch w:val="default"/>
    <w:sig w:usb0="E1002EFF" w:usb1="C000605B" w:usb2="00000029" w:usb3="00000000" w:csb0="200101FF" w:csb1="2028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2588220"/>
    </w:sdtPr>
    <w:sdtContent>
      <w:p>
        <w:pPr>
          <w:pStyle w:val="3"/>
          <w:ind w:firstLine="360"/>
          <w:jc w:val="center"/>
        </w:pPr>
        <w:r>
          <w:fldChar w:fldCharType="begin"/>
        </w:r>
        <w:r>
          <w:instrText xml:space="preserve">PAGE   \* MERGEFORMAT</w:instrText>
        </w:r>
        <w:r>
          <w:fldChar w:fldCharType="separate"/>
        </w:r>
        <w:r>
          <w:rPr>
            <w:lang w:val="zh-CN"/>
          </w:rPr>
          <w:t>7</w:t>
        </w:r>
        <w:r>
          <w:fldChar w:fldCharType="end"/>
        </w:r>
      </w:p>
    </w:sdtContent>
  </w:sdt>
  <w:p>
    <w:pPr>
      <w:pStyle w:val="3"/>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ind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851441005"/>
    </w:sdtPr>
    <w:sdtContent>
      <w:p>
        <w:pPr>
          <w:pStyle w:val="3"/>
          <w:ind w:firstLine="360"/>
          <w:jc w:val="center"/>
        </w:pPr>
        <w:r>
          <w:fldChar w:fldCharType="begin"/>
        </w:r>
        <w:r>
          <w:instrText xml:space="preserve">PAGE   \* MERGEFORMAT</w:instrText>
        </w:r>
        <w:r>
          <w:fldChar w:fldCharType="separate"/>
        </w:r>
        <w:r>
          <w:rPr>
            <w:lang w:val="zh-CN"/>
          </w:rPr>
          <w:t>1</w:t>
        </w:r>
        <w:r>
          <w:fldChar w:fldCharType="end"/>
        </w:r>
      </w:p>
    </w:sdtContent>
  </w:sdt>
  <w:p>
    <w:pPr>
      <w:pStyle w:val="3"/>
      <w:ind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ind w:firstLine="440"/>
      </w:pPr>
      <w:r>
        <w:separator/>
      </w:r>
    </w:p>
  </w:footnote>
  <w:footnote w:type="continuationSeparator" w:id="1">
    <w:p>
      <w:pPr>
        <w:spacing w:before="0" w:after="0" w:line="240" w:lineRule="auto"/>
        <w:ind w:firstLine="44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ind w:firstLine="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720"/>
  <w:characterSpacingControl w:val="doNotCompress"/>
  <w:footnotePr>
    <w:footnote w:id="0"/>
    <w:footnote w:id="1"/>
  </w:footnotePr>
  <w:endnotePr>
    <w:endnote w:id="0"/>
    <w:endnote w:id="1"/>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31D50"/>
    <w:rsid w:val="000361A4"/>
    <w:rsid w:val="00047A08"/>
    <w:rsid w:val="00081667"/>
    <w:rsid w:val="000C3C52"/>
    <w:rsid w:val="000E5340"/>
    <w:rsid w:val="00107274"/>
    <w:rsid w:val="00157A04"/>
    <w:rsid w:val="00164232"/>
    <w:rsid w:val="001F31A4"/>
    <w:rsid w:val="00250FE6"/>
    <w:rsid w:val="002E0960"/>
    <w:rsid w:val="002E1937"/>
    <w:rsid w:val="00323B43"/>
    <w:rsid w:val="0038393F"/>
    <w:rsid w:val="003A4CAB"/>
    <w:rsid w:val="003B4595"/>
    <w:rsid w:val="003D37D8"/>
    <w:rsid w:val="003F46B4"/>
    <w:rsid w:val="0042382D"/>
    <w:rsid w:val="00423FCD"/>
    <w:rsid w:val="00426133"/>
    <w:rsid w:val="004358AB"/>
    <w:rsid w:val="00441DF3"/>
    <w:rsid w:val="00450283"/>
    <w:rsid w:val="0045322A"/>
    <w:rsid w:val="00515E23"/>
    <w:rsid w:val="00517DB2"/>
    <w:rsid w:val="00596B3E"/>
    <w:rsid w:val="005B2999"/>
    <w:rsid w:val="006272C2"/>
    <w:rsid w:val="00640845"/>
    <w:rsid w:val="00687071"/>
    <w:rsid w:val="006D0392"/>
    <w:rsid w:val="007527A3"/>
    <w:rsid w:val="00770914"/>
    <w:rsid w:val="007C5470"/>
    <w:rsid w:val="0085282C"/>
    <w:rsid w:val="00877113"/>
    <w:rsid w:val="008B7726"/>
    <w:rsid w:val="00917D2E"/>
    <w:rsid w:val="00923AF4"/>
    <w:rsid w:val="00942B89"/>
    <w:rsid w:val="00985ACE"/>
    <w:rsid w:val="00A1126B"/>
    <w:rsid w:val="00AA2410"/>
    <w:rsid w:val="00B42C7F"/>
    <w:rsid w:val="00BE6D0C"/>
    <w:rsid w:val="00BF5BB5"/>
    <w:rsid w:val="00C41F78"/>
    <w:rsid w:val="00C9451D"/>
    <w:rsid w:val="00CF124B"/>
    <w:rsid w:val="00D31D50"/>
    <w:rsid w:val="00DB0CC6"/>
    <w:rsid w:val="00E264D6"/>
    <w:rsid w:val="00E323C6"/>
    <w:rsid w:val="00E32F9C"/>
    <w:rsid w:val="00E60777"/>
    <w:rsid w:val="00E708BB"/>
    <w:rsid w:val="00E92C2D"/>
    <w:rsid w:val="00EA795D"/>
    <w:rsid w:val="00EB66E7"/>
    <w:rsid w:val="00EC2DBF"/>
    <w:rsid w:val="00EC49EF"/>
    <w:rsid w:val="00F2226A"/>
    <w:rsid w:val="00F35DA9"/>
    <w:rsid w:val="06D9760F"/>
    <w:rsid w:val="2FD975C9"/>
    <w:rsid w:val="638C5718"/>
    <w:rsid w:val="71FB277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微软雅黑"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adjustRightInd w:val="0"/>
      <w:snapToGrid w:val="0"/>
      <w:spacing w:after="200" w:line="240" w:lineRule="auto"/>
      <w:ind w:firstLine="200" w:firstLineChars="200"/>
    </w:pPr>
    <w:rPr>
      <w:rFonts w:ascii="微软雅黑" w:hAnsi="微软雅黑" w:eastAsia="微软雅黑" w:cstheme="minorBidi"/>
      <w:sz w:val="22"/>
      <w:szCs w:val="22"/>
      <w:lang w:val="en-US" w:eastAsia="zh-CN" w:bidi="ar-SA"/>
    </w:rPr>
  </w:style>
  <w:style w:type="character" w:default="1" w:styleId="7">
    <w:name w:val="Default Paragraph Font"/>
    <w:unhideWhenUsed/>
    <w:qFormat/>
    <w:uiPriority w:val="1"/>
  </w:style>
  <w:style w:type="table" w:default="1" w:styleId="6">
    <w:name w:val="Normal Table"/>
    <w:unhideWhenUsed/>
    <w:qFormat/>
    <w:uiPriority w:val="99"/>
    <w:tblPr>
      <w:tblCellMar>
        <w:top w:w="0" w:type="dxa"/>
        <w:left w:w="108" w:type="dxa"/>
        <w:bottom w:w="0" w:type="dxa"/>
        <w:right w:w="108" w:type="dxa"/>
      </w:tblCellMar>
    </w:tblPr>
  </w:style>
  <w:style w:type="paragraph" w:styleId="2">
    <w:name w:val="Balloon Text"/>
    <w:basedOn w:val="1"/>
    <w:link w:val="12"/>
    <w:unhideWhenUsed/>
    <w:qFormat/>
    <w:uiPriority w:val="99"/>
    <w:pPr>
      <w:spacing w:after="0"/>
    </w:pPr>
    <w:rPr>
      <w:sz w:val="18"/>
      <w:szCs w:val="18"/>
    </w:rPr>
  </w:style>
  <w:style w:type="paragraph" w:styleId="3">
    <w:name w:val="footer"/>
    <w:basedOn w:val="1"/>
    <w:link w:val="10"/>
    <w:unhideWhenUsed/>
    <w:qFormat/>
    <w:uiPriority w:val="99"/>
    <w:pPr>
      <w:tabs>
        <w:tab w:val="center" w:pos="4153"/>
        <w:tab w:val="right" w:pos="8306"/>
      </w:tabs>
    </w:pPr>
    <w:rPr>
      <w:sz w:val="18"/>
      <w:szCs w:val="18"/>
    </w:rPr>
  </w:style>
  <w:style w:type="paragraph" w:styleId="4">
    <w:name w:val="header"/>
    <w:basedOn w:val="1"/>
    <w:link w:val="9"/>
    <w:unhideWhenUsed/>
    <w:qFormat/>
    <w:uiPriority w:val="99"/>
    <w:pPr>
      <w:pBdr>
        <w:bottom w:val="single" w:color="auto" w:sz="6" w:space="1"/>
      </w:pBdr>
      <w:tabs>
        <w:tab w:val="center" w:pos="4153"/>
        <w:tab w:val="right" w:pos="8306"/>
      </w:tabs>
      <w:jc w:val="center"/>
    </w:pPr>
    <w:rPr>
      <w:sz w:val="18"/>
      <w:szCs w:val="18"/>
    </w:rPr>
  </w:style>
  <w:style w:type="paragraph" w:styleId="5">
    <w:name w:val="Normal (Web)"/>
    <w:basedOn w:val="1"/>
    <w:unhideWhenUsed/>
    <w:qFormat/>
    <w:uiPriority w:val="99"/>
    <w:pPr>
      <w:adjustRightInd/>
      <w:snapToGrid/>
      <w:spacing w:before="100" w:beforeAutospacing="1" w:after="100" w:afterAutospacing="1"/>
    </w:pPr>
    <w:rPr>
      <w:rFonts w:ascii="宋体" w:hAnsi="宋体" w:eastAsia="宋体" w:cs="宋体"/>
      <w:sz w:val="24"/>
      <w:szCs w:val="24"/>
    </w:rPr>
  </w:style>
  <w:style w:type="character" w:styleId="8">
    <w:name w:val="Strong"/>
    <w:basedOn w:val="7"/>
    <w:qFormat/>
    <w:uiPriority w:val="22"/>
    <w:rPr>
      <w:b/>
      <w:bCs/>
    </w:rPr>
  </w:style>
  <w:style w:type="character" w:customStyle="1" w:styleId="9">
    <w:name w:val="页眉 Char"/>
    <w:basedOn w:val="7"/>
    <w:link w:val="4"/>
    <w:qFormat/>
    <w:uiPriority w:val="99"/>
    <w:rPr>
      <w:rFonts w:ascii="Tahoma" w:hAnsi="Tahoma"/>
      <w:sz w:val="18"/>
      <w:szCs w:val="18"/>
    </w:rPr>
  </w:style>
  <w:style w:type="character" w:customStyle="1" w:styleId="10">
    <w:name w:val="页脚 Char"/>
    <w:basedOn w:val="7"/>
    <w:link w:val="3"/>
    <w:qFormat/>
    <w:uiPriority w:val="99"/>
    <w:rPr>
      <w:rFonts w:ascii="Tahoma" w:hAnsi="Tahoma"/>
      <w:sz w:val="18"/>
      <w:szCs w:val="18"/>
    </w:rPr>
  </w:style>
  <w:style w:type="paragraph" w:customStyle="1" w:styleId="11">
    <w:name w:val="List Paragraph"/>
    <w:basedOn w:val="1"/>
    <w:qFormat/>
    <w:uiPriority w:val="34"/>
    <w:pPr>
      <w:ind w:firstLine="420"/>
    </w:pPr>
  </w:style>
  <w:style w:type="character" w:customStyle="1" w:styleId="12">
    <w:name w:val="批注框文本 Char"/>
    <w:basedOn w:val="7"/>
    <w:link w:val="2"/>
    <w:semiHidden/>
    <w:qFormat/>
    <w:uiPriority w:val="99"/>
    <w:rPr>
      <w:rFonts w:ascii="微软雅黑" w:hAnsi="微软雅黑"/>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theme" Target="theme/theme1.xml"/><Relationship Id="rId11" Type="http://schemas.openxmlformats.org/officeDocument/2006/relationships/footer" Target="footer4.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16</Pages>
  <Words>1095</Words>
  <Characters>6248</Characters>
  <Lines>52</Lines>
  <Paragraphs>14</Paragraphs>
  <TotalTime>0</TotalTime>
  <ScaleCrop>false</ScaleCrop>
  <LinksUpToDate>false</LinksUpToDate>
  <CharactersWithSpaces>7329</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2008-09-11T17:20:00Z</dcterms:created>
  <dc:creator>Administrator</dc:creator>
  <cp:lastModifiedBy>Administrator</cp:lastModifiedBy>
  <dcterms:modified xsi:type="dcterms:W3CDTF">2024-06-06T02:38:19Z</dcterms:modified>
  <cp:revision>67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D00762F918C847168BE5B8201CF89A29</vt:lpwstr>
  </property>
</Properties>
</file>