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adjustRightInd w:val="0"/>
        <w:snapToGrid w:val="0"/>
        <w:jc w:val="center"/>
        <w:rPr>
          <w:rFonts w:hint="eastAsia" w:ascii="宋体" w:hAnsi="宋体" w:eastAsia="宋体" w:cs="宋体"/>
          <w:b/>
          <w:bCs w:val="0"/>
          <w:sz w:val="44"/>
          <w:szCs w:val="44"/>
          <w:lang w:eastAsia="zh-CN"/>
        </w:rPr>
      </w:pPr>
      <w:r>
        <w:rPr>
          <w:rFonts w:hint="eastAsia" w:ascii="宋体" w:hAnsi="宋体" w:eastAsia="宋体" w:cs="宋体"/>
          <w:b/>
          <w:bCs w:val="0"/>
          <w:sz w:val="44"/>
          <w:szCs w:val="44"/>
          <w:lang w:eastAsia="zh-CN"/>
        </w:rPr>
        <w:t>无极县文学艺术界联合会</w:t>
      </w:r>
    </w:p>
    <w:p>
      <w:pPr>
        <w:adjustRightInd w:val="0"/>
        <w:snapToGrid w:val="0"/>
        <w:jc w:val="center"/>
        <w:rPr>
          <w:rFonts w:hint="eastAsia" w:ascii="宋体" w:hAnsi="宋体" w:eastAsia="宋体" w:cs="宋体"/>
          <w:b/>
          <w:bCs w:val="0"/>
          <w:sz w:val="44"/>
          <w:szCs w:val="44"/>
        </w:rPr>
      </w:pPr>
      <w:r>
        <w:rPr>
          <w:rFonts w:hint="eastAsia" w:ascii="宋体" w:hAnsi="宋体" w:eastAsia="宋体" w:cs="宋体"/>
          <w:b/>
          <w:bCs w:val="0"/>
          <w:sz w:val="44"/>
          <w:szCs w:val="44"/>
        </w:rPr>
        <w:t>2020年部门预算信息公开情况说明</w:t>
      </w:r>
    </w:p>
    <w:p>
      <w:pPr>
        <w:ind w:firstLine="640"/>
        <w:rPr>
          <w:rFonts w:ascii="Times New Roman" w:hAnsi="Times New Roman" w:eastAsia="仿宋" w:cs="Times New Roman"/>
          <w:b/>
          <w:bCs w:val="0"/>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Times New Roman" w:hAnsi="Times New Roman" w:eastAsia="仿宋" w:cs="Times New Roman"/>
          <w:sz w:val="32"/>
          <w:szCs w:val="32"/>
          <w:lang w:eastAsia="zh-CN"/>
        </w:rPr>
        <w:t>无极县文学艺术界联合会</w:t>
      </w:r>
      <w:r>
        <w:rPr>
          <w:rFonts w:hint="eastAsia" w:ascii="Times New Roman" w:hAnsi="Times New Roman" w:eastAsia="仿宋" w:cs="Times New Roman"/>
          <w:sz w:val="32"/>
          <w:szCs w:val="32"/>
        </w:rPr>
        <w:t>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jc w:val="left"/>
        <w:outlineLvl w:val="0"/>
        <w:rPr>
          <w:rFonts w:hint="eastAsia" w:ascii="仿宋_GB2312" w:hAnsi="仿宋_GB2312" w:eastAsia="仿宋_GB2312" w:cs="仿宋_GB2312"/>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b/>
          <w:bCs/>
          <w:sz w:val="32"/>
          <w:szCs w:val="32"/>
        </w:rPr>
        <w:t>部门职责</w:t>
      </w:r>
      <w:r>
        <w:rPr>
          <w:rFonts w:hint="eastAsia" w:ascii="仿宋" w:hAnsi="仿宋" w:eastAsia="仿宋" w:cs="仿宋"/>
          <w:sz w:val="32"/>
          <w:szCs w:val="32"/>
          <w:lang w:val="en-US" w:eastAsia="zh-CN"/>
        </w:rPr>
        <w:t>:</w:t>
      </w:r>
      <w:r>
        <w:rPr>
          <w:rFonts w:hint="eastAsia" w:ascii="仿宋" w:hAnsi="仿宋" w:eastAsia="仿宋" w:cs="仿宋"/>
          <w:sz w:val="32"/>
          <w:szCs w:val="32"/>
        </w:rPr>
        <w:fldChar w:fldCharType="begin"/>
      </w:r>
      <w:r>
        <w:rPr>
          <w:rFonts w:hint="eastAsia" w:ascii="仿宋" w:hAnsi="仿宋" w:eastAsia="仿宋" w:cs="仿宋"/>
          <w:sz w:val="32"/>
          <w:szCs w:val="32"/>
        </w:rPr>
        <w:instrText xml:space="preserve"> TC </w:instrText>
      </w:r>
      <w:bookmarkStart w:id="0" w:name="_Toc37339505"/>
      <w:r>
        <w:rPr>
          <w:rFonts w:hint="eastAsia" w:ascii="仿宋" w:hAnsi="仿宋" w:eastAsia="仿宋" w:cs="仿宋"/>
          <w:sz w:val="32"/>
          <w:szCs w:val="32"/>
        </w:rPr>
        <w:instrText xml:space="preserve">部门职责</w:instrText>
      </w:r>
      <w:bookmarkEnd w:id="0"/>
      <w:r>
        <w:rPr>
          <w:rFonts w:hint="eastAsia" w:ascii="仿宋" w:hAnsi="仿宋" w:eastAsia="仿宋" w:cs="仿宋"/>
          <w:sz w:val="32"/>
          <w:szCs w:val="32"/>
        </w:rPr>
        <w:instrText xml:space="preserve"> \f A \l 1 </w:instrText>
      </w:r>
      <w:r>
        <w:rPr>
          <w:rFonts w:hint="eastAsia" w:ascii="仿宋" w:hAnsi="仿宋" w:eastAsia="仿宋" w:cs="仿宋"/>
          <w:sz w:val="32"/>
          <w:szCs w:val="32"/>
        </w:rPr>
        <w:fldChar w:fldCharType="separate"/>
      </w:r>
      <w:r>
        <w:rPr>
          <w:rFonts w:hint="eastAsia" w:ascii="仿宋" w:hAnsi="仿宋" w:eastAsia="仿宋" w:cs="仿宋"/>
          <w:sz w:val="32"/>
          <w:szCs w:val="32"/>
        </w:rPr>
        <w:fldChar w:fldCharType="end"/>
      </w:r>
      <w:r>
        <w:rPr>
          <w:rFonts w:hint="eastAsia" w:ascii="仿宋_GB2312" w:hAnsi="仿宋_GB2312" w:eastAsia="仿宋_GB2312" w:cs="仿宋_GB2312"/>
          <w:sz w:val="32"/>
          <w:szCs w:val="32"/>
        </w:rPr>
        <w:t>根据《文联职能配置、内设机构和人员编制规定》， 文联的主要职责是：无极县文学艺术界联合会是无极县委管理的群团部门，参照公务员管理的全额事业单位，共有下列六项职责</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把精品生产和人才培养结合起来，抓精品生产和人才培养工程：一是鼓励重点作者下基层采风，为创作精品提供充实的第一资料；二是组织各协会进行交流，取长补短；三是举办个门类培训班，邀请专家学者授课指导，提高水平；四是下大力培养新人推出新作，使文艺事业后继有人。开展主题性文艺活动，展示我市在社会发展进程中取得的成绩。</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rPr>
          <w:trHeight w:val="227" w:hRule="atLeast"/>
          <w:jc w:val="center"/>
        </w:trPr>
        <w:tc>
          <w:tcPr>
            <w:tcW w:w="4417" w:type="dxa"/>
            <w:vAlign w:val="center"/>
          </w:tcPr>
          <w:p>
            <w:pPr>
              <w:spacing w:line="300" w:lineRule="exact"/>
              <w:jc w:val="left"/>
              <w:rPr>
                <w:rFonts w:hint="eastAsia" w:ascii="Times New Roman" w:hAnsi="Times New Roman" w:eastAsia="方正书宋_GBK" w:cs="Times New Roman"/>
                <w:szCs w:val="24"/>
                <w:lang w:eastAsia="zh-CN"/>
              </w:rPr>
            </w:pPr>
            <w:r>
              <w:rPr>
                <w:rFonts w:hint="eastAsia" w:ascii="方正书宋_GBK" w:eastAsia="方正书宋_GBK"/>
                <w:lang w:eastAsia="zh-CN"/>
              </w:rPr>
              <w:t>无极县文学艺术界联合会</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w:t>
            </w:r>
            <w:r>
              <w:rPr>
                <w:rFonts w:hint="eastAsia" w:ascii="方正书宋_GBK" w:eastAsia="方正书宋_GBK"/>
                <w:lang w:eastAsia="zh-CN"/>
              </w:rPr>
              <w:t>科</w:t>
            </w:r>
            <w:r>
              <w:rPr>
                <w:rFonts w:hint="eastAsia" w:ascii="方正书宋_GBK" w:eastAsia="方正书宋_GBK"/>
              </w:rPr>
              <w:t>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lang w:eastAsia="zh-CN"/>
        </w:rPr>
        <w:t>无极县文学艺术界联合会</w:t>
      </w:r>
      <w:r>
        <w:rPr>
          <w:rFonts w:ascii="Times New Roman" w:hAnsi="Times New Roman" w:eastAsia="仿宋" w:cs="Times New Roman"/>
          <w:sz w:val="32"/>
          <w:szCs w:val="32"/>
        </w:rPr>
        <w:t>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hint="eastAsia" w:ascii="Times New Roman" w:hAnsi="Times New Roman" w:eastAsia="仿宋" w:cs="Times New Roman"/>
          <w:sz w:val="32"/>
          <w:szCs w:val="32"/>
          <w:lang w:val="en-US" w:eastAsia="zh-CN"/>
        </w:rPr>
        <w:t>52.23</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52.23</w:t>
      </w:r>
      <w:r>
        <w:rPr>
          <w:rFonts w:hint="eastAsia" w:ascii="Times New Roman" w:hAnsi="Times New Roman" w:eastAsia="仿宋" w:cs="Times New Roman"/>
          <w:sz w:val="32"/>
          <w:szCs w:val="32"/>
        </w:rPr>
        <w:t>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无极县文学艺术界联合会</w:t>
      </w:r>
      <w:r>
        <w:rPr>
          <w:rFonts w:hint="eastAsia" w:ascii="Times New Roman" w:hAnsi="Times New Roman" w:eastAsia="仿宋" w:cs="Times New Roman"/>
          <w:sz w:val="32"/>
          <w:szCs w:val="32"/>
        </w:rPr>
        <w:t>年度部门预算中支出预算的总体情况。2020年部门支出预算为</w:t>
      </w:r>
      <w:r>
        <w:rPr>
          <w:rFonts w:hint="eastAsia" w:ascii="Times New Roman" w:hAnsi="Times New Roman" w:eastAsia="仿宋" w:cs="Times New Roman"/>
          <w:sz w:val="32"/>
          <w:szCs w:val="32"/>
          <w:lang w:val="en-US" w:eastAsia="zh-CN"/>
        </w:rPr>
        <w:t>52.23</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52.23</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45.55</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6.68</w:t>
      </w:r>
      <w:r>
        <w:rPr>
          <w:rFonts w:hint="eastAsia" w:ascii="Times New Roman" w:hAnsi="Times New Roman" w:eastAsia="仿宋" w:cs="Times New Roman"/>
          <w:sz w:val="32"/>
          <w:szCs w:val="32"/>
        </w:rPr>
        <w:t>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lang w:val="en-US" w:eastAsia="zh-CN"/>
        </w:rPr>
        <w:t>52.23</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18.25</w:t>
      </w:r>
      <w:r>
        <w:rPr>
          <w:rFonts w:hint="eastAsia" w:ascii="Times New Roman" w:hAnsi="Times New Roman" w:eastAsia="仿宋" w:cs="Times New Roman"/>
          <w:sz w:val="32"/>
          <w:szCs w:val="32"/>
        </w:rPr>
        <w:t>万元，其中：基本支出减少</w:t>
      </w:r>
      <w:r>
        <w:rPr>
          <w:rFonts w:hint="eastAsia" w:ascii="Times New Roman" w:hAnsi="Times New Roman" w:eastAsia="仿宋" w:cs="Times New Roman"/>
          <w:sz w:val="32"/>
          <w:szCs w:val="32"/>
          <w:lang w:val="en-US" w:eastAsia="zh-CN"/>
        </w:rPr>
        <w:t>18.25</w:t>
      </w:r>
      <w:r>
        <w:rPr>
          <w:rFonts w:hint="eastAsia" w:ascii="Times New Roman" w:hAnsi="Times New Roman" w:eastAsia="仿宋" w:cs="Times New Roman"/>
          <w:sz w:val="32"/>
          <w:szCs w:val="32"/>
        </w:rPr>
        <w:t>万元，主要是人员减少，相应减少人员经费和日常公用经费；其他支出无增减变化。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w:t>
      </w:r>
      <w:r>
        <w:rPr>
          <w:rFonts w:hint="eastAsia" w:ascii="Times New Roman" w:hAnsi="Times New Roman" w:eastAsia="仿宋" w:cs="Times New Roman"/>
          <w:sz w:val="32"/>
          <w:szCs w:val="32"/>
          <w:lang w:val="en-US" w:eastAsia="zh-CN"/>
        </w:rPr>
        <w:t>6.68</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jc w:val="left"/>
        <w:rPr>
          <w:rFonts w:ascii="方正黑体_GBK" w:eastAsia="方正黑体_GBK"/>
          <w:sz w:val="28"/>
        </w:rPr>
      </w:pPr>
      <w:r>
        <w:rPr>
          <w:rFonts w:hint="eastAsia" w:ascii="仿宋" w:hAnsi="仿宋" w:eastAsia="仿宋" w:cs="仿宋"/>
          <w:sz w:val="32"/>
          <w:szCs w:val="32"/>
          <w:lang w:val="en-US" w:eastAsia="zh-CN"/>
        </w:rPr>
        <w:t xml:space="preserve">     </w:t>
      </w:r>
      <w:r>
        <w:rPr>
          <w:rFonts w:hint="eastAsia" w:ascii="仿宋" w:hAnsi="仿宋" w:eastAsia="仿宋" w:cs="仿宋"/>
          <w:b/>
          <w:bCs/>
          <w:sz w:val="32"/>
          <w:szCs w:val="32"/>
        </w:rPr>
        <w:t>第一部分</w:t>
      </w:r>
      <w:r>
        <w:rPr>
          <w:rFonts w:hint="eastAsia" w:ascii="仿宋" w:hAnsi="仿宋" w:eastAsia="仿宋" w:cs="仿宋"/>
          <w:b/>
          <w:bCs/>
          <w:sz w:val="32"/>
          <w:szCs w:val="32"/>
          <w:lang w:val="en-US" w:eastAsia="zh-CN"/>
        </w:rPr>
        <w:t xml:space="preserve">  </w:t>
      </w:r>
      <w:r>
        <w:rPr>
          <w:rFonts w:hint="eastAsia" w:ascii="仿宋" w:hAnsi="仿宋" w:eastAsia="仿宋" w:cs="仿宋"/>
          <w:b/>
          <w:bCs/>
          <w:sz w:val="32"/>
          <w:szCs w:val="32"/>
        </w:rPr>
        <w:t>部门整体绩效目标</w:t>
      </w:r>
      <w: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w:instrText>
      </w:r>
      <w:bookmarkStart w:id="1" w:name="_Toc34959551"/>
      <w:r>
        <w:rPr>
          <w:rFonts w:hint="eastAsia" w:ascii="方正黑体_GBK" w:eastAsia="方正黑体_GBK"/>
          <w:sz w:val="28"/>
        </w:rPr>
        <w:instrText xml:space="preserve">总体绩效目标</w:instrText>
      </w:r>
      <w:bookmarkEnd w:id="1"/>
      <w:r>
        <w:rPr>
          <w:rFonts w:hint="eastAsia" w:ascii="方正黑体_GBK" w:eastAsia="方正黑体_GBK"/>
          <w:sz w:val="28"/>
        </w:rPr>
        <w:instrText xml:space="preserve"> \f A \l 1</w:instrText>
      </w:r>
      <w:r>
        <w:rPr>
          <w:rFonts w:ascii="方正黑体_GBK" w:eastAsia="方正黑体_GBK"/>
          <w:sz w:val="28"/>
        </w:rPr>
        <w:instrText xml:space="preserve"> </w:instrText>
      </w:r>
      <w:r>
        <w:rPr>
          <w:rFonts w:ascii="方正黑体_GBK" w:eastAsia="方正黑体_GBK"/>
          <w:sz w:val="28"/>
        </w:rPr>
        <w:fldChar w:fldCharType="separate"/>
      </w:r>
      <w:r>
        <w:rPr>
          <w:rFonts w:ascii="方正黑体_GBK" w:eastAsia="方正黑体_GBK"/>
          <w:sz w:val="28"/>
        </w:rPr>
        <w:fldChar w:fldCharType="end"/>
      </w:r>
    </w:p>
    <w:p>
      <w:pPr>
        <w:jc w:val="left"/>
        <w:rPr>
          <w:rFonts w:hint="eastAsia" w:ascii="仿宋" w:hAnsi="仿宋" w:eastAsia="仿宋" w:cs="仿宋"/>
          <w:b w:val="0"/>
          <w:bCs w:val="0"/>
          <w:sz w:val="32"/>
          <w:szCs w:val="32"/>
        </w:rPr>
      </w:pPr>
      <w:r>
        <w:rPr>
          <w:rFonts w:hint="eastAsia" w:ascii="方正黑体_GBK" w:eastAsia="方正黑体_GBK"/>
          <w:sz w:val="28"/>
          <w:lang w:val="en-US" w:eastAsia="zh-CN"/>
        </w:rPr>
        <w:t xml:space="preserve">      </w:t>
      </w:r>
      <w:r>
        <w:rPr>
          <w:rFonts w:hint="eastAsia" w:ascii="仿宋" w:hAnsi="仿宋" w:eastAsia="仿宋" w:cs="仿宋"/>
          <w:b w:val="0"/>
          <w:bCs w:val="0"/>
          <w:sz w:val="32"/>
          <w:szCs w:val="32"/>
          <w:lang w:val="en-US" w:eastAsia="zh-CN"/>
        </w:rPr>
        <w:t>(</w:t>
      </w:r>
      <w:r>
        <w:rPr>
          <w:rFonts w:hint="eastAsia" w:ascii="仿宋" w:hAnsi="仿宋" w:eastAsia="仿宋" w:cs="仿宋"/>
          <w:b w:val="0"/>
          <w:bCs w:val="0"/>
          <w:sz w:val="32"/>
          <w:szCs w:val="32"/>
        </w:rPr>
        <w:t>一</w:t>
      </w:r>
      <w:r>
        <w:rPr>
          <w:rFonts w:hint="eastAsia" w:ascii="仿宋" w:hAnsi="仿宋" w:eastAsia="仿宋" w:cs="仿宋"/>
          <w:b w:val="0"/>
          <w:bCs w:val="0"/>
          <w:sz w:val="32"/>
          <w:szCs w:val="32"/>
          <w:lang w:val="en-US" w:eastAsia="zh-CN"/>
        </w:rPr>
        <w:t>)</w:t>
      </w:r>
      <w:r>
        <w:rPr>
          <w:rFonts w:hint="eastAsia" w:ascii="仿宋" w:hAnsi="仿宋" w:eastAsia="仿宋" w:cs="仿宋"/>
          <w:b w:val="0"/>
          <w:bCs w:val="0"/>
          <w:sz w:val="32"/>
          <w:szCs w:val="32"/>
        </w:rPr>
        <w:t>、总体绩效目标</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无极县文学艺术界联合会整体绩效目标: 围绕县委、县政府中心工作开展主题性文艺活动；推荐优秀文艺作品不少于40幅，推荐文艺新人；组织各协会进行学习交流不少于4次；举办各门类创作培训班不少于4期，大型书画、美术、摄影展览不少于4次；展主体性文艺创作，打造文艺品牌。</w:t>
      </w:r>
    </w:p>
    <w:p>
      <w:pPr>
        <w:autoSpaceDE w:val="0"/>
        <w:autoSpaceDN w:val="0"/>
        <w:adjustRightInd w:val="0"/>
        <w:jc w:val="left"/>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rPr>
        <w:t>二</w:t>
      </w:r>
      <w:r>
        <w:rPr>
          <w:rFonts w:hint="eastAsia" w:ascii="仿宋" w:hAnsi="仿宋" w:eastAsia="仿宋" w:cs="仿宋"/>
          <w:b w:val="0"/>
          <w:bCs w:val="0"/>
          <w:sz w:val="32"/>
          <w:szCs w:val="32"/>
          <w:lang w:val="en-US" w:eastAsia="zh-CN"/>
        </w:rPr>
        <w:t>)</w:t>
      </w:r>
      <w:r>
        <w:rPr>
          <w:rFonts w:hint="eastAsia" w:ascii="仿宋" w:hAnsi="仿宋" w:eastAsia="仿宋" w:cs="仿宋"/>
          <w:b w:val="0"/>
          <w:bCs w:val="0"/>
          <w:sz w:val="32"/>
          <w:szCs w:val="32"/>
        </w:rPr>
        <w:t>、分项绩效目标</w:t>
      </w:r>
      <w:r>
        <w:rPr>
          <w:rFonts w:hint="eastAsia" w:ascii="仿宋" w:hAnsi="仿宋" w:eastAsia="仿宋" w:cs="仿宋"/>
          <w:b w:val="0"/>
          <w:bCs w:val="0"/>
          <w:sz w:val="32"/>
          <w:szCs w:val="32"/>
        </w:rPr>
        <w:fldChar w:fldCharType="begin"/>
      </w:r>
      <w:r>
        <w:rPr>
          <w:rFonts w:hint="eastAsia" w:ascii="仿宋" w:hAnsi="仿宋" w:eastAsia="仿宋" w:cs="仿宋"/>
          <w:b w:val="0"/>
          <w:bCs w:val="0"/>
          <w:sz w:val="32"/>
          <w:szCs w:val="32"/>
        </w:rPr>
        <w:instrText xml:space="preserve"> TC </w:instrText>
      </w:r>
      <w:bookmarkStart w:id="2" w:name="_Toc34959552"/>
      <w:r>
        <w:rPr>
          <w:rFonts w:hint="eastAsia" w:ascii="仿宋" w:hAnsi="仿宋" w:eastAsia="仿宋" w:cs="仿宋"/>
          <w:b w:val="0"/>
          <w:bCs w:val="0"/>
          <w:sz w:val="32"/>
          <w:szCs w:val="32"/>
        </w:rPr>
        <w:instrText xml:space="preserve">分项绩效目标</w:instrText>
      </w:r>
      <w:bookmarkEnd w:id="2"/>
      <w:r>
        <w:rPr>
          <w:rFonts w:hint="eastAsia" w:ascii="仿宋" w:hAnsi="仿宋" w:eastAsia="仿宋" w:cs="仿宋"/>
          <w:b w:val="0"/>
          <w:bCs w:val="0"/>
          <w:sz w:val="32"/>
          <w:szCs w:val="32"/>
        </w:rPr>
        <w:instrText xml:space="preserve"> \f A \l 1 </w:instrText>
      </w:r>
      <w:r>
        <w:rPr>
          <w:rFonts w:hint="eastAsia" w:ascii="仿宋" w:hAnsi="仿宋" w:eastAsia="仿宋" w:cs="仿宋"/>
          <w:b w:val="0"/>
          <w:bCs w:val="0"/>
          <w:sz w:val="32"/>
          <w:szCs w:val="32"/>
        </w:rPr>
        <w:fldChar w:fldCharType="separate"/>
      </w:r>
      <w:r>
        <w:rPr>
          <w:rFonts w:hint="eastAsia" w:ascii="仿宋" w:hAnsi="仿宋" w:eastAsia="仿宋" w:cs="仿宋"/>
          <w:b w:val="0"/>
          <w:bCs w:val="0"/>
          <w:sz w:val="32"/>
          <w:szCs w:val="32"/>
        </w:rPr>
        <w:fldChar w:fldCharType="end"/>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1</w:t>
      </w:r>
      <w:r>
        <w:rPr>
          <w:rFonts w:hint="eastAsia" w:ascii="仿宋_GB2312" w:hAnsi="仿宋_GB2312" w:eastAsia="仿宋_GB2312" w:cs="仿宋_GB2312"/>
          <w:sz w:val="32"/>
          <w:szCs w:val="32"/>
        </w:rPr>
        <w:t>、2020年书、美、摄协系列展览活动，开展主体性文艺活动，弘扬优秀传统文化，推动文化强市建设，提高我市文化凝聚力和影响力。</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绩效目标：举办大型书画展览4次以上，推荐文艺新人5人以上。</w:t>
      </w:r>
      <w:r>
        <w:rPr>
          <w:rFonts w:hint="eastAsia" w:ascii="仿宋_GB2312" w:hAnsi="仿宋_GB2312" w:eastAsia="仿宋_GB2312" w:cs="仿宋_GB2312"/>
          <w:sz w:val="32"/>
          <w:szCs w:val="32"/>
        </w:rPr>
        <w:tab/>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绩效指标：举办文艺活动完成率大于95%。</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开展学习交流活动，开展主体性文艺创作，促进市文化艺术的影响力和美誉度进一步提高。</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绩效目标：举办各门类学习交流不少于6次。</w:t>
      </w:r>
    </w:p>
    <w:p>
      <w:pPr>
        <w:spacing w:line="500" w:lineRule="exact"/>
        <w:ind w:firstLine="640" w:firstLineChars="200"/>
        <w:jc w:val="left"/>
        <w:rPr>
          <w:rFonts w:eastAsia="方正仿宋_GBK"/>
          <w:sz w:val="28"/>
        </w:rPr>
      </w:pPr>
      <w:r>
        <w:rPr>
          <w:rFonts w:hint="eastAsia" w:ascii="仿宋_GB2312" w:hAnsi="仿宋_GB2312" w:eastAsia="仿宋_GB2312" w:cs="仿宋_GB2312"/>
          <w:sz w:val="32"/>
          <w:szCs w:val="32"/>
        </w:rPr>
        <w:t>绩效目标：举办各门类培训班不少于4期。</w:t>
      </w:r>
    </w:p>
    <w:p>
      <w:pPr>
        <w:spacing w:line="500" w:lineRule="exact"/>
        <w:jc w:val="left"/>
        <w:outlineLvl w:val="1"/>
        <w:rPr>
          <w:rFonts w:hint="eastAsia" w:ascii="仿宋" w:hAnsi="仿宋" w:eastAsia="仿宋" w:cs="仿宋"/>
          <w:sz w:val="28"/>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（三）</w:t>
      </w:r>
      <w:r>
        <w:rPr>
          <w:rFonts w:hint="eastAsia" w:ascii="仿宋" w:hAnsi="仿宋" w:eastAsia="仿宋" w:cs="仿宋"/>
          <w:sz w:val="32"/>
          <w:szCs w:val="32"/>
        </w:rPr>
        <w:t>、工作保障措施</w:t>
      </w:r>
      <w:r>
        <w:rPr>
          <w:rFonts w:hint="eastAsia" w:ascii="仿宋" w:hAnsi="仿宋" w:eastAsia="仿宋" w:cs="仿宋"/>
        </w:rPr>
        <w:fldChar w:fldCharType="begin"/>
      </w:r>
      <w:r>
        <w:rPr>
          <w:rFonts w:hint="eastAsia" w:ascii="仿宋" w:hAnsi="仿宋" w:eastAsia="仿宋" w:cs="仿宋"/>
          <w:sz w:val="28"/>
        </w:rPr>
        <w:instrText xml:space="preserve"> TC </w:instrText>
      </w:r>
      <w:bookmarkStart w:id="3" w:name="_Toc34959553"/>
      <w:r>
        <w:rPr>
          <w:rFonts w:hint="eastAsia" w:ascii="仿宋" w:hAnsi="仿宋" w:eastAsia="仿宋" w:cs="仿宋"/>
          <w:sz w:val="28"/>
        </w:rPr>
        <w:instrText xml:space="preserve">工作保障措施</w:instrText>
      </w:r>
      <w:bookmarkEnd w:id="3"/>
      <w:r>
        <w:rPr>
          <w:rFonts w:hint="eastAsia" w:ascii="仿宋" w:hAnsi="仿宋" w:eastAsia="仿宋" w:cs="仿宋"/>
          <w:sz w:val="28"/>
        </w:rPr>
        <w:instrText xml:space="preserve"> \f A \l 1 </w:instrText>
      </w:r>
      <w:r>
        <w:rPr>
          <w:rFonts w:hint="eastAsia" w:ascii="仿宋" w:hAnsi="仿宋" w:eastAsia="仿宋" w:cs="仿宋"/>
          <w:sz w:val="28"/>
        </w:rPr>
        <w:fldChar w:fldCharType="separate"/>
      </w:r>
      <w:r>
        <w:rPr>
          <w:rFonts w:hint="eastAsia" w:ascii="仿宋" w:hAnsi="仿宋" w:eastAsia="仿宋" w:cs="仿宋"/>
          <w:sz w:val="28"/>
        </w:rPr>
        <w:fldChar w:fldCharType="end"/>
      </w:r>
    </w:p>
    <w:p>
      <w:pPr>
        <w:spacing w:line="500" w:lineRule="exact"/>
        <w:ind w:firstLine="560" w:firstLineChars="200"/>
        <w:jc w:val="left"/>
        <w:rPr>
          <w:rFonts w:hint="eastAsia" w:ascii="仿宋_GB2312" w:hAnsi="仿宋_GB2312" w:eastAsia="仿宋_GB2312" w:cs="仿宋_GB2312"/>
          <w:sz w:val="32"/>
          <w:szCs w:val="32"/>
        </w:rPr>
      </w:pPr>
      <w:r>
        <w:rPr>
          <w:rFonts w:eastAsia="方正仿宋_GBK"/>
          <w:sz w:val="28"/>
        </w:rPr>
        <w:t xml:space="preserve"> </w:t>
      </w:r>
      <w:r>
        <w:rPr>
          <w:rFonts w:hint="eastAsia" w:ascii="仿宋_GB2312" w:hAnsi="仿宋_GB2312" w:eastAsia="仿宋_GB2312" w:cs="仿宋_GB2312"/>
          <w:sz w:val="32"/>
          <w:szCs w:val="32"/>
        </w:rPr>
        <w:t xml:space="preserve">实现本年度规划目标的保障措施     </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据县委、县政府专题会议精神，做好各协会和艺术家创作基地建设，为优秀文艺人才提供良好的创作环境。搞好创新，真正让各文艺家协会动起来，文艺队伍带起了。强化文艺活动机制，加大对青年创作人才的扶持力度。</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完善制度建设：继续完善机关管理制度建设，积极推动发挥文联组织、服务、协调、交流的作用，提高人民群众艺术修养。</w:t>
      </w:r>
    </w:p>
    <w:p>
      <w:pPr>
        <w:spacing w:line="500" w:lineRule="exact"/>
        <w:ind w:firstLine="640" w:firstLineChars="200"/>
        <w:jc w:val="left"/>
        <w:rPr>
          <w:rFonts w:eastAsia="方正仿宋_GBK"/>
          <w:sz w:val="28"/>
        </w:rPr>
      </w:pPr>
      <w:r>
        <w:rPr>
          <w:rFonts w:hint="eastAsia" w:ascii="仿宋_GB2312" w:hAnsi="仿宋_GB2312" w:eastAsia="仿宋_GB2312" w:cs="仿宋_GB2312"/>
          <w:sz w:val="32"/>
          <w:szCs w:val="32"/>
        </w:rPr>
        <w:t>加强支出管理：2020年书、美、摄协系列展览活动需要资金1万元。</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加强绩效运行监控：按照要求，开展绩效运行监控，发现问题及时采取措施，确保绩效目标如期保质实现。</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做好绩效自评：按要求，开展上年度部门预算绩效自评和重点评价工作，对评价中发现的问题及时整改，调整优化支出结构，提高财政资金使用效益。</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规范财务资产管理：完善财务管理制度，严格审批程序，加强固定资产登记、使用和报废处置管理，做到支出合理，物尽其用。</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六、政府采购预算情况</w:t>
      </w:r>
    </w:p>
    <w:p>
      <w:pPr>
        <w:spacing w:line="500" w:lineRule="exact"/>
        <w:ind w:firstLine="640" w:firstLineChars="200"/>
        <w:jc w:val="left"/>
        <w:rPr>
          <w:rFonts w:hint="eastAsia" w:ascii="仿宋_GB2312" w:hAnsi="仿宋_GB2312" w:eastAsia="仿宋_GB2312" w:cs="仿宋_GB2312"/>
          <w:sz w:val="32"/>
          <w:szCs w:val="32"/>
        </w:rPr>
      </w:pPr>
      <w:bookmarkStart w:id="4" w:name="_Toc471398468"/>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年我单位没有安排政府采购预算，政府采购预算金额为0万元。</w:t>
      </w:r>
      <w:bookmarkEnd w:id="4"/>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pPr>
        <w:spacing w:line="500" w:lineRule="exact"/>
        <w:ind w:firstLine="560" w:firstLineChars="200"/>
        <w:jc w:val="left"/>
        <w:rPr>
          <w:rFonts w:eastAsia="方正仿宋_GBK"/>
          <w:sz w:val="28"/>
        </w:rPr>
      </w:pPr>
    </w:p>
    <w:p>
      <w:pPr>
        <w:ind w:firstLine="420" w:firstLineChars="200"/>
        <w:jc w:val="center"/>
        <w:rPr>
          <w:rFonts w:hAnsi="宋体"/>
        </w:rPr>
      </w:pPr>
      <w:r>
        <w:rPr>
          <w:rFonts w:ascii="方正书宋_GBK" w:eastAsia="方正书宋_GBK"/>
        </w:rPr>
        <w:t xml:space="preserve"> </w:t>
      </w:r>
    </w:p>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hint="eastAsia"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lang w:eastAsia="zh-CN"/>
        </w:rPr>
        <w:t>无极县文学艺术界联合会</w:t>
      </w:r>
      <w:r>
        <w:rPr>
          <w:rFonts w:hint="eastAsia"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1.51</w:t>
      </w:r>
      <w:r>
        <w:rPr>
          <w:rFonts w:ascii="Times New Roman" w:hAnsi="Times New Roman" w:eastAsia="仿宋" w:cs="Times New Roman"/>
          <w:color w:val="000000"/>
          <w:sz w:val="32"/>
          <w:szCs w:val="32"/>
        </w:rPr>
        <w:t>万元（详见下表）</w:t>
      </w:r>
      <w:r>
        <w:rPr>
          <w:rFonts w:hint="eastAsia" w:ascii="Times New Roman" w:hAnsi="Times New Roman" w:eastAsia="仿宋" w:cs="Times New Roman"/>
          <w:color w:val="000000"/>
          <w:sz w:val="32"/>
          <w:szCs w:val="32"/>
        </w:rPr>
        <w:t>。</w:t>
      </w:r>
    </w:p>
    <w:tbl>
      <w:tblPr>
        <w:tblpPr w:leftFromText="180" w:rightFromText="180" w:vertAnchor="text" w:horzAnchor="page" w:tblpX="1014" w:tblpY="82"/>
        <w:tblOverlap w:val="never"/>
        <w:tblW w:w="10200" w:type="dxa"/>
        <w:jc w:val="left"/>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953"/>
        <w:gridCol w:w="2387"/>
        <w:gridCol w:w="3860"/>
      </w:tblGrid>
      <w:tr>
        <w:trPr>
          <w:trHeight w:val="527" w:hRule="atLeast"/>
          <w:jc w:val="left"/>
        </w:trPr>
        <w:tc>
          <w:tcPr>
            <w:tcW w:w="10200"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lang w:eastAsia="zh-CN"/>
              </w:rPr>
              <w:t>无极县县</w:t>
            </w:r>
            <w:r>
              <w:rPr>
                <w:rFonts w:hint="eastAsia" w:ascii="宋体" w:hAnsi="宋体" w:cs="宋体"/>
                <w:b/>
                <w:bCs/>
                <w:kern w:val="0"/>
                <w:sz w:val="32"/>
                <w:szCs w:val="32"/>
              </w:rPr>
              <w:t>直部门固定资产占用情况表</w:t>
            </w:r>
          </w:p>
        </w:tc>
      </w:tr>
      <w:tr>
        <w:trPr>
          <w:trHeight w:val="527" w:hRule="atLeast"/>
          <w:jc w:val="left"/>
        </w:trPr>
        <w:tc>
          <w:tcPr>
            <w:tcW w:w="6340"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无极县文学艺术联合会</w:t>
            </w:r>
          </w:p>
        </w:tc>
        <w:tc>
          <w:tcPr>
            <w:tcW w:w="3860" w:type="dxa"/>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trPr>
          <w:trHeight w:val="498" w:hRule="atLeast"/>
          <w:jc w:val="left"/>
        </w:trPr>
        <w:tc>
          <w:tcPr>
            <w:tcW w:w="3953"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2387"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386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rPr>
          <w:trHeight w:val="498" w:hRule="atLeast"/>
          <w:jc w:val="left"/>
        </w:trPr>
        <w:tc>
          <w:tcPr>
            <w:tcW w:w="3953"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238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860"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FF0000"/>
                <w:kern w:val="0"/>
                <w:sz w:val="22"/>
                <w:lang w:eastAsia="zh-CN"/>
              </w:rPr>
            </w:pPr>
            <w:r>
              <w:rPr>
                <w:rFonts w:hint="eastAsia" w:ascii="Times New Roman" w:hAnsi="Times New Roman" w:eastAsia="仿宋" w:cs="Times New Roman"/>
                <w:color w:val="000000"/>
                <w:kern w:val="0"/>
                <w:sz w:val="22"/>
                <w:lang w:val="en-US" w:eastAsia="zh-CN"/>
              </w:rPr>
              <w:t>1.51</w:t>
            </w:r>
          </w:p>
        </w:tc>
      </w:tr>
      <w:tr>
        <w:trPr>
          <w:trHeight w:val="498" w:hRule="atLeast"/>
          <w:jc w:val="left"/>
        </w:trPr>
        <w:tc>
          <w:tcPr>
            <w:tcW w:w="3953"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2387"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c>
          <w:tcPr>
            <w:tcW w:w="3860"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trPr>
          <w:trHeight w:val="509" w:hRule="atLeast"/>
          <w:jc w:val="left"/>
        </w:trPr>
        <w:tc>
          <w:tcPr>
            <w:tcW w:w="3953"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2387"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c>
          <w:tcPr>
            <w:tcW w:w="3860"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trPr>
          <w:trHeight w:val="498" w:hRule="atLeast"/>
          <w:jc w:val="left"/>
        </w:trPr>
        <w:tc>
          <w:tcPr>
            <w:tcW w:w="3953"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2387"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c>
          <w:tcPr>
            <w:tcW w:w="3860"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trPr>
          <w:trHeight w:val="498" w:hRule="atLeast"/>
          <w:jc w:val="left"/>
        </w:trPr>
        <w:tc>
          <w:tcPr>
            <w:tcW w:w="3953"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238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860"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trPr>
          <w:trHeight w:val="520" w:hRule="atLeast"/>
          <w:jc w:val="left"/>
        </w:trPr>
        <w:tc>
          <w:tcPr>
            <w:tcW w:w="3953"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238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860"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1.51</w:t>
            </w:r>
          </w:p>
        </w:tc>
      </w:tr>
    </w:tbl>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lang w:val="en-US" w:eastAsia="zh-CN"/>
        </w:rPr>
        <w:t xml:space="preserve">    </w:t>
      </w: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w:t>
      </w:r>
      <w:bookmarkStart w:id="5" w:name="_GoBack"/>
      <w:bookmarkEnd w:id="5"/>
      <w:r>
        <w:rPr>
          <w:rFonts w:hint="eastAsia" w:ascii="Times New Roman" w:hAnsi="Times New Roman" w:eastAsia="仿宋" w:cs="Times New Roman"/>
          <w:sz w:val="32"/>
          <w:szCs w:val="32"/>
        </w:rPr>
        <w:t>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1907" w:h="16839"/>
      <w:pgMar w:top="1984" w:right="1304" w:bottom="1134" w:left="1304" w:header="851" w:footer="992" w:gutter="0"/>
      <w:pgNumType w:start="1"/>
      <w:cols w:space="720"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Calibri">
    <w:panose1 w:val="020F0502020204030204"/>
    <w:charset w:val="00"/>
    <w:family w:val="auto"/>
    <w:pitch w:val="default"/>
    <w:sig w:usb0="A00002EF" w:usb1="4000207B" w:usb2="00000000" w:usb3="00000000" w:csb0="2000009F" w:csb1="00000000"/>
  </w:font>
  <w:font w:name="方正小标宋_GBK">
    <w:altName w:val="微软雅黑"/>
    <w:panose1 w:val="03000509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书宋_GBK">
    <w:altName w:val="微软雅黑"/>
    <w:panose1 w:val="03000509000000000000"/>
    <w:charset w:val="86"/>
    <w:family w:val="auto"/>
    <w:pitch w:val="default"/>
    <w:sig w:usb0="00000000" w:usb1="00000000" w:usb2="00000010" w:usb3="00000000" w:csb0="00040000" w:csb1="00000000"/>
  </w:font>
  <w:font w:name="方正仿宋_GBK">
    <w:altName w:val="微软雅黑"/>
    <w:panose1 w:val="03000509000000000000"/>
    <w:charset w:val="86"/>
    <w:family w:val="auto"/>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1" w:usb1="080E0000" w:usb2="00000000" w:usb3="00000000" w:csb0="00040000" w:csb1="00000000"/>
  </w:font>
  <w:font w:name="方正黑体_GBK">
    <w:altName w:val="宋体"/>
    <w:panose1 w:val="00000000000000000000"/>
    <w:charset w:val="86"/>
    <w:family w:val="auto"/>
    <w:pitch w:val="default"/>
    <w:sig w:usb0="00000000" w:usb1="00000000" w:usb2="00000000" w:usb3="00000000" w:csb0="00040001" w:csb1="00000000"/>
  </w:font>
  <w:font w:name="楷体_GB2312">
    <w:altName w:val="楷体"/>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Cambria">
    <w:panose1 w:val="02040503050406030204"/>
    <w:charset w:val="00"/>
    <w:family w:val="auto"/>
    <w:pitch w:val="default"/>
    <w:sig w:usb0="A00002EF" w:usb1="4000004B" w:usb2="00000000" w:usb3="00000000" w:csb0="2000009F"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2"/>
      <w:framePr w:wrap="around" w:hAnchor="margin" w:vAnchor="text" w:xAlign="outside" w:y="1"/>
      <w:rPr>
        <w:rStyle w:val="13"/>
      </w:rPr>
    </w:pPr>
    <w:r>
      <w:fldChar w:fldCharType="begin"/>
    </w:r>
    <w:r>
      <w:rPr>
        <w:rStyle w:val="13"/>
      </w:rPr>
      <w:instrText xml:space="preserve">PAGE  </w:instrText>
    </w:r>
    <w:r>
      <w:fldChar w:fldCharType="separate"/>
    </w:r>
    <w:r>
      <w:rPr>
        <w:rStyle w:val="13"/>
      </w:rPr>
      <w:t>4</w:t>
    </w:r>
    <w:r>
      <w:fldChar w:fldCharType="end"/>
    </w:r>
  </w:p>
  <w:p>
    <w:pPr>
      <w:pStyle w:val="12"/>
      <w:tabs>
        <w:tab w:val="left" w:pos="8400"/>
        <w:tab w:val="left" w:pos="8820"/>
        <w:tab w:val="left" w:pos="9240"/>
        <w:tab w:val="left" w:pos="9298"/>
        <w:tab w:val="left" w:pos="10500"/>
        <w:tab w:val="left" w:pos="10920"/>
        <w:tab w:val="left" w:pos="11340"/>
        <w:tab w:val="left" w:pos="11760"/>
        <w:tab w:val="left" w:pos="12180"/>
        <w:tab w:val="left" w:pos="12600"/>
        <w:tab w:val="left" w:pos="13020"/>
      </w:tabs>
      <w:ind w:right="360" w:firstLine="360"/>
      <w:jc w:val="right"/>
      <w:rPr>
        <w:rStyle w:val="14"/>
      </w:rPr>
    </w:pPr>
  </w:p>
  <w:p>
    <w:pPr>
      <w:pStyle w:val="12"/>
      <w:tabs>
        <w:tab w:val="left" w:pos="8400"/>
        <w:tab w:val="left" w:pos="8820"/>
        <w:tab w:val="left" w:pos="8938"/>
        <w:tab w:val="left" w:pos="10080"/>
        <w:tab w:val="left" w:pos="10500"/>
        <w:tab w:val="left" w:pos="10920"/>
        <w:tab w:val="left" w:pos="11340"/>
        <w:tab w:val="left" w:pos="11760"/>
        <w:tab w:val="left" w:pos="12180"/>
        <w:tab w:val="left" w:pos="12600"/>
        <w:tab w:val="left" w:pos="13020"/>
      </w:tabs>
      <w:ind w:right="360" w:firstLine="360"/>
      <w:rPr>
        <w:rStyle w:val="14"/>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1"/>
  <w:bordersDoNotSurroundFooter w:val="1"/>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pPr>
      <w:widowControl w:val="0"/>
      <w:jc w:val="both"/>
    </w:pPr>
    <w:rPr>
      <w:rFonts w:ascii="Calibri" w:hAnsi="Calibri" w:eastAsia="宋体" w:cs="黑体"/>
      <w:kern w:val="2"/>
      <w:sz w:val="21"/>
      <w:szCs w:val="22"/>
      <w:lang w:val="en-US" w:eastAsia="zh-CN" w:bidi="ar-SA"/>
    </w:rPr>
  </w:style>
  <w:style w:type="character" w:default="1" w:styleId="9">
    <w:name w:val="Default Paragraph Font"/>
  </w:style>
  <w:style w:type="paragraph" w:styleId="2">
    <w:name w:val="footer"/>
    <w:basedOn w:val="1"/>
    <w:link w:val="3"/>
    <w:pPr>
      <w:tabs>
        <w:tab w:val="center" w:pos="4153"/>
        <w:tab w:val="right" w:pos="8306"/>
      </w:tabs>
      <w:snapToGrid w:val="0"/>
      <w:jc w:val="left"/>
    </w:pPr>
    <w:rPr>
      <w:rFonts w:ascii="Times New Roman" w:hAnsi="Times New Roman" w:eastAsia="宋体" w:cs="Times New Roman"/>
      <w:sz w:val="18"/>
      <w:szCs w:val="18"/>
    </w:rPr>
  </w:style>
  <w:style w:type="character" w:customStyle="1" w:styleId="3">
    <w:name w:val="页脚 Char"/>
    <w:link w:val="2"/>
    <w:semiHidden/>
    <w:rPr>
      <w:rFonts w:ascii="Times New Roman" w:hAnsi="Times New Roman" w:eastAsia="宋体" w:cs="Times New Roman"/>
      <w:sz w:val="18"/>
      <w:szCs w:val="18"/>
    </w:rPr>
  </w:style>
  <w:style w:type="paragraph" w:styleId="4">
    <w:name w:val="header"/>
    <w:basedOn w:val="1"/>
    <w:link w:val="5"/>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character" w:customStyle="1" w:styleId="5">
    <w:name w:val="页眉 Char"/>
    <w:link w:val="4"/>
    <w:semiHidden/>
    <w:rPr>
      <w:rFonts w:ascii="Times New Roman" w:hAnsi="Times New Roman" w:eastAsia="宋体" w:cs="Times New Roman"/>
      <w:sz w:val="18"/>
      <w:szCs w:val="18"/>
    </w:rPr>
  </w:style>
  <w:style w:type="paragraph" w:styleId="6">
    <w:name w:val="toc 1"/>
    <w:basedOn w:val="1"/>
    <w:next w:val="1"/>
    <w:rPr>
      <w:rFonts w:ascii="Times New Roman" w:hAnsi="Times New Roman" w:cs="Times New Roman"/>
      <w:szCs w:val="24"/>
    </w:rPr>
  </w:style>
  <w:style w:type="paragraph" w:styleId="7">
    <w:name w:val="footnote text"/>
    <w:basedOn w:val="1"/>
    <w:pPr>
      <w:snapToGrid w:val="0"/>
      <w:jc w:val="left"/>
    </w:pPr>
    <w:rPr>
      <w:sz w:val="18"/>
      <w:szCs w:val="18"/>
    </w:rPr>
  </w:style>
  <w:style w:type="paragraph" w:styleId="8">
    <w:name w:val="toc 2"/>
    <w:basedOn w:val="1"/>
    <w:next w:val="1"/>
    <w:pPr>
      <w:ind w:left="420" w:leftChars="200"/>
    </w:pPr>
    <w:rPr>
      <w:rFonts w:ascii="Times New Roman" w:hAnsi="Times New Roman" w:cs="Times New Roman"/>
      <w:szCs w:val="24"/>
    </w:rPr>
  </w:style>
  <w:style w:type="character" w:styleId="10">
    <w:name w:val="footnote reference"/>
    <w:rPr>
      <w:vertAlign w:val="superscript"/>
    </w:rPr>
  </w:style>
  <w:style w:type="paragraph" w:customStyle="1" w:styleId="11">
    <w:name w:val="Char"/>
    <w:basedOn w:val="1"/>
    <w:rPr>
      <w:rFonts w:ascii="Times New Roman" w:hAnsi="Times New Roman" w:cs="Times New Roman"/>
      <w:szCs w:val="24"/>
    </w:rPr>
  </w:style>
  <w:style w:type="paragraph" w:customStyle="1" w:styleId="12">
    <w:name w:val="页脚1"/>
    <w:basedOn w:val="1"/>
    <w:pPr>
      <w:widowControl/>
      <w:tabs>
        <w:tab w:val="center" w:pos="4153"/>
        <w:tab w:val="right" w:pos="8306"/>
      </w:tabs>
      <w:jc w:val="left"/>
    </w:pPr>
    <w:rPr>
      <w:rFonts w:eastAsia="Times New Roman"/>
      <w:kern w:val="0"/>
      <w:sz w:val="18"/>
      <w:szCs w:val="20"/>
      <w:lang w:eastAsia="en-US"/>
    </w:rPr>
  </w:style>
  <w:style w:type="character" w:customStyle="1" w:styleId="13">
    <w:name w:val="page number"/>
    <w:basedOn w:val="9"/>
    <w:rPr/>
  </w:style>
  <w:style w:type="character" w:customStyle="1" w:styleId="14">
    <w:name w:val="页码1"/>
    <w:basedOn w:val="9"/>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footer" Target="footer1.xml"/><Relationship Id="rId5" Type="http://schemas.openxmlformats.org/officeDocument/2006/relationships/theme" Target="theme/theme1.xml"/><Relationship Id="rId6" Type="http://schemas.openxmlformats.org/officeDocument/2006/relationships/customXml" Target="../customXml/item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2017-01-24T17:29:00Z</dcterms:created>
  <dc:creator>guest</dc:creator>
  <cp:lastPrinted>2020-01-11T15:53:00Z</cp:lastPrinted>
  <dcterms:modified xsi:type="dcterms:W3CDTF">2020-04-26T09:56:36Z</dcterms:modified>
  <dc:title>贾礼清13754419778</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