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cs="宋体"/>
          <w:b/>
          <w:bCs/>
          <w:sz w:val="44"/>
          <w:szCs w:val="44"/>
        </w:rPr>
      </w:pPr>
    </w:p>
    <w:p>
      <w:pPr>
        <w:ind w:firstLine="4996" w:firstLineChars="1131"/>
        <w:rPr>
          <w:rFonts w:ascii="宋体" w:hAnsi="宋体" w:cs="宋体"/>
          <w:b/>
          <w:bCs/>
          <w:sz w:val="44"/>
          <w:szCs w:val="44"/>
        </w:rPr>
      </w:pPr>
      <w:r>
        <w:rPr>
          <w:rFonts w:hint="eastAsia" w:ascii="宋体" w:hAnsi="宋体" w:cs="宋体"/>
          <w:b/>
          <w:bCs/>
          <w:sz w:val="44"/>
          <w:szCs w:val="44"/>
        </w:rPr>
        <w:t>无极县林业工作站</w:t>
      </w:r>
    </w:p>
    <w:p>
      <w:pPr>
        <w:jc w:val="center"/>
        <w:rPr>
          <w:rFonts w:ascii="宋体" w:hAnsi="宋体" w:cs="宋体"/>
          <w:b/>
          <w:bCs/>
          <w:sz w:val="44"/>
          <w:szCs w:val="44"/>
        </w:rPr>
      </w:pPr>
      <w:r>
        <w:rPr>
          <w:rFonts w:hint="eastAsia" w:ascii="宋体" w:hAnsi="宋体" w:cs="宋体"/>
          <w:b/>
          <w:bCs/>
          <w:sz w:val="44"/>
          <w:szCs w:val="44"/>
        </w:rPr>
        <w:t>2019年部门预算信息公开说明</w:t>
      </w:r>
    </w:p>
    <w:p/>
    <w:p/>
    <w:p>
      <w:pPr>
        <w:ind w:firstLine="640" w:firstLineChars="200"/>
        <w:rPr>
          <w:rFonts w:ascii="仿宋" w:hAnsi="仿宋" w:eastAsia="仿宋" w:cs="仿宋"/>
          <w:sz w:val="32"/>
          <w:szCs w:val="32"/>
        </w:rPr>
      </w:pPr>
      <w:r>
        <w:rPr>
          <w:rFonts w:hint="eastAsia" w:ascii="仿宋" w:hAnsi="仿宋" w:eastAsia="仿宋" w:cs="仿宋"/>
          <w:sz w:val="32"/>
          <w:szCs w:val="32"/>
        </w:rPr>
        <w:t>按照《预算法》、《地方预决算公开操作规程》和《河北省省级预算公开办法》规定，现将无极县林业工作站2019年部门预算公开如下：</w:t>
      </w:r>
    </w:p>
    <w:p>
      <w:pPr>
        <w:ind w:left="800"/>
        <w:rPr>
          <w:rFonts w:ascii="黑体" w:hAnsi="黑体" w:eastAsia="黑体" w:cs="仿宋_GB2312"/>
          <w:sz w:val="32"/>
          <w:szCs w:val="32"/>
        </w:rPr>
      </w:pPr>
      <w:r>
        <w:rPr>
          <w:rFonts w:hint="eastAsia" w:ascii="黑体" w:hAnsi="黑体" w:eastAsia="黑体" w:cs="仿宋_GB2312"/>
          <w:sz w:val="32"/>
          <w:szCs w:val="32"/>
        </w:rPr>
        <w:t>一、部门职责及机构设置情况</w:t>
      </w:r>
    </w:p>
    <w:p>
      <w:pPr>
        <w:ind w:firstLine="645"/>
        <w:rPr>
          <w:rFonts w:ascii="楷体" w:hAnsi="楷体" w:eastAsia="楷体" w:cs="仿宋_GB2312"/>
          <w:sz w:val="32"/>
          <w:szCs w:val="32"/>
        </w:rPr>
      </w:pPr>
      <w:r>
        <w:rPr>
          <w:rFonts w:hint="eastAsia" w:ascii="楷体" w:hAnsi="楷体" w:eastAsia="楷体" w:cs="仿宋_GB2312"/>
          <w:sz w:val="32"/>
          <w:szCs w:val="32"/>
        </w:rPr>
        <w:t>（一）部门职责</w:t>
      </w:r>
    </w:p>
    <w:p>
      <w:pPr>
        <w:ind w:firstLine="640" w:firstLineChars="200"/>
        <w:rPr>
          <w:rFonts w:ascii="仿宋" w:hAnsi="仿宋" w:eastAsia="仿宋" w:cs="仿宋"/>
          <w:sz w:val="32"/>
          <w:szCs w:val="32"/>
        </w:rPr>
      </w:pPr>
      <w:r>
        <w:rPr>
          <w:rFonts w:hint="eastAsia" w:ascii="仿宋" w:hAnsi="仿宋" w:eastAsia="仿宋" w:cs="仿宋_GB2312"/>
          <w:sz w:val="32"/>
          <w:szCs w:val="32"/>
        </w:rPr>
        <w:t>1.</w:t>
      </w:r>
      <w:r>
        <w:rPr>
          <w:rFonts w:hint="eastAsia" w:ascii="仿宋" w:hAnsi="仿宋" w:eastAsia="仿宋" w:cs="仿宋"/>
          <w:sz w:val="32"/>
          <w:szCs w:val="32"/>
        </w:rPr>
        <w:t>对全县林业资源进行调查、统计、分类、存档，为林业生产决策提供数据及相关资料支持，为林木采伐、运输、经营加工许可、落实林权地权、林业执法等提供林业信息服务服务；</w:t>
      </w:r>
    </w:p>
    <w:p>
      <w:pPr>
        <w:ind w:firstLine="640" w:firstLineChars="200"/>
        <w:rPr>
          <w:rFonts w:ascii="仿宋" w:hAnsi="仿宋" w:eastAsia="仿宋" w:cs="仿宋"/>
          <w:sz w:val="32"/>
          <w:szCs w:val="32"/>
        </w:rPr>
      </w:pPr>
      <w:r>
        <w:rPr>
          <w:rFonts w:hint="eastAsia" w:ascii="仿宋" w:hAnsi="仿宋" w:eastAsia="仿宋" w:cs="仿宋"/>
          <w:sz w:val="32"/>
          <w:szCs w:val="32"/>
        </w:rPr>
        <w:t>2.负责我县苗木的培育、管护、协助编制我县造林绿化、林木种苗生产规划设计，负责推广林果生产技术，组织指导植树造林、森林经营、林业基地建设及林业工程项目实施；</w:t>
      </w:r>
    </w:p>
    <w:p>
      <w:pPr>
        <w:ind w:firstLine="640" w:firstLineChars="200"/>
        <w:rPr>
          <w:rFonts w:ascii="仿宋" w:hAnsi="仿宋" w:eastAsia="仿宋" w:cs="仿宋"/>
          <w:sz w:val="32"/>
          <w:szCs w:val="32"/>
        </w:rPr>
      </w:pPr>
      <w:r>
        <w:rPr>
          <w:rFonts w:hint="eastAsia" w:ascii="仿宋" w:hAnsi="仿宋" w:eastAsia="仿宋" w:cs="仿宋"/>
          <w:sz w:val="32"/>
          <w:szCs w:val="32"/>
        </w:rPr>
        <w:t>3.对乡镇村林业技术人员进行培训，指导相关技术工程及林业苗圃场建设，为林业生产提供技术、信息等综合服务；</w:t>
      </w:r>
    </w:p>
    <w:p>
      <w:pPr>
        <w:ind w:firstLine="640" w:firstLineChars="200"/>
        <w:rPr>
          <w:rFonts w:ascii="仿宋" w:hAnsi="仿宋" w:eastAsia="仿宋" w:cs="仿宋"/>
          <w:sz w:val="32"/>
          <w:szCs w:val="32"/>
        </w:rPr>
      </w:pPr>
      <w:r>
        <w:rPr>
          <w:rFonts w:hint="eastAsia" w:ascii="仿宋" w:hAnsi="仿宋" w:eastAsia="仿宋" w:cs="仿宋"/>
          <w:sz w:val="32"/>
          <w:szCs w:val="32"/>
        </w:rPr>
        <w:t>4.为林业植物检验检疫、林业防火、野生动植物引进驯养及生产经营、果品市场准入等提供数据及技术支持；</w:t>
      </w:r>
    </w:p>
    <w:p>
      <w:pPr>
        <w:ind w:firstLine="640" w:firstLineChars="200"/>
        <w:rPr>
          <w:rFonts w:ascii="仿宋" w:hAnsi="仿宋" w:eastAsia="仿宋" w:cs="仿宋"/>
          <w:sz w:val="32"/>
          <w:szCs w:val="32"/>
        </w:rPr>
      </w:pPr>
      <w:r>
        <w:rPr>
          <w:rFonts w:hint="eastAsia" w:ascii="仿宋" w:hAnsi="仿宋" w:eastAsia="仿宋" w:cs="仿宋"/>
          <w:sz w:val="32"/>
          <w:szCs w:val="32"/>
        </w:rPr>
        <w:t>5.负责我县林木种苗生产供应、林木良种选育与新技术推广、林木种苗调剂，为林业工程实验落收提供技术及数据评估支持。</w:t>
      </w:r>
    </w:p>
    <w:p>
      <w:pPr>
        <w:ind w:firstLine="645"/>
        <w:rPr>
          <w:rFonts w:ascii="楷体" w:hAnsi="楷体" w:eastAsia="楷体" w:cs="仿宋_GB2312"/>
          <w:sz w:val="32"/>
          <w:szCs w:val="32"/>
        </w:rPr>
      </w:pPr>
      <w:r>
        <w:rPr>
          <w:rFonts w:hint="eastAsia" w:ascii="楷体" w:hAnsi="楷体" w:eastAsia="楷体" w:cs="仿宋_GB2312"/>
          <w:sz w:val="32"/>
          <w:szCs w:val="32"/>
        </w:rPr>
        <w:t>（二）机构设置</w:t>
      </w:r>
    </w:p>
    <w:p>
      <w:pPr>
        <w:jc w:val="center"/>
        <w:rPr>
          <w:rFonts w:ascii="仿宋" w:hAnsi="仿宋" w:eastAsia="仿宋"/>
          <w:sz w:val="32"/>
          <w:szCs w:val="32"/>
        </w:rPr>
      </w:pPr>
      <w:r>
        <w:rPr>
          <w:rFonts w:hint="eastAsia" w:ascii="仿宋" w:hAnsi="仿宋" w:eastAsia="仿宋"/>
          <w:sz w:val="32"/>
          <w:szCs w:val="32"/>
        </w:rPr>
        <w:t>部门机构设置情况</w:t>
      </w:r>
    </w:p>
    <w:tbl>
      <w:tblPr>
        <w:tblStyle w:val="5"/>
        <w:tblW w:w="922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27"/>
        <w:gridCol w:w="1461"/>
        <w:gridCol w:w="1417"/>
        <w:gridCol w:w="251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00" w:hRule="atLeast"/>
          <w:tblHeader/>
          <w:jc w:val="center"/>
        </w:trPr>
        <w:tc>
          <w:tcPr>
            <w:tcW w:w="3827" w:type="dxa"/>
            <w:vMerge w:val="restart"/>
            <w:vAlign w:val="center"/>
          </w:tcPr>
          <w:p>
            <w:pPr>
              <w:spacing w:line="300" w:lineRule="exact"/>
              <w:jc w:val="center"/>
              <w:rPr>
                <w:rFonts w:ascii="宋体" w:hAnsi="宋体"/>
                <w:b/>
                <w:sz w:val="24"/>
              </w:rPr>
            </w:pPr>
            <w:r>
              <w:rPr>
                <w:rFonts w:hint="eastAsia" w:ascii="宋体" w:hAnsi="宋体"/>
                <w:b/>
                <w:sz w:val="24"/>
              </w:rPr>
              <w:t>单位名称</w:t>
            </w:r>
          </w:p>
        </w:tc>
        <w:tc>
          <w:tcPr>
            <w:tcW w:w="1461" w:type="dxa"/>
            <w:vMerge w:val="restart"/>
            <w:vAlign w:val="center"/>
          </w:tcPr>
          <w:p>
            <w:pPr>
              <w:spacing w:line="300" w:lineRule="exact"/>
              <w:jc w:val="center"/>
              <w:rPr>
                <w:rFonts w:ascii="宋体" w:hAnsi="宋体"/>
                <w:b/>
                <w:sz w:val="24"/>
              </w:rPr>
            </w:pPr>
            <w:r>
              <w:rPr>
                <w:rFonts w:hint="eastAsia" w:ascii="宋体" w:hAnsi="宋体"/>
                <w:b/>
                <w:sz w:val="24"/>
              </w:rPr>
              <w:t>单位性质</w:t>
            </w:r>
          </w:p>
        </w:tc>
        <w:tc>
          <w:tcPr>
            <w:tcW w:w="1417" w:type="dxa"/>
            <w:vMerge w:val="restart"/>
            <w:vAlign w:val="center"/>
          </w:tcPr>
          <w:p>
            <w:pPr>
              <w:spacing w:line="300" w:lineRule="exact"/>
              <w:jc w:val="center"/>
              <w:rPr>
                <w:rFonts w:ascii="宋体" w:hAnsi="宋体"/>
                <w:b/>
                <w:sz w:val="24"/>
              </w:rPr>
            </w:pPr>
            <w:r>
              <w:rPr>
                <w:rFonts w:hint="eastAsia" w:ascii="宋体" w:hAnsi="宋体"/>
                <w:b/>
                <w:sz w:val="24"/>
              </w:rPr>
              <w:t>单位规格</w:t>
            </w:r>
          </w:p>
        </w:tc>
        <w:tc>
          <w:tcPr>
            <w:tcW w:w="2518" w:type="dxa"/>
            <w:vMerge w:val="restart"/>
            <w:vAlign w:val="center"/>
          </w:tcPr>
          <w:p>
            <w:pPr>
              <w:spacing w:line="300" w:lineRule="exact"/>
              <w:jc w:val="center"/>
              <w:rPr>
                <w:rFonts w:ascii="宋体" w:hAnsi="宋体"/>
                <w:b/>
                <w:sz w:val="24"/>
              </w:rPr>
            </w:pPr>
            <w:r>
              <w:rPr>
                <w:rFonts w:hint="eastAsia" w:ascii="宋体" w:hAnsi="宋体"/>
                <w:b/>
                <w:sz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50" w:hRule="atLeast"/>
          <w:tblHeader/>
          <w:jc w:val="center"/>
        </w:trPr>
        <w:tc>
          <w:tcPr>
            <w:tcW w:w="3827" w:type="dxa"/>
            <w:vMerge w:val="continue"/>
            <w:vAlign w:val="center"/>
          </w:tcPr>
          <w:p>
            <w:pPr>
              <w:spacing w:line="300" w:lineRule="exact"/>
              <w:jc w:val="left"/>
              <w:outlineLvl w:val="0"/>
              <w:rPr>
                <w:rFonts w:ascii="宋体" w:hAnsi="宋体"/>
                <w:sz w:val="24"/>
              </w:rPr>
            </w:pPr>
          </w:p>
        </w:tc>
        <w:tc>
          <w:tcPr>
            <w:tcW w:w="1461" w:type="dxa"/>
            <w:vMerge w:val="continue"/>
            <w:vAlign w:val="center"/>
          </w:tcPr>
          <w:p>
            <w:pPr>
              <w:spacing w:line="300" w:lineRule="exact"/>
              <w:jc w:val="left"/>
              <w:outlineLvl w:val="0"/>
              <w:rPr>
                <w:rFonts w:ascii="宋体" w:hAnsi="宋体"/>
                <w:sz w:val="24"/>
              </w:rPr>
            </w:pPr>
          </w:p>
        </w:tc>
        <w:tc>
          <w:tcPr>
            <w:tcW w:w="1417" w:type="dxa"/>
            <w:vMerge w:val="continue"/>
            <w:vAlign w:val="center"/>
          </w:tcPr>
          <w:p>
            <w:pPr>
              <w:spacing w:line="300" w:lineRule="exact"/>
              <w:jc w:val="left"/>
              <w:outlineLvl w:val="0"/>
              <w:rPr>
                <w:rFonts w:ascii="宋体" w:hAnsi="宋体"/>
                <w:sz w:val="24"/>
              </w:rPr>
            </w:pPr>
          </w:p>
        </w:tc>
        <w:tc>
          <w:tcPr>
            <w:tcW w:w="2518" w:type="dxa"/>
            <w:vMerge w:val="continue"/>
            <w:vAlign w:val="center"/>
          </w:tcPr>
          <w:p>
            <w:pPr>
              <w:spacing w:line="300" w:lineRule="exact"/>
              <w:jc w:val="left"/>
              <w:outlineLvl w:val="0"/>
              <w:rPr>
                <w:rFonts w:ascii="宋体" w:hAnsi="宋体"/>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43" w:hRule="atLeast"/>
          <w:jc w:val="center"/>
        </w:trPr>
        <w:tc>
          <w:tcPr>
            <w:tcW w:w="3827" w:type="dxa"/>
            <w:vAlign w:val="center"/>
          </w:tcPr>
          <w:p>
            <w:pPr>
              <w:spacing w:line="300" w:lineRule="exact"/>
              <w:ind w:firstLine="960" w:firstLineChars="400"/>
              <w:jc w:val="left"/>
              <w:rPr>
                <w:rFonts w:ascii="宋体" w:hAnsi="宋体"/>
                <w:sz w:val="24"/>
              </w:rPr>
            </w:pPr>
            <w:r>
              <w:rPr>
                <w:rFonts w:hint="eastAsia" w:ascii="宋体" w:hAnsi="宋体"/>
                <w:sz w:val="24"/>
              </w:rPr>
              <w:t>无极县林业工作站</w:t>
            </w:r>
          </w:p>
        </w:tc>
        <w:tc>
          <w:tcPr>
            <w:tcW w:w="1461" w:type="dxa"/>
            <w:vAlign w:val="center"/>
          </w:tcPr>
          <w:p>
            <w:pPr>
              <w:spacing w:line="300" w:lineRule="exact"/>
              <w:jc w:val="center"/>
              <w:rPr>
                <w:rFonts w:ascii="宋体" w:hAnsi="宋体"/>
                <w:sz w:val="24"/>
              </w:rPr>
            </w:pPr>
            <w:r>
              <w:rPr>
                <w:rFonts w:hint="eastAsia" w:ascii="宋体" w:hAnsi="宋体"/>
                <w:sz w:val="24"/>
              </w:rPr>
              <w:t>全额事业</w:t>
            </w:r>
          </w:p>
        </w:tc>
        <w:tc>
          <w:tcPr>
            <w:tcW w:w="1417" w:type="dxa"/>
            <w:vAlign w:val="center"/>
          </w:tcPr>
          <w:p>
            <w:pPr>
              <w:spacing w:line="300" w:lineRule="exact"/>
              <w:jc w:val="center"/>
              <w:rPr>
                <w:rFonts w:ascii="宋体" w:hAnsi="宋体"/>
                <w:sz w:val="24"/>
              </w:rPr>
            </w:pPr>
            <w:r>
              <w:rPr>
                <w:rFonts w:hint="eastAsia" w:ascii="宋体" w:hAnsi="宋体"/>
                <w:sz w:val="24"/>
              </w:rPr>
              <w:t>正股级</w:t>
            </w:r>
          </w:p>
        </w:tc>
        <w:tc>
          <w:tcPr>
            <w:tcW w:w="2518" w:type="dxa"/>
            <w:vAlign w:val="center"/>
          </w:tcPr>
          <w:p>
            <w:pPr>
              <w:spacing w:line="300" w:lineRule="exact"/>
              <w:jc w:val="center"/>
              <w:rPr>
                <w:rFonts w:ascii="宋体" w:hAnsi="宋体"/>
                <w:sz w:val="24"/>
              </w:rPr>
            </w:pPr>
            <w:r>
              <w:rPr>
                <w:rFonts w:hint="eastAsia" w:ascii="宋体" w:hAnsi="宋体"/>
                <w:sz w:val="24"/>
              </w:rPr>
              <w:t>财政性资金基本保证</w:t>
            </w:r>
          </w:p>
        </w:tc>
      </w:tr>
    </w:tbl>
    <w:p>
      <w:pPr>
        <w:jc w:val="center"/>
        <w:rPr>
          <w:rFonts w:ascii="仿宋" w:hAnsi="仿宋" w:eastAsia="仿宋"/>
          <w:sz w:val="32"/>
          <w:szCs w:val="32"/>
        </w:rPr>
      </w:pPr>
    </w:p>
    <w:p>
      <w:pPr>
        <w:ind w:firstLine="640" w:firstLineChars="200"/>
        <w:rPr>
          <w:rFonts w:ascii="黑体" w:hAnsi="黑体" w:eastAsia="黑体" w:cs="仿宋_GB2312"/>
          <w:sz w:val="32"/>
          <w:szCs w:val="32"/>
        </w:rPr>
      </w:pPr>
      <w:r>
        <w:rPr>
          <w:rFonts w:hint="eastAsia" w:ascii="黑体" w:hAnsi="黑体" w:eastAsia="黑体" w:cs="仿宋_GB2312"/>
          <w:sz w:val="32"/>
          <w:szCs w:val="32"/>
        </w:rPr>
        <w:t>二、部门预算安排的总体情况</w:t>
      </w:r>
    </w:p>
    <w:p>
      <w:pPr>
        <w:ind w:firstLine="640" w:firstLineChars="200"/>
        <w:rPr>
          <w:rFonts w:ascii="黑体" w:hAnsi="仿宋_GB2312" w:eastAsia="黑体" w:cs="仿宋_GB2312"/>
          <w:sz w:val="30"/>
          <w:szCs w:val="30"/>
        </w:rPr>
      </w:pPr>
      <w:r>
        <w:rPr>
          <w:rFonts w:hint="eastAsia" w:ascii="仿宋" w:hAnsi="仿宋" w:eastAsia="仿宋" w:cs="仿宋_GB2312"/>
          <w:sz w:val="32"/>
          <w:szCs w:val="32"/>
        </w:rPr>
        <w:t>按照预算管理有关规定，目前我县部门预算的编制实行综合预算制度，即全部收入和支出都反映在预算里，我部门及所属单位所有收支都包含在部门预算中</w:t>
      </w:r>
      <w:r>
        <w:rPr>
          <w:rFonts w:hint="eastAsia" w:ascii="黑体" w:hAnsi="仿宋_GB2312" w:eastAsia="黑体" w:cs="仿宋_GB2312"/>
          <w:sz w:val="30"/>
          <w:szCs w:val="30"/>
        </w:rPr>
        <w:t>。</w:t>
      </w:r>
    </w:p>
    <w:p>
      <w:pPr>
        <w:ind w:firstLine="640" w:firstLineChars="200"/>
        <w:rPr>
          <w:rFonts w:ascii="楷体" w:hAnsi="楷体" w:eastAsia="楷体" w:cs="仿宋_GB2312"/>
          <w:sz w:val="32"/>
          <w:szCs w:val="32"/>
        </w:rPr>
      </w:pPr>
      <w:r>
        <w:rPr>
          <w:rFonts w:hint="eastAsia" w:ascii="楷体" w:hAnsi="楷体" w:eastAsia="楷体" w:cs="仿宋_GB2312"/>
          <w:sz w:val="32"/>
          <w:szCs w:val="32"/>
        </w:rPr>
        <w:t>（一）收入说明</w:t>
      </w:r>
    </w:p>
    <w:p>
      <w:pPr>
        <w:adjustRightInd w:val="0"/>
        <w:snapToGrid w:val="0"/>
        <w:spacing w:line="600" w:lineRule="exact"/>
        <w:ind w:firstLine="640" w:firstLineChars="200"/>
        <w:jc w:val="left"/>
        <w:rPr>
          <w:rFonts w:ascii="仿宋" w:hAnsi="仿宋" w:eastAsia="仿宋" w:cs="仿宋_GB2312"/>
          <w:bCs/>
          <w:sz w:val="32"/>
          <w:szCs w:val="32"/>
        </w:rPr>
      </w:pPr>
      <w:r>
        <w:rPr>
          <w:rFonts w:hint="eastAsia" w:ascii="仿宋" w:hAnsi="仿宋" w:eastAsia="仿宋" w:cs="仿宋_GB2312"/>
          <w:bCs/>
          <w:sz w:val="32"/>
          <w:szCs w:val="32"/>
        </w:rPr>
        <w:t>2019年预算收入总计</w:t>
      </w:r>
      <w:r>
        <w:rPr>
          <w:rFonts w:hint="eastAsia" w:ascii="仿宋" w:hAnsi="仿宋" w:eastAsia="仿宋"/>
          <w:sz w:val="32"/>
          <w:szCs w:val="32"/>
        </w:rPr>
        <w:t>1943.31</w:t>
      </w:r>
      <w:r>
        <w:rPr>
          <w:rFonts w:hint="eastAsia" w:ascii="仿宋" w:hAnsi="仿宋" w:eastAsia="仿宋" w:cs="仿宋_GB2312"/>
          <w:bCs/>
          <w:sz w:val="32"/>
          <w:szCs w:val="32"/>
        </w:rPr>
        <w:t>万元。其中，一般公共预算收入</w:t>
      </w:r>
      <w:r>
        <w:rPr>
          <w:rFonts w:hint="eastAsia" w:ascii="仿宋" w:hAnsi="仿宋" w:eastAsia="仿宋"/>
          <w:sz w:val="32"/>
          <w:szCs w:val="32"/>
        </w:rPr>
        <w:t>1943.31</w:t>
      </w:r>
      <w:r>
        <w:rPr>
          <w:rFonts w:hint="eastAsia" w:ascii="仿宋" w:hAnsi="仿宋" w:eastAsia="仿宋" w:cs="仿宋_GB2312"/>
          <w:bCs/>
          <w:sz w:val="32"/>
          <w:szCs w:val="32"/>
        </w:rPr>
        <w:t>万元，其他来源收入0万元。</w:t>
      </w:r>
    </w:p>
    <w:p>
      <w:pPr>
        <w:ind w:firstLine="645"/>
        <w:rPr>
          <w:rFonts w:ascii="楷体" w:hAnsi="楷体" w:eastAsia="楷体"/>
          <w:sz w:val="32"/>
          <w:szCs w:val="32"/>
        </w:rPr>
      </w:pPr>
      <w:r>
        <w:rPr>
          <w:rFonts w:hint="eastAsia" w:ascii="楷体" w:hAnsi="楷体" w:eastAsia="楷体"/>
          <w:sz w:val="32"/>
          <w:szCs w:val="32"/>
        </w:rPr>
        <w:t>（二）支出说明</w:t>
      </w:r>
    </w:p>
    <w:p>
      <w:pPr>
        <w:adjustRightInd w:val="0"/>
        <w:snapToGrid w:val="0"/>
        <w:spacing w:line="600" w:lineRule="exact"/>
        <w:ind w:firstLine="640" w:firstLineChars="200"/>
        <w:jc w:val="left"/>
        <w:rPr>
          <w:rFonts w:ascii="仿宋" w:hAnsi="仿宋" w:eastAsia="仿宋" w:cs="仿宋_GB2312"/>
          <w:bCs/>
          <w:sz w:val="32"/>
          <w:szCs w:val="32"/>
        </w:rPr>
      </w:pPr>
      <w:r>
        <w:rPr>
          <w:rFonts w:hint="eastAsia" w:ascii="仿宋" w:hAnsi="仿宋" w:eastAsia="仿宋" w:cs="仿宋_GB2312"/>
          <w:bCs/>
          <w:sz w:val="32"/>
          <w:szCs w:val="32"/>
        </w:rPr>
        <w:t>2019年预算支出</w:t>
      </w:r>
      <w:r>
        <w:rPr>
          <w:rFonts w:hint="eastAsia" w:ascii="仿宋" w:hAnsi="仿宋" w:eastAsia="仿宋"/>
          <w:sz w:val="32"/>
          <w:szCs w:val="32"/>
        </w:rPr>
        <w:t>1943.31</w:t>
      </w:r>
      <w:r>
        <w:rPr>
          <w:rFonts w:hint="eastAsia" w:ascii="仿宋" w:hAnsi="仿宋" w:eastAsia="仿宋" w:cs="仿宋_GB2312"/>
          <w:bCs/>
          <w:sz w:val="32"/>
          <w:szCs w:val="32"/>
        </w:rPr>
        <w:t>万元。其中，人员经费支出320.81万元，正常公用经费15.5万元，项目支出1607万元。</w:t>
      </w:r>
    </w:p>
    <w:p>
      <w:pPr>
        <w:ind w:firstLine="645"/>
        <w:rPr>
          <w:rFonts w:ascii="楷体" w:hAnsi="楷体" w:eastAsia="楷体"/>
          <w:sz w:val="32"/>
          <w:szCs w:val="32"/>
        </w:rPr>
      </w:pPr>
      <w:r>
        <w:rPr>
          <w:rFonts w:hint="eastAsia" w:ascii="楷体" w:hAnsi="楷体" w:eastAsia="楷体"/>
          <w:sz w:val="32"/>
          <w:szCs w:val="32"/>
        </w:rPr>
        <w:t>（三）比上年增减情况</w:t>
      </w:r>
    </w:p>
    <w:p>
      <w:pPr>
        <w:adjustRightInd w:val="0"/>
        <w:snapToGrid w:val="0"/>
        <w:spacing w:line="600" w:lineRule="exact"/>
        <w:ind w:firstLine="640" w:firstLineChars="200"/>
        <w:jc w:val="left"/>
        <w:rPr>
          <w:rFonts w:ascii="仿宋" w:hAnsi="仿宋" w:eastAsia="仿宋" w:cs="仿宋_GB2312"/>
          <w:bCs/>
          <w:sz w:val="32"/>
          <w:szCs w:val="32"/>
        </w:rPr>
      </w:pPr>
      <w:r>
        <w:rPr>
          <w:rFonts w:hint="eastAsia" w:ascii="仿宋" w:hAnsi="仿宋" w:eastAsia="仿宋" w:cs="仿宋_GB2312"/>
          <w:bCs/>
          <w:sz w:val="32"/>
          <w:szCs w:val="32"/>
        </w:rPr>
        <w:t>2019年预算收支总计</w:t>
      </w:r>
      <w:r>
        <w:rPr>
          <w:rFonts w:hint="eastAsia" w:ascii="方正书宋_GBK" w:eastAsia="方正书宋_GBK"/>
          <w:sz w:val="32"/>
          <w:szCs w:val="32"/>
        </w:rPr>
        <w:t>1943.31</w:t>
      </w:r>
      <w:r>
        <w:rPr>
          <w:rFonts w:hint="eastAsia" w:ascii="仿宋" w:hAnsi="仿宋" w:eastAsia="仿宋" w:cs="仿宋_GB2312"/>
          <w:bCs/>
          <w:sz w:val="32"/>
          <w:szCs w:val="32"/>
        </w:rPr>
        <w:t>万元，比2018年减少620.09万元，主要是上级安排的专项资金和人员经费的增加。</w:t>
      </w:r>
    </w:p>
    <w:p>
      <w:pPr>
        <w:ind w:firstLine="640" w:firstLineChars="200"/>
        <w:rPr>
          <w:rFonts w:ascii="黑体" w:hAnsi="黑体" w:eastAsia="黑体" w:cs="仿宋_GB2312"/>
          <w:sz w:val="32"/>
          <w:szCs w:val="32"/>
        </w:rPr>
      </w:pPr>
      <w:r>
        <w:rPr>
          <w:rFonts w:hint="eastAsia" w:ascii="黑体" w:hAnsi="黑体" w:eastAsia="黑体" w:cs="仿宋_GB2312"/>
          <w:sz w:val="32"/>
          <w:szCs w:val="32"/>
        </w:rPr>
        <w:t>三、机关运行经费安排情况</w:t>
      </w:r>
    </w:p>
    <w:p>
      <w:pPr>
        <w:ind w:firstLine="640" w:firstLineChars="200"/>
        <w:rPr>
          <w:rFonts w:ascii="仿宋" w:hAnsi="仿宋" w:eastAsia="仿宋" w:cs="仿宋"/>
          <w:color w:val="FF0000"/>
          <w:sz w:val="32"/>
          <w:szCs w:val="32"/>
        </w:rPr>
      </w:pPr>
      <w:r>
        <w:rPr>
          <w:rFonts w:hint="eastAsia" w:ascii="仿宋" w:hAnsi="仿宋" w:eastAsia="仿宋" w:cs="仿宋_GB2312"/>
          <w:sz w:val="32"/>
          <w:szCs w:val="32"/>
        </w:rPr>
        <w:t>2019年机关运行经费共计安排15.5万元，主要用于我部门日常办公，办公区水电费、日常维修，办公用房取暖费，办公用房物业管理费等日常运行支出。</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四、财政拨款“三公”经费预算情况及增减变化原因</w:t>
      </w:r>
    </w:p>
    <w:p>
      <w:pPr>
        <w:ind w:firstLine="640" w:firstLineChars="200"/>
        <w:outlineLvl w:val="0"/>
        <w:rPr>
          <w:rFonts w:ascii="仿宋" w:hAnsi="仿宋" w:eastAsia="仿宋"/>
          <w:sz w:val="32"/>
          <w:szCs w:val="32"/>
        </w:rPr>
      </w:pPr>
      <w:r>
        <w:rPr>
          <w:rFonts w:hint="eastAsia" w:ascii="仿宋" w:hAnsi="仿宋" w:eastAsia="仿宋"/>
          <w:sz w:val="32"/>
          <w:szCs w:val="32"/>
        </w:rPr>
        <w:t>2018年本部门安排“三公”经费 3 万元，与2018年持平，无增减变化。其中：</w:t>
      </w:r>
    </w:p>
    <w:p>
      <w:pPr>
        <w:rPr>
          <w:rFonts w:ascii="仿宋" w:hAnsi="仿宋" w:eastAsia="仿宋"/>
          <w:sz w:val="32"/>
          <w:szCs w:val="32"/>
        </w:rPr>
      </w:pPr>
      <w:r>
        <w:rPr>
          <w:rFonts w:hint="eastAsia" w:ascii="仿宋" w:hAnsi="仿宋" w:eastAsia="仿宋"/>
          <w:sz w:val="32"/>
          <w:szCs w:val="32"/>
        </w:rPr>
        <w:t xml:space="preserve">    1.因公出国（境）费0万元，与2018年持平，无增减变化。</w:t>
      </w:r>
    </w:p>
    <w:p>
      <w:pPr>
        <w:ind w:firstLine="648"/>
        <w:rPr>
          <w:rFonts w:ascii="仿宋" w:hAnsi="仿宋" w:eastAsia="仿宋"/>
          <w:sz w:val="32"/>
          <w:szCs w:val="32"/>
        </w:rPr>
      </w:pPr>
      <w:r>
        <w:rPr>
          <w:rFonts w:hint="eastAsia" w:ascii="仿宋" w:hAnsi="仿宋" w:eastAsia="仿宋"/>
          <w:sz w:val="32"/>
          <w:szCs w:val="32"/>
        </w:rPr>
        <w:t>2.公务用车购置0万元，与2018年持平，无增减变化；公务用车运行维护费3万元，与2018年持平，无增减变化。</w:t>
      </w:r>
    </w:p>
    <w:p>
      <w:pPr>
        <w:ind w:firstLine="648"/>
        <w:rPr>
          <w:rFonts w:ascii="仿宋" w:hAnsi="仿宋" w:eastAsia="仿宋"/>
          <w:sz w:val="32"/>
          <w:szCs w:val="32"/>
        </w:rPr>
      </w:pPr>
      <w:r>
        <w:rPr>
          <w:rFonts w:hint="eastAsia" w:ascii="仿宋" w:hAnsi="仿宋" w:eastAsia="仿宋"/>
          <w:sz w:val="32"/>
          <w:szCs w:val="32"/>
        </w:rPr>
        <w:t>3.公务接待费0万元，与2018年持平，无增减变化。</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五、绩效预算信息</w:t>
      </w:r>
    </w:p>
    <w:p>
      <w:pPr>
        <w:ind w:firstLine="645"/>
        <w:rPr>
          <w:rFonts w:ascii="楷体" w:hAnsi="楷体" w:eastAsia="楷体"/>
          <w:sz w:val="32"/>
          <w:szCs w:val="32"/>
        </w:rPr>
      </w:pPr>
      <w:r>
        <w:rPr>
          <w:rFonts w:hint="eastAsia" w:ascii="楷体" w:hAnsi="楷体" w:eastAsia="楷体"/>
          <w:sz w:val="32"/>
          <w:szCs w:val="32"/>
        </w:rPr>
        <w:t>（一）总体绩效目标</w:t>
      </w:r>
    </w:p>
    <w:p>
      <w:pPr>
        <w:rPr>
          <w:rFonts w:ascii="仿宋" w:hAnsi="仿宋" w:eastAsia="仿宋"/>
          <w:sz w:val="32"/>
          <w:szCs w:val="32"/>
        </w:rPr>
      </w:pPr>
      <w:r>
        <w:rPr>
          <w:rFonts w:hint="eastAsia" w:ascii="仿宋" w:hAnsi="仿宋" w:eastAsia="仿宋" w:cs="宋体"/>
          <w:sz w:val="32"/>
          <w:szCs w:val="32"/>
        </w:rPr>
        <w:t xml:space="preserve">    根据县委县政府及上级主管部门整体安排，结合本单位全年工作计划和全县林业发展实际情况，特制定以下年度发展规划目标：</w:t>
      </w:r>
    </w:p>
    <w:p>
      <w:pPr>
        <w:rPr>
          <w:rFonts w:ascii="仿宋" w:hAnsi="仿宋" w:eastAsia="仿宋"/>
          <w:sz w:val="32"/>
          <w:szCs w:val="32"/>
        </w:rPr>
      </w:pPr>
      <w:r>
        <w:rPr>
          <w:rFonts w:hint="eastAsia" w:ascii="仿宋" w:hAnsi="仿宋" w:eastAsia="仿宋"/>
          <w:sz w:val="32"/>
          <w:szCs w:val="32"/>
        </w:rPr>
        <w:t xml:space="preserve">    </w:t>
      </w:r>
      <w:r>
        <w:rPr>
          <w:rFonts w:ascii="仿宋" w:hAnsi="仿宋" w:eastAsia="仿宋"/>
          <w:sz w:val="32"/>
          <w:szCs w:val="32"/>
        </w:rPr>
        <w:t>1</w:t>
      </w:r>
      <w:r>
        <w:rPr>
          <w:rFonts w:hint="eastAsia" w:ascii="仿宋" w:hAnsi="仿宋" w:eastAsia="仿宋" w:cs="宋体"/>
          <w:sz w:val="32"/>
          <w:szCs w:val="32"/>
        </w:rPr>
        <w:t>.搞好项目建设，大力推进植树造林工作开展，增加有林地面积，提高全县绿化水平和森林覆盖率，改善生态环境。</w:t>
      </w:r>
    </w:p>
    <w:p>
      <w:pPr>
        <w:rPr>
          <w:rFonts w:ascii="仿宋" w:hAnsi="仿宋" w:eastAsia="仿宋"/>
          <w:sz w:val="32"/>
          <w:szCs w:val="32"/>
        </w:rPr>
      </w:pPr>
      <w:r>
        <w:rPr>
          <w:rFonts w:hint="eastAsia" w:ascii="仿宋" w:hAnsi="仿宋" w:eastAsia="仿宋"/>
          <w:sz w:val="32"/>
          <w:szCs w:val="32"/>
        </w:rPr>
        <w:t xml:space="preserve">    </w:t>
      </w:r>
      <w:r>
        <w:rPr>
          <w:rFonts w:ascii="仿宋" w:hAnsi="仿宋" w:eastAsia="仿宋"/>
          <w:sz w:val="32"/>
          <w:szCs w:val="32"/>
        </w:rPr>
        <w:t>2</w:t>
      </w:r>
      <w:r>
        <w:rPr>
          <w:rFonts w:hint="eastAsia" w:ascii="仿宋" w:hAnsi="仿宋" w:eastAsia="仿宋" w:cs="宋体"/>
          <w:sz w:val="32"/>
          <w:szCs w:val="32"/>
        </w:rPr>
        <w:t>.加强林果技术推广，促进林业生产提质增效；</w:t>
      </w:r>
    </w:p>
    <w:p>
      <w:pPr>
        <w:rPr>
          <w:rFonts w:ascii="仿宋" w:hAnsi="仿宋" w:eastAsia="仿宋"/>
          <w:sz w:val="32"/>
          <w:szCs w:val="32"/>
        </w:rPr>
      </w:pPr>
      <w:r>
        <w:rPr>
          <w:rFonts w:hint="eastAsia" w:ascii="仿宋" w:hAnsi="仿宋" w:eastAsia="仿宋"/>
          <w:sz w:val="32"/>
          <w:szCs w:val="32"/>
        </w:rPr>
        <w:t xml:space="preserve">    </w:t>
      </w:r>
      <w:r>
        <w:rPr>
          <w:rFonts w:ascii="仿宋" w:hAnsi="仿宋" w:eastAsia="仿宋"/>
          <w:sz w:val="32"/>
          <w:szCs w:val="32"/>
        </w:rPr>
        <w:t>3</w:t>
      </w:r>
      <w:r>
        <w:rPr>
          <w:rFonts w:hint="eastAsia" w:ascii="仿宋" w:hAnsi="仿宋" w:eastAsia="仿宋" w:cs="宋体"/>
          <w:sz w:val="32"/>
          <w:szCs w:val="32"/>
        </w:rPr>
        <w:t>.做好以美国白蛾为首的林业病虫害防控工作；</w:t>
      </w:r>
    </w:p>
    <w:p>
      <w:pPr>
        <w:rPr>
          <w:rFonts w:ascii="仿宋" w:hAnsi="仿宋" w:eastAsia="仿宋"/>
          <w:sz w:val="32"/>
          <w:szCs w:val="32"/>
        </w:rPr>
      </w:pPr>
      <w:r>
        <w:rPr>
          <w:rFonts w:hint="eastAsia" w:ascii="仿宋" w:hAnsi="仿宋" w:eastAsia="仿宋"/>
          <w:sz w:val="32"/>
          <w:szCs w:val="32"/>
        </w:rPr>
        <w:t xml:space="preserve">    </w:t>
      </w:r>
      <w:r>
        <w:rPr>
          <w:rFonts w:ascii="仿宋" w:hAnsi="仿宋" w:eastAsia="仿宋"/>
          <w:sz w:val="32"/>
          <w:szCs w:val="32"/>
        </w:rPr>
        <w:t>4</w:t>
      </w:r>
      <w:r>
        <w:rPr>
          <w:rFonts w:hint="eastAsia" w:ascii="仿宋" w:hAnsi="仿宋" w:eastAsia="仿宋" w:cs="宋体"/>
          <w:sz w:val="32"/>
          <w:szCs w:val="32"/>
        </w:rPr>
        <w:t>.加强林政执法和森林防火工作；</w:t>
      </w:r>
    </w:p>
    <w:p>
      <w:pPr>
        <w:rPr>
          <w:rFonts w:ascii="仿宋" w:hAnsi="仿宋" w:eastAsia="仿宋"/>
          <w:sz w:val="32"/>
          <w:szCs w:val="32"/>
        </w:rPr>
      </w:pPr>
      <w:r>
        <w:rPr>
          <w:rFonts w:hint="eastAsia" w:ascii="仿宋" w:hAnsi="仿宋" w:eastAsia="仿宋"/>
          <w:sz w:val="32"/>
          <w:szCs w:val="32"/>
        </w:rPr>
        <w:t xml:space="preserve">    </w:t>
      </w:r>
      <w:r>
        <w:rPr>
          <w:rFonts w:ascii="仿宋" w:hAnsi="仿宋" w:eastAsia="仿宋"/>
          <w:sz w:val="32"/>
          <w:szCs w:val="32"/>
        </w:rPr>
        <w:t>5</w:t>
      </w:r>
      <w:r>
        <w:rPr>
          <w:rFonts w:hint="eastAsia" w:ascii="仿宋" w:hAnsi="仿宋" w:eastAsia="仿宋" w:cs="宋体"/>
          <w:sz w:val="32"/>
          <w:szCs w:val="32"/>
        </w:rPr>
        <w:t>.搞好林果产品检疫和食品果品的无公害监控；</w:t>
      </w:r>
    </w:p>
    <w:p>
      <w:pPr>
        <w:rPr>
          <w:rFonts w:ascii="仿宋" w:hAnsi="仿宋" w:eastAsia="仿宋"/>
          <w:sz w:val="32"/>
          <w:szCs w:val="32"/>
        </w:rPr>
      </w:pPr>
      <w:r>
        <w:rPr>
          <w:rFonts w:hint="eastAsia" w:ascii="仿宋" w:hAnsi="仿宋" w:eastAsia="仿宋"/>
          <w:sz w:val="32"/>
          <w:szCs w:val="32"/>
        </w:rPr>
        <w:t xml:space="preserve">    </w:t>
      </w:r>
      <w:r>
        <w:rPr>
          <w:rFonts w:ascii="仿宋" w:hAnsi="仿宋" w:eastAsia="仿宋"/>
          <w:sz w:val="32"/>
          <w:szCs w:val="32"/>
        </w:rPr>
        <w:t>6</w:t>
      </w:r>
      <w:r>
        <w:rPr>
          <w:rFonts w:hint="eastAsia" w:ascii="仿宋" w:hAnsi="仿宋" w:eastAsia="仿宋" w:cs="宋体"/>
          <w:sz w:val="32"/>
          <w:szCs w:val="32"/>
        </w:rPr>
        <w:t>.完成林业资源普查、统计汇总、相关林业项目设计验收等其他工作。</w:t>
      </w:r>
    </w:p>
    <w:p>
      <w:pPr>
        <w:ind w:firstLine="645"/>
        <w:rPr>
          <w:rFonts w:ascii="楷体" w:hAnsi="楷体" w:eastAsia="楷体"/>
          <w:sz w:val="32"/>
          <w:szCs w:val="32"/>
        </w:rPr>
      </w:pPr>
      <w:r>
        <w:rPr>
          <w:rFonts w:hint="eastAsia" w:ascii="楷体" w:hAnsi="楷体" w:eastAsia="楷体"/>
          <w:sz w:val="32"/>
          <w:szCs w:val="32"/>
        </w:rPr>
        <w:t>（二）职责分类绩效目标</w:t>
      </w:r>
    </w:p>
    <w:p>
      <w:pPr>
        <w:ind w:firstLine="640" w:firstLineChars="200"/>
        <w:rPr>
          <w:rFonts w:ascii="仿宋" w:hAnsi="仿宋" w:eastAsia="仿宋"/>
          <w:sz w:val="32"/>
          <w:szCs w:val="32"/>
        </w:rPr>
      </w:pPr>
      <w:r>
        <w:rPr>
          <w:rFonts w:hint="eastAsia" w:ascii="仿宋" w:hAnsi="仿宋" w:eastAsia="仿宋"/>
          <w:sz w:val="32"/>
          <w:szCs w:val="32"/>
        </w:rPr>
        <w:t>1.</w:t>
      </w:r>
      <w:r>
        <w:rPr>
          <w:rFonts w:hint="eastAsia" w:ascii="仿宋" w:hAnsi="仿宋" w:eastAsia="仿宋" w:cs="宋体"/>
          <w:sz w:val="32"/>
          <w:szCs w:val="32"/>
        </w:rPr>
        <w:t>项目建设、植树造林：全县森林覆盖率净增量达到</w:t>
      </w:r>
      <w:r>
        <w:rPr>
          <w:rFonts w:ascii="仿宋" w:hAnsi="仿宋" w:eastAsia="仿宋"/>
          <w:sz w:val="32"/>
          <w:szCs w:val="32"/>
        </w:rPr>
        <w:t>1%</w:t>
      </w:r>
      <w:r>
        <w:rPr>
          <w:rFonts w:hint="eastAsia" w:ascii="仿宋" w:hAnsi="仿宋" w:eastAsia="仿宋" w:cs="宋体"/>
          <w:sz w:val="32"/>
          <w:szCs w:val="32"/>
        </w:rPr>
        <w:t>。</w:t>
      </w:r>
    </w:p>
    <w:p>
      <w:pPr>
        <w:rPr>
          <w:rFonts w:ascii="仿宋" w:hAnsi="仿宋" w:eastAsia="仿宋"/>
          <w:sz w:val="32"/>
          <w:szCs w:val="32"/>
        </w:rPr>
      </w:pPr>
      <w:r>
        <w:rPr>
          <w:rFonts w:hint="eastAsia" w:ascii="仿宋" w:hAnsi="仿宋" w:eastAsia="仿宋"/>
          <w:sz w:val="32"/>
          <w:szCs w:val="32"/>
        </w:rPr>
        <w:t xml:space="preserve">    </w:t>
      </w:r>
      <w:r>
        <w:rPr>
          <w:rFonts w:ascii="仿宋" w:hAnsi="仿宋" w:eastAsia="仿宋"/>
          <w:sz w:val="32"/>
          <w:szCs w:val="32"/>
        </w:rPr>
        <w:t>2</w:t>
      </w:r>
      <w:r>
        <w:rPr>
          <w:rFonts w:hint="eastAsia" w:ascii="仿宋" w:hAnsi="仿宋" w:eastAsia="仿宋" w:cs="宋体"/>
          <w:sz w:val="32"/>
          <w:szCs w:val="32"/>
        </w:rPr>
        <w:t>.加强林果技术推广，促进林业生产提质增效：推广无公害生产、果品套袋、增施微肥等先进技术，全县覆盖落实率达到</w:t>
      </w:r>
      <w:r>
        <w:rPr>
          <w:rFonts w:ascii="仿宋" w:hAnsi="仿宋" w:eastAsia="仿宋"/>
          <w:sz w:val="32"/>
          <w:szCs w:val="32"/>
        </w:rPr>
        <w:t>90%</w:t>
      </w:r>
      <w:r>
        <w:rPr>
          <w:rFonts w:hint="eastAsia" w:ascii="仿宋" w:hAnsi="仿宋" w:eastAsia="仿宋" w:cs="宋体"/>
          <w:sz w:val="32"/>
          <w:szCs w:val="32"/>
        </w:rPr>
        <w:t>以上，要求全县果品优质果率达到</w:t>
      </w:r>
      <w:r>
        <w:rPr>
          <w:rFonts w:ascii="仿宋" w:hAnsi="仿宋" w:eastAsia="仿宋"/>
          <w:sz w:val="32"/>
          <w:szCs w:val="32"/>
        </w:rPr>
        <w:t>85%</w:t>
      </w:r>
      <w:r>
        <w:rPr>
          <w:rFonts w:hint="eastAsia" w:ascii="仿宋" w:hAnsi="仿宋" w:eastAsia="仿宋" w:cs="宋体"/>
          <w:sz w:val="32"/>
          <w:szCs w:val="32"/>
        </w:rPr>
        <w:t>以上。</w:t>
      </w:r>
    </w:p>
    <w:p>
      <w:pPr>
        <w:ind w:firstLine="640" w:firstLineChars="200"/>
        <w:rPr>
          <w:rFonts w:ascii="仿宋" w:hAnsi="仿宋" w:eastAsia="仿宋"/>
          <w:sz w:val="32"/>
          <w:szCs w:val="32"/>
        </w:rPr>
      </w:pPr>
      <w:r>
        <w:rPr>
          <w:rFonts w:ascii="仿宋" w:hAnsi="仿宋" w:eastAsia="仿宋"/>
          <w:sz w:val="32"/>
          <w:szCs w:val="32"/>
        </w:rPr>
        <w:t>3</w:t>
      </w:r>
      <w:r>
        <w:rPr>
          <w:rFonts w:hint="eastAsia" w:ascii="仿宋" w:hAnsi="仿宋" w:eastAsia="仿宋" w:cs="宋体"/>
          <w:sz w:val="32"/>
          <w:szCs w:val="32"/>
        </w:rPr>
        <w:t>.病虫害防治：要求美国白蛾及其他林业有害生物防治率达</w:t>
      </w:r>
      <w:r>
        <w:rPr>
          <w:rFonts w:ascii="仿宋" w:hAnsi="仿宋" w:eastAsia="仿宋"/>
          <w:sz w:val="32"/>
          <w:szCs w:val="32"/>
        </w:rPr>
        <w:t>95%</w:t>
      </w:r>
      <w:r>
        <w:rPr>
          <w:rFonts w:hint="eastAsia" w:ascii="仿宋" w:hAnsi="仿宋" w:eastAsia="仿宋" w:cs="宋体"/>
          <w:sz w:val="32"/>
          <w:szCs w:val="32"/>
        </w:rPr>
        <w:t>以上，覆盖全县林地面积</w:t>
      </w:r>
      <w:r>
        <w:rPr>
          <w:rFonts w:ascii="仿宋" w:hAnsi="仿宋" w:eastAsia="仿宋"/>
          <w:sz w:val="32"/>
          <w:szCs w:val="32"/>
        </w:rPr>
        <w:t>10</w:t>
      </w:r>
      <w:r>
        <w:rPr>
          <w:rFonts w:hint="eastAsia" w:ascii="仿宋" w:hAnsi="仿宋" w:eastAsia="仿宋" w:cs="宋体"/>
          <w:sz w:val="32"/>
          <w:szCs w:val="32"/>
        </w:rPr>
        <w:t>万亩。</w:t>
      </w:r>
    </w:p>
    <w:p>
      <w:pPr>
        <w:ind w:firstLine="640" w:firstLineChars="200"/>
        <w:rPr>
          <w:rFonts w:ascii="仿宋" w:hAnsi="仿宋" w:eastAsia="仿宋"/>
          <w:sz w:val="32"/>
          <w:szCs w:val="32"/>
        </w:rPr>
      </w:pPr>
      <w:r>
        <w:rPr>
          <w:rFonts w:ascii="仿宋" w:hAnsi="仿宋" w:eastAsia="仿宋"/>
          <w:sz w:val="32"/>
          <w:szCs w:val="32"/>
        </w:rPr>
        <w:t>4</w:t>
      </w:r>
      <w:r>
        <w:rPr>
          <w:rFonts w:hint="eastAsia" w:ascii="仿宋" w:hAnsi="仿宋" w:eastAsia="仿宋" w:cs="宋体"/>
          <w:sz w:val="32"/>
          <w:szCs w:val="32"/>
        </w:rPr>
        <w:t>.林政执法和森林防火：要求林地落实率达</w:t>
      </w:r>
      <w:r>
        <w:rPr>
          <w:rFonts w:ascii="仿宋" w:hAnsi="仿宋" w:eastAsia="仿宋"/>
          <w:sz w:val="32"/>
          <w:szCs w:val="32"/>
        </w:rPr>
        <w:t>95%</w:t>
      </w:r>
      <w:r>
        <w:rPr>
          <w:rFonts w:hint="eastAsia" w:ascii="仿宋" w:hAnsi="仿宋" w:eastAsia="仿宋" w:cs="宋体"/>
          <w:sz w:val="32"/>
          <w:szCs w:val="32"/>
        </w:rPr>
        <w:t>以上，林业处置率</w:t>
      </w:r>
      <w:r>
        <w:rPr>
          <w:rFonts w:ascii="仿宋" w:hAnsi="仿宋" w:eastAsia="仿宋"/>
          <w:sz w:val="32"/>
          <w:szCs w:val="32"/>
        </w:rPr>
        <w:t>100%</w:t>
      </w:r>
      <w:r>
        <w:rPr>
          <w:rFonts w:hint="eastAsia" w:ascii="仿宋" w:hAnsi="仿宋" w:eastAsia="仿宋"/>
          <w:sz w:val="32"/>
          <w:szCs w:val="32"/>
        </w:rPr>
        <w:t>。</w:t>
      </w:r>
    </w:p>
    <w:p>
      <w:pPr>
        <w:ind w:firstLine="640" w:firstLineChars="200"/>
        <w:rPr>
          <w:rFonts w:ascii="仿宋" w:hAnsi="仿宋" w:eastAsia="仿宋"/>
          <w:sz w:val="32"/>
          <w:szCs w:val="32"/>
        </w:rPr>
      </w:pPr>
      <w:r>
        <w:rPr>
          <w:rFonts w:ascii="仿宋" w:hAnsi="仿宋" w:eastAsia="仿宋"/>
          <w:sz w:val="32"/>
          <w:szCs w:val="32"/>
        </w:rPr>
        <w:t>5</w:t>
      </w:r>
      <w:r>
        <w:rPr>
          <w:rFonts w:hint="eastAsia" w:ascii="仿宋" w:hAnsi="仿宋" w:eastAsia="仿宋" w:cs="宋体"/>
          <w:sz w:val="32"/>
          <w:szCs w:val="32"/>
        </w:rPr>
        <w:t>.林果产品检疫和食用果品无公害监控工作：要求全县林果产品检疫率达</w:t>
      </w:r>
      <w:r>
        <w:rPr>
          <w:rFonts w:ascii="仿宋" w:hAnsi="仿宋" w:eastAsia="仿宋"/>
          <w:sz w:val="32"/>
          <w:szCs w:val="32"/>
        </w:rPr>
        <w:t>95%</w:t>
      </w:r>
      <w:r>
        <w:rPr>
          <w:rFonts w:hint="eastAsia" w:ascii="仿宋" w:hAnsi="仿宋" w:eastAsia="仿宋" w:cs="宋体"/>
          <w:sz w:val="32"/>
          <w:szCs w:val="32"/>
        </w:rPr>
        <w:t>，果品食用质量安全保证</w:t>
      </w:r>
      <w:r>
        <w:rPr>
          <w:rFonts w:ascii="仿宋" w:hAnsi="仿宋" w:eastAsia="仿宋"/>
          <w:sz w:val="32"/>
          <w:szCs w:val="32"/>
        </w:rPr>
        <w:t>100%</w:t>
      </w:r>
      <w:r>
        <w:rPr>
          <w:rFonts w:hint="eastAsia" w:ascii="仿宋" w:hAnsi="仿宋" w:eastAsia="仿宋" w:cs="宋体"/>
          <w:sz w:val="32"/>
          <w:szCs w:val="32"/>
        </w:rPr>
        <w:t>，不能发生果品食用安全事故。</w:t>
      </w:r>
    </w:p>
    <w:p>
      <w:pPr>
        <w:ind w:firstLine="640" w:firstLineChars="200"/>
        <w:rPr>
          <w:rFonts w:hint="eastAsia" w:ascii="仿宋" w:hAnsi="仿宋" w:eastAsia="仿宋" w:cs="宋体"/>
          <w:sz w:val="32"/>
          <w:szCs w:val="32"/>
        </w:rPr>
      </w:pPr>
      <w:r>
        <w:rPr>
          <w:rFonts w:ascii="仿宋" w:hAnsi="仿宋" w:eastAsia="仿宋"/>
          <w:sz w:val="32"/>
          <w:szCs w:val="32"/>
        </w:rPr>
        <w:t>6</w:t>
      </w:r>
      <w:r>
        <w:rPr>
          <w:rFonts w:hint="eastAsia" w:ascii="仿宋" w:hAnsi="仿宋" w:eastAsia="仿宋" w:cs="宋体"/>
          <w:sz w:val="32"/>
          <w:szCs w:val="32"/>
        </w:rPr>
        <w:t>.林业资源普查、统计汇总、相关林业项目设计验收等其他工作完成</w:t>
      </w:r>
      <w:r>
        <w:rPr>
          <w:rFonts w:ascii="仿宋" w:hAnsi="仿宋" w:eastAsia="仿宋"/>
          <w:sz w:val="32"/>
          <w:szCs w:val="32"/>
        </w:rPr>
        <w:t>100%</w:t>
      </w:r>
      <w:r>
        <w:rPr>
          <w:rFonts w:hint="eastAsia" w:ascii="仿宋" w:hAnsi="仿宋" w:eastAsia="仿宋" w:cs="宋体"/>
          <w:sz w:val="32"/>
          <w:szCs w:val="32"/>
        </w:rPr>
        <w:t>。</w:t>
      </w:r>
    </w:p>
    <w:p>
      <w:pPr>
        <w:ind w:firstLine="643" w:firstLineChars="200"/>
        <w:rPr>
          <w:rFonts w:hint="eastAsia" w:ascii="仿宋" w:hAnsi="仿宋" w:eastAsia="仿宋" w:cs="宋体"/>
          <w:sz w:val="32"/>
          <w:szCs w:val="32"/>
        </w:rPr>
      </w:pPr>
      <w:r>
        <w:rPr>
          <w:rFonts w:hint="eastAsia" w:ascii="仿宋_GB2312" w:eastAsia="仿宋_GB2312"/>
          <w:b/>
          <w:bCs/>
          <w:sz w:val="32"/>
          <w:szCs w:val="32"/>
          <w:lang w:eastAsia="zh-CN"/>
        </w:rPr>
        <w:t>（三）实现年度发展规划目标</w:t>
      </w:r>
      <w:r>
        <w:rPr>
          <w:rFonts w:hint="eastAsia" w:ascii="仿宋_GB2312" w:eastAsia="仿宋_GB2312"/>
          <w:b/>
          <w:bCs/>
          <w:sz w:val="32"/>
          <w:szCs w:val="32"/>
        </w:rPr>
        <w:t>保障措施</w:t>
      </w:r>
      <w:r>
        <w:rPr>
          <w:rFonts w:hint="eastAsia" w:ascii="仿宋_GB2312" w:eastAsia="仿宋_GB2312"/>
          <w:b/>
          <w:bCs/>
          <w:sz w:val="32"/>
          <w:szCs w:val="32"/>
          <w:lang w:eastAsia="zh-CN"/>
        </w:rPr>
        <w:t>：</w:t>
      </w:r>
    </w:p>
    <w:p>
      <w:pPr>
        <w:spacing w:line="500" w:lineRule="exact"/>
        <w:ind w:firstLine="560"/>
        <w:rPr>
          <w:rFonts w:ascii="仿宋_GB2312" w:eastAsia="仿宋_GB2312"/>
          <w:sz w:val="32"/>
          <w:szCs w:val="32"/>
        </w:rPr>
      </w:pPr>
      <w:r>
        <w:rPr>
          <w:rFonts w:hint="eastAsia" w:ascii="仿宋_GB2312" w:eastAsia="仿宋_GB2312"/>
          <w:sz w:val="32"/>
          <w:szCs w:val="32"/>
        </w:rPr>
        <w:t>1、进一步加强组织建设。加强干部教育培训，提高专业水平和管理能力。通过多种方式与途径引进人才或与其他单位进行短期干部交流。按照“政令畅通、执法严格、服务优质、廉政勤政”的公务员队伍要求，建设系统高素质干部队伍。</w:t>
      </w:r>
    </w:p>
    <w:p>
      <w:pPr>
        <w:spacing w:line="500" w:lineRule="exact"/>
        <w:ind w:firstLine="560"/>
        <w:rPr>
          <w:rFonts w:hint="eastAsia" w:ascii="仿宋_GB2312" w:eastAsia="仿宋_GB2312"/>
          <w:sz w:val="32"/>
          <w:szCs w:val="32"/>
        </w:rPr>
      </w:pPr>
      <w:r>
        <w:rPr>
          <w:rFonts w:hint="eastAsia" w:ascii="仿宋_GB2312" w:eastAsia="仿宋_GB2312"/>
          <w:sz w:val="32"/>
          <w:szCs w:val="32"/>
        </w:rPr>
        <w:t>2、提高部门依法行政能力。加强法制宣传教育，提高依法行政能力。建立行政权力公开透明运行体系，大力推进政务公开。积极推进依法行政工作，完善内部会审会签、窗口办文、公示等制度。</w:t>
      </w:r>
    </w:p>
    <w:p>
      <w:pPr>
        <w:spacing w:line="500" w:lineRule="exact"/>
        <w:ind w:firstLine="560"/>
        <w:rPr>
          <w:rFonts w:ascii="仿宋_GB2312" w:eastAsia="仿宋_GB2312"/>
          <w:sz w:val="32"/>
          <w:szCs w:val="32"/>
        </w:rPr>
      </w:pPr>
      <w:r>
        <w:rPr>
          <w:rFonts w:hint="eastAsia" w:ascii="仿宋_GB2312" w:eastAsia="仿宋_GB2312"/>
          <w:sz w:val="32"/>
          <w:szCs w:val="32"/>
        </w:rPr>
        <w:t>3、加强党风廉政建设。认真落实党风廉政建设责任制的各项规定，完善监督体系，坚持业务集体会审制度。加大对用地、用人、用钱等关键环节的监督力度，建立健全按制度监督，按制度管理，按制度问责的长效机制，努力建设一支廉洁的管理队伍。</w:t>
      </w:r>
    </w:p>
    <w:p>
      <w:pPr>
        <w:ind w:firstLine="640" w:firstLineChars="200"/>
        <w:rPr>
          <w:rFonts w:hint="eastAsia" w:ascii="仿宋" w:hAnsi="仿宋" w:eastAsia="仿宋" w:cs="宋体"/>
          <w:sz w:val="32"/>
          <w:szCs w:val="32"/>
        </w:rPr>
      </w:pPr>
    </w:p>
    <w:p>
      <w:pPr>
        <w:ind w:firstLine="645"/>
        <w:rPr>
          <w:rFonts w:ascii="楷体" w:hAnsi="楷体" w:eastAsia="楷体"/>
          <w:sz w:val="32"/>
          <w:szCs w:val="32"/>
        </w:rPr>
      </w:pPr>
      <w:r>
        <w:rPr>
          <w:rFonts w:hint="eastAsia" w:ascii="楷体" w:hAnsi="楷体" w:eastAsia="楷体"/>
          <w:sz w:val="32"/>
          <w:szCs w:val="32"/>
        </w:rPr>
        <w:t>部门职责-工作活动绩效目标</w:t>
      </w:r>
    </w:p>
    <w:p>
      <w:pPr>
        <w:jc w:val="center"/>
        <w:outlineLvl w:val="0"/>
        <w:rPr>
          <w:rFonts w:ascii="方正小标宋_GBK" w:eastAsia="方正小标宋_GBK"/>
          <w:sz w:val="32"/>
        </w:rPr>
      </w:pPr>
      <w:bookmarkStart w:id="0" w:name="_Toc510261284"/>
      <w:r>
        <w:rPr>
          <w:rFonts w:hint="eastAsia" w:ascii="方正小标宋_GBK" w:eastAsia="方正小标宋_GBK"/>
          <w:sz w:val="32"/>
        </w:rPr>
        <w:t>部门职责-工作活动绩效目标</w:t>
      </w:r>
      <w:bookmarkEnd w:id="0"/>
    </w:p>
    <w:tbl>
      <w:tblPr>
        <w:tblStyle w:val="5"/>
        <w:tblW w:w="1393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327</w:t>
            </w:r>
            <w:r>
              <w:rPr>
                <w:rFonts w:hint="eastAsia" w:ascii="方正小标宋_GBK" w:eastAsia="方正小标宋_GBK"/>
                <w:sz w:val="24"/>
              </w:rPr>
              <w:t>无极县林业工作站</w:t>
            </w:r>
          </w:p>
        </w:tc>
        <w:tc>
          <w:tcPr>
            <w:tcW w:w="2948"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1417" w:type="dxa"/>
            <w:vMerge w:val="continue"/>
            <w:vAlign w:val="center"/>
          </w:tcPr>
          <w:p>
            <w:pPr>
              <w:spacing w:line="300" w:lineRule="exact"/>
              <w:jc w:val="left"/>
              <w:outlineLvl w:val="0"/>
            </w:pP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一、林业生态建设</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1597</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贯彻执行国家、省、关于林业及其生态建设的方针、政策和法律法规；拟定林业及其生态环境建设、森林资源保护、国土绿化、荒漠化防治和林业产业发展的规定和方法，并组织实施监督和检查，组织开展森林资源、承担林业生态文明建设的有关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完成国家下达和省委省政府制定的造林任务及全县森林覆盖率考核目标。有效改善生态环境。</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、造林绿化</w:t>
            </w:r>
          </w:p>
        </w:tc>
        <w:tc>
          <w:tcPr>
            <w:tcW w:w="1276" w:type="dxa"/>
            <w:vMerge w:val="restart"/>
            <w:vAlign w:val="center"/>
          </w:tcPr>
          <w:p>
            <w:pPr>
              <w:spacing w:line="300" w:lineRule="exact"/>
              <w:jc w:val="left"/>
              <w:rPr>
                <w:rFonts w:ascii="方正书宋_GBK" w:eastAsia="方正书宋_GBK"/>
              </w:rPr>
            </w:pPr>
            <w:r>
              <w:rPr>
                <w:rFonts w:hint="eastAsia" w:ascii="方正书宋_GBK" w:eastAsia="方正书宋_GBK"/>
              </w:rPr>
              <w:t>1250</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制定全县造林绿化的指导性计划，贯彻落实国家、省有关标准和规程，指导公益林和商品林的培育，指导植树造林和以植树种草等生物措施防治水土流失工作，指导监督全民义务植树和造林绿化工作。承担林业应对气候变化的相关工作。承担县绿化委员会的日常工作</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增加有林地面积，提高全县绿化水平和森林覆盖率，改善生态环境。</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森林覆盖率提高</w:t>
            </w:r>
            <w:r>
              <w:rPr>
                <w:rFonts w:ascii="方正书宋_GBK" w:eastAsia="方正书宋_GBK"/>
              </w:rPr>
              <w:t>1</w:t>
            </w:r>
            <w:r>
              <w:rPr>
                <w:rFonts w:hint="eastAsia" w:ascii="方正书宋_GBK" w:eastAsia="方正书宋_GBK"/>
              </w:rPr>
              <w:t>个百分点。</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ascii="方正书宋_GBK" w:eastAsia="方正书宋_GBK"/>
              </w:rPr>
              <w:t>85%</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全县完成造林绿化</w:t>
            </w:r>
            <w:r>
              <w:rPr>
                <w:rFonts w:ascii="方正书宋_GBK" w:eastAsia="方正书宋_GBK"/>
              </w:rPr>
              <w:t>0.8</w:t>
            </w:r>
            <w:r>
              <w:rPr>
                <w:rFonts w:hint="eastAsia" w:ascii="方正书宋_GBK" w:eastAsia="方正书宋_GBK"/>
              </w:rPr>
              <w:t>万亩。</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ascii="方正书宋_GBK" w:eastAsia="方正书宋_GBK"/>
              </w:rPr>
              <w:t>85%</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、森林抚育</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347</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组织全县国有林场，对中幼龄林进行抚育作业，低质低效林改造，更新造林。</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提高森林质量，促进林业持续发展。</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全县完成</w:t>
            </w:r>
            <w:r>
              <w:rPr>
                <w:rFonts w:ascii="方正书宋_GBK" w:eastAsia="方正书宋_GBK"/>
              </w:rPr>
              <w:t xml:space="preserve"> 2</w:t>
            </w:r>
            <w:r>
              <w:rPr>
                <w:rFonts w:hint="eastAsia" w:ascii="方正书宋_GBK" w:eastAsia="方正书宋_GBK"/>
              </w:rPr>
              <w:t>万亩森林抚育任务。</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ascii="方正书宋_GBK" w:eastAsia="方正书宋_GBK"/>
              </w:rPr>
              <w:t>85%</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、退耕还林</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按照规划和国家下达的年度计划，组织实施退耕还林、荒山荒地造林及巩固退耕成果等工程，兑现政策补助资金。</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工程治理地区的生态状况得到明显改善。</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二、林果产业发展</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扶持果品、蚕桑、苗木、花卉的标准化生产和基地建设，推动果品、蚕桑、花卉的结构调整。指导全县林业产业相关工作，扶持林业企业发展。</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推进林果产业标准化生产，改善品种，调整结构，提升品质和产量，提升经济效益。</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ascii="方正书宋_GBK" w:eastAsia="方正书宋_GBK"/>
                <w:b/>
              </w:rPr>
              <w:t>1</w:t>
            </w:r>
            <w:r>
              <w:rPr>
                <w:rFonts w:hint="eastAsia" w:ascii="方正书宋_GBK" w:eastAsia="方正书宋_GBK"/>
                <w:b/>
              </w:rPr>
              <w:t>、支持现代果品业发展</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组织实施果品的结构调整和基地建设，指导果品的品种改良、品质提高和标准化生产工作。</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促进全县果品基地建设提档升级，全面提高果品质量安全水平。</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三、林业科技支撑和公共服务</w:t>
            </w:r>
          </w:p>
        </w:tc>
        <w:tc>
          <w:tcPr>
            <w:tcW w:w="1276" w:type="dxa"/>
            <w:vAlign w:val="center"/>
          </w:tcPr>
          <w:p>
            <w:pPr>
              <w:spacing w:line="300" w:lineRule="exact"/>
              <w:jc w:val="left"/>
              <w:rPr>
                <w:rFonts w:ascii="方正书宋_GBK" w:eastAsia="方正书宋_GBK"/>
              </w:rPr>
            </w:pPr>
            <w:r>
              <w:rPr>
                <w:rFonts w:ascii="方正书宋_GBK" w:eastAsia="方正书宋_GBK"/>
              </w:rPr>
              <w:t>10.00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组织指导全县林业及其生态建设的科技创新和技术示范推广，为林业生态发展和林产品生产提供公共支撑。</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研制并示范推广林业生产管理的良种、良法，提高林产品品质和经济效益。</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ascii="方正书宋_GBK" w:eastAsia="方正书宋_GBK"/>
                <w:b/>
              </w:rPr>
              <w:t>1</w:t>
            </w:r>
            <w:r>
              <w:rPr>
                <w:rFonts w:hint="eastAsia" w:ascii="方正书宋_GBK" w:eastAsia="方正书宋_GBK"/>
                <w:b/>
              </w:rPr>
              <w:t>、林木良种繁育</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负责全县林木良种选育、引种及林木种质资源管理</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提高林木种苗质量，保障林木良种供应，加快林木良种推广步伐。</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ascii="方正书宋_GBK" w:eastAsia="方正书宋_GBK"/>
                <w:b/>
              </w:rPr>
              <w:t>2</w:t>
            </w:r>
            <w:r>
              <w:rPr>
                <w:rFonts w:hint="eastAsia" w:ascii="方正书宋_GBK" w:eastAsia="方正书宋_GBK"/>
                <w:b/>
              </w:rPr>
              <w:t>、林业防灾减灾</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10.00</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组织、协调、指导全县森林火灾的预防与扑救工作，承担河北县森林防火指挥部的具体工作。指导、组织开展林业有害生物的防治、检疫工作。组织开展全县林业系统遭受自然灾害后林业生产恢复重建。开展森林保险相关工作。</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预防和减少自然灾害对森林资源的损失，保护森林资源</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林业有害生物成灾率控制在</w:t>
            </w:r>
            <w:r>
              <w:rPr>
                <w:rFonts w:ascii="方正书宋_GBK" w:eastAsia="方正书宋_GBK"/>
              </w:rPr>
              <w:t>6‰</w:t>
            </w:r>
            <w:r>
              <w:rPr>
                <w:rFonts w:hint="eastAsia" w:ascii="方正书宋_GBK" w:eastAsia="方正书宋_GBK"/>
              </w:rPr>
              <w:t>以下</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ascii="方正书宋_GBK" w:eastAsia="方正书宋_GBK"/>
              </w:rPr>
              <w:t>85%</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林业有害生物成灾率控制在</w:t>
            </w:r>
            <w:r>
              <w:rPr>
                <w:rFonts w:ascii="方正书宋_GBK" w:eastAsia="方正书宋_GBK"/>
              </w:rPr>
              <w:t>5‰</w:t>
            </w:r>
            <w:r>
              <w:rPr>
                <w:rFonts w:hint="eastAsia" w:ascii="方正书宋_GBK" w:eastAsia="方正书宋_GBK"/>
              </w:rPr>
              <w:t>以下</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ascii="方正书宋_GBK" w:eastAsia="方正书宋_GBK"/>
              </w:rPr>
              <w:t>85%</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林业有害生物成灾率控制在</w:t>
            </w:r>
            <w:r>
              <w:rPr>
                <w:rFonts w:ascii="方正书宋_GBK" w:eastAsia="方正书宋_GBK"/>
              </w:rPr>
              <w:t>4‰</w:t>
            </w:r>
            <w:r>
              <w:rPr>
                <w:rFonts w:hint="eastAsia" w:ascii="方正书宋_GBK" w:eastAsia="方正书宋_GBK"/>
              </w:rPr>
              <w:t>以下</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ascii="方正书宋_GBK" w:eastAsia="方正书宋_GBK"/>
              </w:rPr>
              <w:t>85%</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ascii="方正书宋_GBK" w:eastAsia="方正书宋_GBK"/>
                <w:b/>
              </w:rPr>
              <w:t>3</w:t>
            </w:r>
            <w:r>
              <w:rPr>
                <w:rFonts w:hint="eastAsia" w:ascii="方正书宋_GBK" w:eastAsia="方正书宋_GBK"/>
                <w:b/>
              </w:rPr>
              <w:t>、林业科研推广</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组织指导全县科林业研项目实施，科技支撑体系建设。林业新品种、新技术推广示范，标准化示范区建设，基层推广体系建设等。</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提高林业科技含量，发挥科技成果的示范带动作用，完善基层推广体系。</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ascii="方正书宋_GBK" w:eastAsia="方正书宋_GBK"/>
                <w:b/>
              </w:rPr>
              <w:t>4</w:t>
            </w:r>
            <w:r>
              <w:rPr>
                <w:rFonts w:hint="eastAsia" w:ascii="方正书宋_GBK" w:eastAsia="方正书宋_GBK"/>
                <w:b/>
              </w:rPr>
              <w:t>、林业行业质量安全</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监督管理林业行业产品质量安全，负责相关质量安全监测及信息发布工作。</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保障林产品、果产品质量安全。</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bl>
    <w:p>
      <w:pPr>
        <w:spacing w:line="300" w:lineRule="exact"/>
        <w:jc w:val="left"/>
        <w:outlineLvl w:val="0"/>
        <w:sectPr>
          <w:pgSz w:w="16839" w:h="11907" w:orient="landscape"/>
          <w:pgMar w:top="1020" w:right="1361" w:bottom="1020" w:left="1361" w:header="851" w:footer="992" w:gutter="0"/>
          <w:pgBorders>
            <w:top w:val="none" w:sz="0" w:space="0"/>
            <w:left w:val="none" w:sz="0" w:space="0"/>
            <w:bottom w:val="none" w:sz="0" w:space="0"/>
            <w:right w:val="none" w:sz="0" w:space="0"/>
          </w:pgBorders>
          <w:cols w:space="720" w:num="1"/>
          <w:docGrid w:type="lines" w:linePitch="312" w:charSpace="0"/>
        </w:sectPr>
      </w:pPr>
    </w:p>
    <w:p>
      <w:pPr>
        <w:numPr>
          <w:ilvl w:val="0"/>
          <w:numId w:val="1"/>
        </w:numPr>
        <w:autoSpaceDE w:val="0"/>
        <w:autoSpaceDN w:val="0"/>
        <w:adjustRightInd w:val="0"/>
        <w:ind w:firstLine="640" w:firstLineChars="200"/>
        <w:jc w:val="left"/>
        <w:rPr>
          <w:rFonts w:hint="eastAsia" w:ascii="黑体" w:hAnsi="黑体" w:eastAsia="黑体" w:cs="仿宋_GB2312"/>
          <w:sz w:val="32"/>
          <w:szCs w:val="32"/>
        </w:rPr>
      </w:pPr>
      <w:r>
        <w:rPr>
          <w:rFonts w:hint="eastAsia" w:ascii="黑体" w:hAnsi="黑体" w:eastAsia="黑体" w:cs="仿宋_GB2312"/>
          <w:sz w:val="32"/>
          <w:szCs w:val="32"/>
        </w:rPr>
        <w:t>政府采购预算情况</w:t>
      </w:r>
    </w:p>
    <w:p>
      <w:pPr>
        <w:numPr>
          <w:ilvl w:val="0"/>
          <w:numId w:val="0"/>
        </w:numPr>
        <w:autoSpaceDE w:val="0"/>
        <w:autoSpaceDN w:val="0"/>
        <w:adjustRightInd w:val="0"/>
        <w:jc w:val="left"/>
        <w:rPr>
          <w:rFonts w:hint="eastAsia" w:ascii="仿宋" w:hAnsi="仿宋" w:eastAsia="仿宋" w:cs="仿宋"/>
          <w:sz w:val="32"/>
          <w:szCs w:val="32"/>
          <w:lang w:val="en-US" w:eastAsia="zh-CN"/>
        </w:rPr>
      </w:pPr>
      <w:r>
        <w:rPr>
          <w:rFonts w:hint="eastAsia" w:ascii="黑体" w:hAnsi="黑体" w:eastAsia="黑体" w:cs="仿宋_GB2312"/>
          <w:sz w:val="32"/>
          <w:szCs w:val="32"/>
          <w:lang w:val="en-US" w:eastAsia="zh-CN"/>
        </w:rPr>
        <w:t xml:space="preserve">     </w:t>
      </w:r>
      <w:r>
        <w:rPr>
          <w:rFonts w:hint="eastAsia" w:ascii="仿宋" w:hAnsi="仿宋" w:eastAsia="仿宋" w:cs="仿宋"/>
          <w:sz w:val="32"/>
          <w:szCs w:val="32"/>
          <w:lang w:val="en-US" w:eastAsia="zh-CN"/>
        </w:rPr>
        <w:t xml:space="preserve"> 2019年，安排政府采购预算0万元，具体内容见下表</w:t>
      </w:r>
    </w:p>
    <w:p>
      <w:pPr>
        <w:jc w:val="center"/>
        <w:outlineLvl w:val="0"/>
        <w:rPr>
          <w:rFonts w:ascii="方正小标宋_GBK" w:eastAsia="方正小标宋_GBK"/>
          <w:sz w:val="32"/>
        </w:rPr>
      </w:pPr>
      <w:r>
        <w:rPr>
          <w:rFonts w:hint="eastAsia" w:ascii="黑体" w:hAnsi="黑体" w:eastAsia="黑体" w:cs="仿宋_GB2312"/>
          <w:sz w:val="32"/>
          <w:szCs w:val="32"/>
          <w:lang w:val="en-US" w:eastAsia="zh-CN"/>
        </w:rPr>
        <w:t xml:space="preserve">    </w:t>
      </w:r>
      <w:bookmarkStart w:id="1" w:name="_Toc2579293"/>
      <w:r>
        <w:rPr>
          <w:rFonts w:hint="eastAsia" w:ascii="方正小标宋_GBK" w:eastAsia="方正小标宋_GBK"/>
          <w:sz w:val="32"/>
        </w:rPr>
        <w:t>部门政府采购预算</w:t>
      </w:r>
      <w:bookmarkEnd w:id="1"/>
    </w:p>
    <w:tbl>
      <w:tblPr>
        <w:tblStyle w:val="5"/>
        <w:tblW w:w="1375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06"/>
        <w:gridCol w:w="1033"/>
        <w:gridCol w:w="915"/>
        <w:gridCol w:w="926"/>
        <w:gridCol w:w="714"/>
        <w:gridCol w:w="714"/>
        <w:gridCol w:w="846"/>
        <w:gridCol w:w="904"/>
        <w:gridCol w:w="904"/>
        <w:gridCol w:w="905"/>
        <w:gridCol w:w="905"/>
        <w:gridCol w:w="907"/>
        <w:gridCol w:w="907"/>
        <w:gridCol w:w="8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454" w:type="dxa"/>
            <w:gridSpan w:val="7"/>
            <w:tcBorders>
              <w:top w:val="single" w:color="FFFFFF" w:sz="6" w:space="0"/>
              <w:left w:val="single" w:color="FFFFFF" w:sz="6" w:space="0"/>
              <w:right w:val="single" w:color="FFFFFF" w:sz="6" w:space="0"/>
            </w:tcBorders>
            <w:vAlign w:val="center"/>
          </w:tcPr>
          <w:p>
            <w:pPr>
              <w:spacing w:line="300" w:lineRule="exact"/>
              <w:jc w:val="left"/>
              <w:rPr>
                <w:rFonts w:hint="default" w:ascii="方正小标宋_GBK" w:eastAsia="方正小标宋_GBK"/>
                <w:sz w:val="24"/>
                <w:lang w:val="en-US" w:eastAsia="zh-CN"/>
              </w:rPr>
            </w:pPr>
            <w:r>
              <w:rPr>
                <w:rFonts w:hint="eastAsia" w:ascii="方正小标宋_GBK" w:eastAsia="方正小标宋_GBK"/>
                <w:sz w:val="24"/>
                <w:lang w:val="en-US" w:eastAsia="zh-CN"/>
              </w:rPr>
              <w:t>327林业局</w:t>
            </w:r>
          </w:p>
        </w:tc>
        <w:tc>
          <w:tcPr>
            <w:tcW w:w="6298" w:type="dxa"/>
            <w:gridSpan w:val="7"/>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3339"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915"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926"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14"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r>
              <w:rPr>
                <w:rFonts w:ascii="方正书宋_GBK" w:eastAsia="方正书宋_GBK"/>
                <w:b/>
              </w:rPr>
              <w:t xml:space="preserve">  </w:t>
            </w:r>
            <w:r>
              <w:rPr>
                <w:rFonts w:hint="eastAsia" w:ascii="方正书宋_GBK" w:eastAsia="方正书宋_GBK"/>
                <w:b/>
              </w:rPr>
              <w:t>单位</w:t>
            </w:r>
          </w:p>
        </w:tc>
        <w:tc>
          <w:tcPr>
            <w:tcW w:w="714"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846"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298" w:type="dxa"/>
            <w:gridSpan w:val="7"/>
            <w:vAlign w:val="center"/>
          </w:tcPr>
          <w:p>
            <w:pPr>
              <w:spacing w:line="300" w:lineRule="exact"/>
              <w:jc w:val="center"/>
              <w:rPr>
                <w:rFonts w:ascii="方正书宋_GBK" w:eastAsia="方正书宋_GBK"/>
                <w:b/>
              </w:rPr>
            </w:pPr>
            <w:r>
              <w:rPr>
                <w:rFonts w:hint="eastAsia" w:ascii="方正书宋_GBK" w:eastAsia="方正书宋_GBK"/>
                <w:b/>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306"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033"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915" w:type="dxa"/>
            <w:vMerge w:val="continue"/>
            <w:vAlign w:val="center"/>
          </w:tcPr>
          <w:p>
            <w:pPr>
              <w:spacing w:line="300" w:lineRule="exact"/>
              <w:jc w:val="left"/>
              <w:outlineLvl w:val="0"/>
            </w:pPr>
          </w:p>
        </w:tc>
        <w:tc>
          <w:tcPr>
            <w:tcW w:w="926" w:type="dxa"/>
            <w:vMerge w:val="continue"/>
            <w:vAlign w:val="center"/>
          </w:tcPr>
          <w:p>
            <w:pPr>
              <w:spacing w:line="300" w:lineRule="exact"/>
              <w:jc w:val="left"/>
              <w:outlineLvl w:val="0"/>
            </w:pPr>
          </w:p>
        </w:tc>
        <w:tc>
          <w:tcPr>
            <w:tcW w:w="714" w:type="dxa"/>
            <w:vMerge w:val="continue"/>
            <w:vAlign w:val="center"/>
          </w:tcPr>
          <w:p>
            <w:pPr>
              <w:spacing w:line="300" w:lineRule="exact"/>
              <w:jc w:val="left"/>
              <w:outlineLvl w:val="0"/>
            </w:pPr>
          </w:p>
        </w:tc>
        <w:tc>
          <w:tcPr>
            <w:tcW w:w="714" w:type="dxa"/>
            <w:vMerge w:val="continue"/>
            <w:vAlign w:val="center"/>
          </w:tcPr>
          <w:p>
            <w:pPr>
              <w:spacing w:line="300" w:lineRule="exact"/>
              <w:jc w:val="left"/>
              <w:outlineLvl w:val="0"/>
            </w:pPr>
          </w:p>
        </w:tc>
        <w:tc>
          <w:tcPr>
            <w:tcW w:w="846" w:type="dxa"/>
            <w:vMerge w:val="continue"/>
            <w:vAlign w:val="center"/>
          </w:tcPr>
          <w:p>
            <w:pPr>
              <w:spacing w:line="300" w:lineRule="exact"/>
              <w:jc w:val="left"/>
              <w:outlineLvl w:val="0"/>
            </w:pPr>
          </w:p>
        </w:tc>
        <w:tc>
          <w:tcPr>
            <w:tcW w:w="904" w:type="dxa"/>
            <w:vMerge w:val="restart"/>
            <w:vAlign w:val="center"/>
          </w:tcPr>
          <w:p>
            <w:pPr>
              <w:spacing w:line="300" w:lineRule="exact"/>
              <w:jc w:val="center"/>
              <w:rPr>
                <w:rFonts w:ascii="方正书宋_GBK" w:eastAsia="方正书宋_GBK"/>
                <w:b/>
              </w:rPr>
            </w:pPr>
            <w:r>
              <w:rPr>
                <w:rFonts w:hint="eastAsia" w:ascii="方正书宋_GBK" w:eastAsia="方正书宋_GBK"/>
                <w:b/>
              </w:rPr>
              <w:t>总计</w:t>
            </w:r>
          </w:p>
        </w:tc>
        <w:tc>
          <w:tcPr>
            <w:tcW w:w="4528" w:type="dxa"/>
            <w:gridSpan w:val="5"/>
            <w:vAlign w:val="center"/>
          </w:tcPr>
          <w:p>
            <w:pPr>
              <w:spacing w:line="300" w:lineRule="exact"/>
              <w:jc w:val="center"/>
              <w:rPr>
                <w:rFonts w:ascii="方正书宋_GBK" w:eastAsia="方正书宋_GBK"/>
                <w:b/>
              </w:rPr>
            </w:pPr>
            <w:r>
              <w:rPr>
                <w:rFonts w:hint="eastAsia" w:ascii="方正书宋_GBK" w:eastAsia="方正书宋_GBK"/>
                <w:b/>
              </w:rPr>
              <w:t>当年部门预算安排资金</w:t>
            </w:r>
          </w:p>
        </w:tc>
        <w:tc>
          <w:tcPr>
            <w:tcW w:w="866" w:type="dxa"/>
            <w:vMerge w:val="restart"/>
            <w:vAlign w:val="center"/>
          </w:tcPr>
          <w:p>
            <w:pPr>
              <w:spacing w:line="300" w:lineRule="exact"/>
              <w:jc w:val="center"/>
              <w:rPr>
                <w:rFonts w:ascii="方正书宋_GBK" w:eastAsia="方正书宋_GBK"/>
                <w:b/>
              </w:rPr>
            </w:pPr>
            <w:r>
              <w:rPr>
                <w:rFonts w:hint="eastAsia" w:ascii="方正书宋_GBK" w:eastAsia="方正书宋_GBK"/>
                <w:b/>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306" w:type="dxa"/>
            <w:vMerge w:val="continue"/>
            <w:vAlign w:val="center"/>
          </w:tcPr>
          <w:p>
            <w:pPr>
              <w:spacing w:line="300" w:lineRule="exact"/>
              <w:jc w:val="left"/>
              <w:outlineLvl w:val="0"/>
            </w:pPr>
          </w:p>
        </w:tc>
        <w:tc>
          <w:tcPr>
            <w:tcW w:w="1033" w:type="dxa"/>
            <w:vMerge w:val="continue"/>
            <w:vAlign w:val="center"/>
          </w:tcPr>
          <w:p>
            <w:pPr>
              <w:spacing w:line="300" w:lineRule="exact"/>
              <w:jc w:val="left"/>
              <w:outlineLvl w:val="0"/>
            </w:pPr>
          </w:p>
        </w:tc>
        <w:tc>
          <w:tcPr>
            <w:tcW w:w="915" w:type="dxa"/>
            <w:vMerge w:val="continue"/>
            <w:vAlign w:val="center"/>
          </w:tcPr>
          <w:p>
            <w:pPr>
              <w:spacing w:line="300" w:lineRule="exact"/>
              <w:jc w:val="left"/>
              <w:outlineLvl w:val="0"/>
            </w:pPr>
          </w:p>
        </w:tc>
        <w:tc>
          <w:tcPr>
            <w:tcW w:w="926" w:type="dxa"/>
            <w:vMerge w:val="continue"/>
            <w:vAlign w:val="center"/>
          </w:tcPr>
          <w:p>
            <w:pPr>
              <w:spacing w:line="300" w:lineRule="exact"/>
              <w:jc w:val="left"/>
              <w:outlineLvl w:val="0"/>
            </w:pPr>
          </w:p>
        </w:tc>
        <w:tc>
          <w:tcPr>
            <w:tcW w:w="714" w:type="dxa"/>
            <w:vMerge w:val="continue"/>
            <w:vAlign w:val="center"/>
          </w:tcPr>
          <w:p>
            <w:pPr>
              <w:spacing w:line="300" w:lineRule="exact"/>
              <w:jc w:val="left"/>
              <w:outlineLvl w:val="0"/>
            </w:pPr>
          </w:p>
        </w:tc>
        <w:tc>
          <w:tcPr>
            <w:tcW w:w="714" w:type="dxa"/>
            <w:vMerge w:val="continue"/>
            <w:vAlign w:val="center"/>
          </w:tcPr>
          <w:p>
            <w:pPr>
              <w:spacing w:line="300" w:lineRule="exact"/>
              <w:jc w:val="left"/>
              <w:outlineLvl w:val="0"/>
            </w:pPr>
          </w:p>
        </w:tc>
        <w:tc>
          <w:tcPr>
            <w:tcW w:w="846" w:type="dxa"/>
            <w:vMerge w:val="continue"/>
            <w:vAlign w:val="center"/>
          </w:tcPr>
          <w:p>
            <w:pPr>
              <w:spacing w:line="300" w:lineRule="exact"/>
              <w:jc w:val="left"/>
              <w:outlineLvl w:val="0"/>
            </w:pPr>
          </w:p>
        </w:tc>
        <w:tc>
          <w:tcPr>
            <w:tcW w:w="904" w:type="dxa"/>
            <w:vMerge w:val="continue"/>
            <w:vAlign w:val="center"/>
          </w:tcPr>
          <w:p>
            <w:pPr>
              <w:spacing w:line="300" w:lineRule="exact"/>
              <w:jc w:val="left"/>
              <w:outlineLvl w:val="0"/>
            </w:pPr>
          </w:p>
        </w:tc>
        <w:tc>
          <w:tcPr>
            <w:tcW w:w="904"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05"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05"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907"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907"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c>
          <w:tcPr>
            <w:tcW w:w="866" w:type="dxa"/>
            <w:vMerge w:val="continue"/>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2306" w:type="dxa"/>
            <w:vAlign w:val="center"/>
          </w:tcPr>
          <w:p>
            <w:pPr>
              <w:spacing w:line="300" w:lineRule="exact"/>
              <w:jc w:val="center"/>
              <w:rPr>
                <w:rFonts w:ascii="方正书宋_GBK" w:eastAsia="方正书宋_GBK"/>
                <w:b/>
              </w:rPr>
            </w:pPr>
          </w:p>
        </w:tc>
        <w:tc>
          <w:tcPr>
            <w:tcW w:w="1033" w:type="dxa"/>
            <w:vAlign w:val="center"/>
          </w:tcPr>
          <w:p>
            <w:pPr>
              <w:spacing w:line="300" w:lineRule="exact"/>
              <w:jc w:val="right"/>
              <w:rPr>
                <w:rFonts w:ascii="方正书宋_GBK" w:eastAsia="方正书宋_GBK"/>
                <w:b/>
              </w:rPr>
            </w:pPr>
          </w:p>
        </w:tc>
        <w:tc>
          <w:tcPr>
            <w:tcW w:w="915" w:type="dxa"/>
            <w:vAlign w:val="center"/>
          </w:tcPr>
          <w:p>
            <w:pPr>
              <w:spacing w:line="300" w:lineRule="exact"/>
              <w:jc w:val="left"/>
              <w:rPr>
                <w:rFonts w:ascii="方正书宋_GBK" w:eastAsia="方正书宋_GBK"/>
                <w:b/>
              </w:rPr>
            </w:pPr>
          </w:p>
        </w:tc>
        <w:tc>
          <w:tcPr>
            <w:tcW w:w="926" w:type="dxa"/>
            <w:vAlign w:val="center"/>
          </w:tcPr>
          <w:p>
            <w:pPr>
              <w:spacing w:line="300" w:lineRule="exact"/>
              <w:jc w:val="left"/>
              <w:rPr>
                <w:rFonts w:ascii="方正书宋_GBK" w:eastAsia="方正书宋_GBK"/>
                <w:b/>
              </w:rPr>
            </w:pPr>
          </w:p>
        </w:tc>
        <w:tc>
          <w:tcPr>
            <w:tcW w:w="714" w:type="dxa"/>
            <w:vAlign w:val="center"/>
          </w:tcPr>
          <w:p>
            <w:pPr>
              <w:spacing w:line="300" w:lineRule="exact"/>
              <w:jc w:val="left"/>
              <w:rPr>
                <w:rFonts w:ascii="方正书宋_GBK" w:eastAsia="方正书宋_GBK"/>
                <w:b/>
              </w:rPr>
            </w:pPr>
          </w:p>
        </w:tc>
        <w:tc>
          <w:tcPr>
            <w:tcW w:w="714" w:type="dxa"/>
            <w:vAlign w:val="center"/>
          </w:tcPr>
          <w:p>
            <w:pPr>
              <w:spacing w:line="300" w:lineRule="exact"/>
              <w:jc w:val="right"/>
              <w:rPr>
                <w:rFonts w:ascii="方正书宋_GBK" w:eastAsia="方正书宋_GBK"/>
                <w:b/>
              </w:rPr>
            </w:pPr>
          </w:p>
        </w:tc>
        <w:tc>
          <w:tcPr>
            <w:tcW w:w="846" w:type="dxa"/>
            <w:vAlign w:val="center"/>
          </w:tcPr>
          <w:p>
            <w:pPr>
              <w:spacing w:line="300" w:lineRule="exact"/>
              <w:jc w:val="right"/>
              <w:rPr>
                <w:rFonts w:ascii="方正书宋_GBK" w:eastAsia="方正书宋_GBK"/>
                <w:b/>
              </w:rPr>
            </w:pPr>
          </w:p>
        </w:tc>
        <w:tc>
          <w:tcPr>
            <w:tcW w:w="904" w:type="dxa"/>
            <w:vAlign w:val="center"/>
          </w:tcPr>
          <w:p>
            <w:pPr>
              <w:spacing w:line="300" w:lineRule="exact"/>
              <w:jc w:val="right"/>
              <w:rPr>
                <w:rFonts w:hint="default" w:ascii="方正书宋_GBK" w:eastAsia="方正书宋_GBK"/>
                <w:b/>
                <w:lang w:val="en-US" w:eastAsia="zh-CN"/>
              </w:rPr>
            </w:pPr>
          </w:p>
        </w:tc>
        <w:tc>
          <w:tcPr>
            <w:tcW w:w="904" w:type="dxa"/>
            <w:vAlign w:val="center"/>
          </w:tcPr>
          <w:p>
            <w:pPr>
              <w:spacing w:line="300" w:lineRule="exact"/>
              <w:jc w:val="right"/>
              <w:rPr>
                <w:rFonts w:hint="default" w:ascii="方正书宋_GBK" w:eastAsia="方正书宋_GBK"/>
                <w:b/>
                <w:lang w:val="en-US" w:eastAsia="zh-CN"/>
              </w:rPr>
            </w:pPr>
          </w:p>
        </w:tc>
        <w:tc>
          <w:tcPr>
            <w:tcW w:w="905" w:type="dxa"/>
            <w:vAlign w:val="center"/>
          </w:tcPr>
          <w:p>
            <w:pPr>
              <w:spacing w:line="300" w:lineRule="exact"/>
              <w:jc w:val="right"/>
              <w:rPr>
                <w:rFonts w:ascii="方正书宋_GBK" w:eastAsia="方正书宋_GBK"/>
                <w:b/>
              </w:rPr>
            </w:pPr>
          </w:p>
        </w:tc>
        <w:tc>
          <w:tcPr>
            <w:tcW w:w="905" w:type="dxa"/>
            <w:vAlign w:val="center"/>
          </w:tcPr>
          <w:p>
            <w:pPr>
              <w:spacing w:line="300" w:lineRule="exact"/>
              <w:jc w:val="right"/>
              <w:rPr>
                <w:rFonts w:ascii="方正书宋_GBK" w:eastAsia="方正书宋_GBK"/>
                <w:b/>
              </w:rPr>
            </w:pPr>
          </w:p>
        </w:tc>
        <w:tc>
          <w:tcPr>
            <w:tcW w:w="907" w:type="dxa"/>
            <w:vAlign w:val="center"/>
          </w:tcPr>
          <w:p>
            <w:pPr>
              <w:spacing w:line="300" w:lineRule="exact"/>
              <w:jc w:val="right"/>
              <w:rPr>
                <w:rFonts w:ascii="方正书宋_GBK" w:eastAsia="方正书宋_GBK"/>
                <w:b/>
              </w:rPr>
            </w:pPr>
          </w:p>
        </w:tc>
        <w:tc>
          <w:tcPr>
            <w:tcW w:w="907" w:type="dxa"/>
            <w:vAlign w:val="center"/>
          </w:tcPr>
          <w:p>
            <w:pPr>
              <w:spacing w:line="300" w:lineRule="exact"/>
              <w:jc w:val="right"/>
              <w:rPr>
                <w:rFonts w:ascii="方正书宋_GBK" w:eastAsia="方正书宋_GBK"/>
                <w:b/>
              </w:rPr>
            </w:pPr>
          </w:p>
        </w:tc>
        <w:tc>
          <w:tcPr>
            <w:tcW w:w="866"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2306" w:type="dxa"/>
            <w:vAlign w:val="center"/>
          </w:tcPr>
          <w:p>
            <w:pPr>
              <w:spacing w:line="300" w:lineRule="exact"/>
              <w:jc w:val="center"/>
              <w:rPr>
                <w:rFonts w:ascii="方正书宋_GBK" w:eastAsia="方正书宋_GBK"/>
                <w:b/>
              </w:rPr>
            </w:pPr>
          </w:p>
        </w:tc>
        <w:tc>
          <w:tcPr>
            <w:tcW w:w="1033" w:type="dxa"/>
            <w:vAlign w:val="center"/>
          </w:tcPr>
          <w:p>
            <w:pPr>
              <w:spacing w:line="300" w:lineRule="exact"/>
              <w:jc w:val="right"/>
              <w:rPr>
                <w:rFonts w:ascii="方正书宋_GBK" w:eastAsia="方正书宋_GBK"/>
                <w:b/>
              </w:rPr>
            </w:pPr>
          </w:p>
        </w:tc>
        <w:tc>
          <w:tcPr>
            <w:tcW w:w="915" w:type="dxa"/>
            <w:vAlign w:val="center"/>
          </w:tcPr>
          <w:p>
            <w:pPr>
              <w:spacing w:line="300" w:lineRule="exact"/>
              <w:jc w:val="left"/>
              <w:rPr>
                <w:rFonts w:ascii="方正书宋_GBK" w:eastAsia="方正书宋_GBK"/>
                <w:b/>
              </w:rPr>
            </w:pPr>
          </w:p>
        </w:tc>
        <w:tc>
          <w:tcPr>
            <w:tcW w:w="926" w:type="dxa"/>
            <w:vAlign w:val="center"/>
          </w:tcPr>
          <w:p>
            <w:pPr>
              <w:spacing w:line="300" w:lineRule="exact"/>
              <w:jc w:val="left"/>
              <w:rPr>
                <w:rFonts w:ascii="方正书宋_GBK" w:eastAsia="方正书宋_GBK"/>
                <w:b/>
              </w:rPr>
            </w:pPr>
          </w:p>
        </w:tc>
        <w:tc>
          <w:tcPr>
            <w:tcW w:w="714" w:type="dxa"/>
            <w:vAlign w:val="center"/>
          </w:tcPr>
          <w:p>
            <w:pPr>
              <w:spacing w:line="300" w:lineRule="exact"/>
              <w:jc w:val="left"/>
              <w:rPr>
                <w:rFonts w:ascii="方正书宋_GBK" w:eastAsia="方正书宋_GBK"/>
                <w:b/>
              </w:rPr>
            </w:pPr>
          </w:p>
        </w:tc>
        <w:tc>
          <w:tcPr>
            <w:tcW w:w="714" w:type="dxa"/>
            <w:vAlign w:val="center"/>
          </w:tcPr>
          <w:p>
            <w:pPr>
              <w:spacing w:line="300" w:lineRule="exact"/>
              <w:jc w:val="right"/>
              <w:rPr>
                <w:rFonts w:ascii="方正书宋_GBK" w:eastAsia="方正书宋_GBK"/>
                <w:b/>
              </w:rPr>
            </w:pPr>
          </w:p>
        </w:tc>
        <w:tc>
          <w:tcPr>
            <w:tcW w:w="846" w:type="dxa"/>
            <w:vAlign w:val="center"/>
          </w:tcPr>
          <w:p>
            <w:pPr>
              <w:spacing w:line="300" w:lineRule="exact"/>
              <w:jc w:val="right"/>
              <w:rPr>
                <w:rFonts w:ascii="方正书宋_GBK" w:eastAsia="方正书宋_GBK"/>
                <w:b/>
              </w:rPr>
            </w:pPr>
          </w:p>
        </w:tc>
        <w:tc>
          <w:tcPr>
            <w:tcW w:w="904" w:type="dxa"/>
            <w:vAlign w:val="center"/>
          </w:tcPr>
          <w:p>
            <w:pPr>
              <w:spacing w:line="300" w:lineRule="exact"/>
              <w:jc w:val="right"/>
              <w:rPr>
                <w:rFonts w:hint="default" w:ascii="方正书宋_GBK" w:eastAsia="方正书宋_GBK"/>
                <w:b/>
                <w:lang w:val="en-US" w:eastAsia="zh-CN"/>
              </w:rPr>
            </w:pPr>
          </w:p>
        </w:tc>
        <w:tc>
          <w:tcPr>
            <w:tcW w:w="904" w:type="dxa"/>
            <w:vAlign w:val="center"/>
          </w:tcPr>
          <w:p>
            <w:pPr>
              <w:spacing w:line="300" w:lineRule="exact"/>
              <w:jc w:val="right"/>
              <w:rPr>
                <w:rFonts w:ascii="方正书宋_GBK" w:eastAsia="方正书宋_GBK"/>
                <w:b/>
              </w:rPr>
            </w:pPr>
          </w:p>
        </w:tc>
        <w:tc>
          <w:tcPr>
            <w:tcW w:w="905" w:type="dxa"/>
            <w:vAlign w:val="center"/>
          </w:tcPr>
          <w:p>
            <w:pPr>
              <w:spacing w:line="300" w:lineRule="exact"/>
              <w:jc w:val="right"/>
              <w:rPr>
                <w:rFonts w:ascii="方正书宋_GBK" w:eastAsia="方正书宋_GBK"/>
                <w:b/>
              </w:rPr>
            </w:pPr>
          </w:p>
        </w:tc>
        <w:tc>
          <w:tcPr>
            <w:tcW w:w="905" w:type="dxa"/>
            <w:vAlign w:val="center"/>
          </w:tcPr>
          <w:p>
            <w:pPr>
              <w:spacing w:line="300" w:lineRule="exact"/>
              <w:jc w:val="right"/>
              <w:rPr>
                <w:rFonts w:ascii="方正书宋_GBK" w:eastAsia="方正书宋_GBK"/>
                <w:b/>
              </w:rPr>
            </w:pPr>
          </w:p>
        </w:tc>
        <w:tc>
          <w:tcPr>
            <w:tcW w:w="907" w:type="dxa"/>
            <w:vAlign w:val="center"/>
          </w:tcPr>
          <w:p>
            <w:pPr>
              <w:spacing w:line="300" w:lineRule="exact"/>
              <w:jc w:val="right"/>
              <w:rPr>
                <w:rFonts w:ascii="方正书宋_GBK" w:eastAsia="方正书宋_GBK"/>
                <w:b/>
              </w:rPr>
            </w:pPr>
          </w:p>
        </w:tc>
        <w:tc>
          <w:tcPr>
            <w:tcW w:w="907" w:type="dxa"/>
            <w:vAlign w:val="center"/>
          </w:tcPr>
          <w:p>
            <w:pPr>
              <w:spacing w:line="300" w:lineRule="exact"/>
              <w:jc w:val="right"/>
              <w:rPr>
                <w:rFonts w:ascii="方正书宋_GBK" w:eastAsia="方正书宋_GBK"/>
                <w:b/>
              </w:rPr>
            </w:pPr>
          </w:p>
        </w:tc>
        <w:tc>
          <w:tcPr>
            <w:tcW w:w="866" w:type="dxa"/>
            <w:vAlign w:val="center"/>
          </w:tcPr>
          <w:p>
            <w:pPr>
              <w:spacing w:line="300" w:lineRule="exact"/>
              <w:jc w:val="right"/>
              <w:rPr>
                <w:rFonts w:ascii="方正书宋_GBK" w:eastAsia="方正书宋_GBK"/>
                <w:b/>
              </w:rPr>
            </w:pPr>
          </w:p>
        </w:tc>
      </w:tr>
    </w:tbl>
    <w:p>
      <w:pPr>
        <w:numPr>
          <w:ilvl w:val="0"/>
          <w:numId w:val="0"/>
        </w:numPr>
        <w:autoSpaceDE w:val="0"/>
        <w:autoSpaceDN w:val="0"/>
        <w:adjustRightInd w:val="0"/>
        <w:jc w:val="left"/>
        <w:rPr>
          <w:rFonts w:hint="default" w:ascii="黑体" w:hAnsi="黑体" w:eastAsia="黑体" w:cs="仿宋_GB2312"/>
          <w:sz w:val="32"/>
          <w:szCs w:val="32"/>
          <w:lang w:val="en-US" w:eastAsia="zh-CN"/>
        </w:rPr>
      </w:pPr>
      <w:r>
        <w:rPr>
          <w:rFonts w:hint="eastAsia" w:ascii="黑体" w:hAnsi="黑体" w:eastAsia="黑体" w:cs="仿宋_GB2312"/>
          <w:sz w:val="32"/>
          <w:szCs w:val="32"/>
          <w:lang w:val="en-US" w:eastAsia="zh-CN"/>
        </w:rPr>
        <w:t xml:space="preserve">   </w:t>
      </w:r>
      <w:r>
        <w:rPr>
          <w:rFonts w:hint="eastAsia" w:ascii="仿宋" w:hAnsi="仿宋" w:eastAsia="仿宋" w:cs="仿宋"/>
          <w:b w:val="0"/>
          <w:bCs w:val="0"/>
          <w:sz w:val="32"/>
          <w:szCs w:val="32"/>
          <w:lang w:val="en-US" w:eastAsia="zh-CN"/>
        </w:rPr>
        <w:t xml:space="preserve"> 注：我单位无政府采购，空表列示</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七、国有资产信息</w:t>
      </w:r>
    </w:p>
    <w:p>
      <w:pPr>
        <w:ind w:firstLine="640" w:firstLineChars="200"/>
        <w:rPr>
          <w:rFonts w:ascii="仿宋" w:hAnsi="仿宋" w:eastAsia="仿宋" w:cs="仿宋"/>
          <w:sz w:val="32"/>
          <w:szCs w:val="32"/>
        </w:rPr>
      </w:pPr>
      <w:r>
        <w:rPr>
          <w:rFonts w:hint="eastAsia" w:ascii="仿宋" w:hAnsi="仿宋" w:eastAsia="仿宋" w:cs="仿宋"/>
          <w:sz w:val="32"/>
          <w:szCs w:val="32"/>
        </w:rPr>
        <w:t>无极县林业工作站上年末固定资产金额为55万元（详见下表）。本年度拟购置固定资产金额为0万元。</w:t>
      </w:r>
    </w:p>
    <w:tbl>
      <w:tblPr>
        <w:tblStyle w:val="5"/>
        <w:tblW w:w="9133" w:type="dxa"/>
        <w:jc w:val="center"/>
        <w:tblInd w:w="0" w:type="dxa"/>
        <w:tblLayout w:type="fixed"/>
        <w:tblCellMar>
          <w:top w:w="0" w:type="dxa"/>
          <w:left w:w="108" w:type="dxa"/>
          <w:bottom w:w="0" w:type="dxa"/>
          <w:right w:w="108" w:type="dxa"/>
        </w:tblCellMar>
      </w:tblPr>
      <w:tblGrid>
        <w:gridCol w:w="4126"/>
        <w:gridCol w:w="1843"/>
        <w:gridCol w:w="3164"/>
      </w:tblGrid>
      <w:tr>
        <w:tblPrEx>
          <w:tblLayout w:type="fixed"/>
          <w:tblCellMar>
            <w:top w:w="0" w:type="dxa"/>
            <w:left w:w="108" w:type="dxa"/>
            <w:bottom w:w="0" w:type="dxa"/>
            <w:right w:w="108" w:type="dxa"/>
          </w:tblCellMar>
        </w:tblPrEx>
        <w:trPr>
          <w:trHeight w:val="705" w:hRule="atLeast"/>
          <w:jc w:val="center"/>
        </w:trPr>
        <w:tc>
          <w:tcPr>
            <w:tcW w:w="9133"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无极县林业工作站固定资产占用情况表</w:t>
            </w:r>
          </w:p>
        </w:tc>
      </w:tr>
      <w:tr>
        <w:tblPrEx>
          <w:tblLayout w:type="fixed"/>
          <w:tblCellMar>
            <w:top w:w="0" w:type="dxa"/>
            <w:left w:w="108" w:type="dxa"/>
            <w:bottom w:w="0" w:type="dxa"/>
            <w:right w:w="108" w:type="dxa"/>
          </w:tblCellMar>
        </w:tblPrEx>
        <w:trPr>
          <w:trHeight w:val="510" w:hRule="atLeast"/>
          <w:jc w:val="center"/>
        </w:trPr>
        <w:tc>
          <w:tcPr>
            <w:tcW w:w="5969" w:type="dxa"/>
            <w:gridSpan w:val="2"/>
            <w:tcBorders>
              <w:top w:val="nil"/>
              <w:left w:val="nil"/>
              <w:bottom w:val="nil"/>
              <w:right w:val="nil"/>
            </w:tcBorders>
            <w:vAlign w:val="center"/>
          </w:tcPr>
          <w:p>
            <w:pPr>
              <w:widowControl/>
              <w:jc w:val="left"/>
              <w:rPr>
                <w:rFonts w:ascii="宋体" w:hAnsi="宋体" w:cs="宋体"/>
                <w:kern w:val="0"/>
                <w:sz w:val="22"/>
              </w:rPr>
            </w:pPr>
            <w:r>
              <w:rPr>
                <w:rFonts w:hint="eastAsia" w:ascii="宋体" w:hAnsi="宋体" w:cs="宋体"/>
                <w:kern w:val="0"/>
                <w:sz w:val="22"/>
              </w:rPr>
              <w:t>编制部门：无极县林业工作站</w:t>
            </w:r>
          </w:p>
        </w:tc>
        <w:tc>
          <w:tcPr>
            <w:tcW w:w="3164" w:type="dxa"/>
            <w:tcBorders>
              <w:top w:val="nil"/>
              <w:left w:val="nil"/>
              <w:bottom w:val="nil"/>
              <w:right w:val="nil"/>
            </w:tcBorders>
            <w:vAlign w:val="center"/>
          </w:tcPr>
          <w:p>
            <w:pPr>
              <w:widowControl/>
              <w:jc w:val="left"/>
              <w:rPr>
                <w:rFonts w:ascii="宋体" w:hAnsi="宋体" w:cs="宋体"/>
                <w:kern w:val="0"/>
                <w:sz w:val="22"/>
              </w:rPr>
            </w:pPr>
            <w:r>
              <w:rPr>
                <w:rFonts w:hint="eastAsia" w:ascii="宋体" w:hAnsi="宋体" w:cs="宋体"/>
                <w:kern w:val="0"/>
                <w:sz w:val="22"/>
              </w:rPr>
              <w:t xml:space="preserve">截止时间：2018年12月31日  </w:t>
            </w:r>
          </w:p>
        </w:tc>
      </w:tr>
      <w:tr>
        <w:tblPrEx>
          <w:tblLayout w:type="fixed"/>
          <w:tblCellMar>
            <w:top w:w="0" w:type="dxa"/>
            <w:left w:w="108" w:type="dxa"/>
            <w:bottom w:w="0" w:type="dxa"/>
            <w:right w:w="108" w:type="dxa"/>
          </w:tblCellMar>
        </w:tblPrEx>
        <w:trPr>
          <w:trHeight w:val="645" w:hRule="atLeast"/>
          <w:jc w:val="center"/>
        </w:trPr>
        <w:tc>
          <w:tcPr>
            <w:tcW w:w="4126"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   目</w:t>
            </w:r>
          </w:p>
        </w:tc>
        <w:tc>
          <w:tcPr>
            <w:tcW w:w="184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3164"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Layout w:type="fixed"/>
          <w:tblCellMar>
            <w:top w:w="0" w:type="dxa"/>
            <w:left w:w="108" w:type="dxa"/>
            <w:bottom w:w="0" w:type="dxa"/>
            <w:right w:w="108" w:type="dxa"/>
          </w:tblCellMar>
        </w:tblPrEx>
        <w:trPr>
          <w:trHeight w:val="645" w:hRule="atLeast"/>
          <w:jc w:val="center"/>
        </w:trPr>
        <w:tc>
          <w:tcPr>
            <w:tcW w:w="4126" w:type="dxa"/>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资产总额</w:t>
            </w:r>
          </w:p>
        </w:tc>
        <w:tc>
          <w:tcPr>
            <w:tcW w:w="184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w:t>
            </w:r>
          </w:p>
        </w:tc>
        <w:tc>
          <w:tcPr>
            <w:tcW w:w="3164"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55</w:t>
            </w:r>
          </w:p>
        </w:tc>
      </w:tr>
      <w:tr>
        <w:tblPrEx>
          <w:tblLayout w:type="fixed"/>
          <w:tblCellMar>
            <w:top w:w="0" w:type="dxa"/>
            <w:left w:w="108" w:type="dxa"/>
            <w:bottom w:w="0" w:type="dxa"/>
            <w:right w:w="108" w:type="dxa"/>
          </w:tblCellMar>
        </w:tblPrEx>
        <w:trPr>
          <w:trHeight w:val="645" w:hRule="atLeast"/>
          <w:jc w:val="center"/>
        </w:trPr>
        <w:tc>
          <w:tcPr>
            <w:tcW w:w="4126"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1、房屋（平方米）</w:t>
            </w:r>
          </w:p>
        </w:tc>
        <w:tc>
          <w:tcPr>
            <w:tcW w:w="184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p>
        </w:tc>
        <w:tc>
          <w:tcPr>
            <w:tcW w:w="3164"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p>
        </w:tc>
      </w:tr>
      <w:tr>
        <w:tblPrEx>
          <w:tblLayout w:type="fixed"/>
          <w:tblCellMar>
            <w:top w:w="0" w:type="dxa"/>
            <w:left w:w="108" w:type="dxa"/>
            <w:bottom w:w="0" w:type="dxa"/>
            <w:right w:w="108" w:type="dxa"/>
          </w:tblCellMar>
        </w:tblPrEx>
        <w:trPr>
          <w:trHeight w:val="645" w:hRule="atLeast"/>
          <w:jc w:val="center"/>
        </w:trPr>
        <w:tc>
          <w:tcPr>
            <w:tcW w:w="4126"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 xml:space="preserve">  其中：办公用房（平方米）</w:t>
            </w:r>
          </w:p>
        </w:tc>
        <w:tc>
          <w:tcPr>
            <w:tcW w:w="184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p>
        </w:tc>
        <w:tc>
          <w:tcPr>
            <w:tcW w:w="3164"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p>
        </w:tc>
      </w:tr>
      <w:tr>
        <w:tblPrEx>
          <w:tblLayout w:type="fixed"/>
          <w:tblCellMar>
            <w:top w:w="0" w:type="dxa"/>
            <w:left w:w="108" w:type="dxa"/>
            <w:bottom w:w="0" w:type="dxa"/>
            <w:right w:w="108" w:type="dxa"/>
          </w:tblCellMar>
        </w:tblPrEx>
        <w:trPr>
          <w:trHeight w:val="645" w:hRule="atLeast"/>
          <w:jc w:val="center"/>
        </w:trPr>
        <w:tc>
          <w:tcPr>
            <w:tcW w:w="4126"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2、车辆（台、辆）</w:t>
            </w:r>
          </w:p>
        </w:tc>
        <w:tc>
          <w:tcPr>
            <w:tcW w:w="184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2</w:t>
            </w:r>
          </w:p>
        </w:tc>
        <w:tc>
          <w:tcPr>
            <w:tcW w:w="3164"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20</w:t>
            </w:r>
          </w:p>
        </w:tc>
      </w:tr>
      <w:tr>
        <w:tblPrEx>
          <w:tblLayout w:type="fixed"/>
          <w:tblCellMar>
            <w:top w:w="0" w:type="dxa"/>
            <w:left w:w="108" w:type="dxa"/>
            <w:bottom w:w="0" w:type="dxa"/>
            <w:right w:w="108" w:type="dxa"/>
          </w:tblCellMar>
        </w:tblPrEx>
        <w:trPr>
          <w:trHeight w:val="645" w:hRule="atLeast"/>
          <w:jc w:val="center"/>
        </w:trPr>
        <w:tc>
          <w:tcPr>
            <w:tcW w:w="4126"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3、单价在20万元以上设备</w:t>
            </w:r>
          </w:p>
        </w:tc>
        <w:tc>
          <w:tcPr>
            <w:tcW w:w="184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w:t>
            </w:r>
          </w:p>
        </w:tc>
        <w:tc>
          <w:tcPr>
            <w:tcW w:w="3164"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p>
        </w:tc>
      </w:tr>
      <w:tr>
        <w:tblPrEx>
          <w:tblLayout w:type="fixed"/>
          <w:tblCellMar>
            <w:top w:w="0" w:type="dxa"/>
            <w:left w:w="108" w:type="dxa"/>
            <w:bottom w:w="0" w:type="dxa"/>
            <w:right w:w="108" w:type="dxa"/>
          </w:tblCellMar>
        </w:tblPrEx>
        <w:trPr>
          <w:trHeight w:val="645" w:hRule="atLeast"/>
          <w:jc w:val="center"/>
        </w:trPr>
        <w:tc>
          <w:tcPr>
            <w:tcW w:w="4126"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4、其他固定资产</w:t>
            </w:r>
          </w:p>
        </w:tc>
        <w:tc>
          <w:tcPr>
            <w:tcW w:w="184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w:t>
            </w:r>
          </w:p>
        </w:tc>
        <w:tc>
          <w:tcPr>
            <w:tcW w:w="3164"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35</w:t>
            </w:r>
          </w:p>
        </w:tc>
      </w:tr>
    </w:tbl>
    <w:p/>
    <w:p>
      <w:pPr>
        <w:ind w:firstLine="688" w:firstLineChars="215"/>
        <w:rPr>
          <w:rFonts w:ascii="仿宋" w:hAnsi="仿宋" w:eastAsia="仿宋" w:cs="仿宋"/>
          <w:sz w:val="32"/>
          <w:szCs w:val="32"/>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八、名词解释</w:t>
      </w:r>
    </w:p>
    <w:p>
      <w:pPr>
        <w:ind w:firstLine="720"/>
        <w:rPr>
          <w:rFonts w:ascii="楷体" w:hAnsi="楷体" w:eastAsia="楷体"/>
          <w:sz w:val="32"/>
          <w:szCs w:val="32"/>
        </w:rPr>
      </w:pPr>
      <w:r>
        <w:rPr>
          <w:rFonts w:hint="eastAsia" w:ascii="楷体" w:hAnsi="楷体" w:eastAsia="楷体"/>
          <w:sz w:val="32"/>
          <w:szCs w:val="32"/>
        </w:rPr>
        <w:t>（一）财政拨款收入</w:t>
      </w:r>
    </w:p>
    <w:p>
      <w:pPr>
        <w:ind w:firstLine="720"/>
        <w:rPr>
          <w:rFonts w:ascii="仿宋" w:hAnsi="仿宋" w:eastAsia="仿宋"/>
          <w:sz w:val="32"/>
          <w:szCs w:val="32"/>
        </w:rPr>
      </w:pPr>
      <w:r>
        <w:rPr>
          <w:rFonts w:hint="eastAsia" w:ascii="仿宋" w:hAnsi="仿宋" w:eastAsia="仿宋"/>
          <w:sz w:val="32"/>
          <w:szCs w:val="32"/>
        </w:rPr>
        <w:t>财政拨款收入是指财政部门按照批复的预算核拨给单位的财政预算资金。</w:t>
      </w:r>
    </w:p>
    <w:p>
      <w:pPr>
        <w:ind w:firstLine="720"/>
        <w:rPr>
          <w:rFonts w:ascii="楷体" w:hAnsi="楷体" w:eastAsia="楷体"/>
          <w:sz w:val="32"/>
          <w:szCs w:val="32"/>
        </w:rPr>
      </w:pPr>
      <w:r>
        <w:rPr>
          <w:rFonts w:hint="eastAsia" w:ascii="楷体" w:hAnsi="楷体" w:eastAsia="楷体"/>
          <w:sz w:val="32"/>
          <w:szCs w:val="32"/>
        </w:rPr>
        <w:t>（二）基本支出、项目支出</w:t>
      </w:r>
    </w:p>
    <w:p>
      <w:pPr>
        <w:ind w:firstLine="720"/>
        <w:rPr>
          <w:rFonts w:ascii="仿宋" w:hAnsi="仿宋" w:eastAsia="仿宋"/>
          <w:sz w:val="32"/>
          <w:szCs w:val="32"/>
        </w:rPr>
      </w:pPr>
      <w:r>
        <w:rPr>
          <w:rFonts w:hint="eastAsia" w:ascii="仿宋" w:hAnsi="仿宋" w:eastAsia="仿宋"/>
          <w:sz w:val="32"/>
          <w:szCs w:val="32"/>
        </w:rPr>
        <w:t>1.基本支出是指预算单位为保障机构正常运转和完成日常工作而发生的各项支出，包括人员经费和日常公用经费。</w:t>
      </w:r>
    </w:p>
    <w:p>
      <w:pPr>
        <w:ind w:firstLine="720"/>
        <w:rPr>
          <w:rFonts w:ascii="仿宋" w:hAnsi="仿宋" w:eastAsia="仿宋"/>
          <w:sz w:val="32"/>
          <w:szCs w:val="32"/>
        </w:rPr>
      </w:pPr>
      <w:r>
        <w:rPr>
          <w:rFonts w:hint="eastAsia" w:ascii="仿宋" w:hAnsi="仿宋" w:eastAsia="仿宋"/>
          <w:sz w:val="32"/>
          <w:szCs w:val="32"/>
        </w:rPr>
        <w:t>2.项目支出是指在基本支出之外完成特定行政任务和事业发展目标所发生的支出。</w:t>
      </w:r>
    </w:p>
    <w:p>
      <w:pPr>
        <w:ind w:firstLine="720"/>
        <w:rPr>
          <w:rFonts w:ascii="楷体" w:hAnsi="楷体" w:eastAsia="楷体"/>
          <w:sz w:val="32"/>
          <w:szCs w:val="32"/>
        </w:rPr>
      </w:pPr>
      <w:r>
        <w:rPr>
          <w:rFonts w:hint="eastAsia" w:ascii="楷体" w:hAnsi="楷体" w:eastAsia="楷体"/>
          <w:sz w:val="32"/>
          <w:szCs w:val="32"/>
        </w:rPr>
        <w:t>（三）一般公共服务支出</w:t>
      </w:r>
    </w:p>
    <w:p>
      <w:pPr>
        <w:ind w:firstLine="720"/>
        <w:rPr>
          <w:rFonts w:ascii="仿宋" w:hAnsi="仿宋" w:eastAsia="仿宋"/>
          <w:sz w:val="32"/>
          <w:szCs w:val="32"/>
        </w:rPr>
      </w:pPr>
      <w:r>
        <w:rPr>
          <w:rFonts w:hint="eastAsia" w:ascii="仿宋" w:hAnsi="仿宋" w:eastAsia="仿宋"/>
          <w:sz w:val="32"/>
          <w:szCs w:val="32"/>
        </w:rPr>
        <w:t>一般公共服务支出是指反映预算单位一般公共服务的支出。</w:t>
      </w:r>
    </w:p>
    <w:p>
      <w:pPr>
        <w:ind w:firstLine="720"/>
        <w:rPr>
          <w:rFonts w:ascii="楷体" w:hAnsi="楷体" w:eastAsia="楷体"/>
          <w:sz w:val="32"/>
          <w:szCs w:val="32"/>
        </w:rPr>
      </w:pPr>
      <w:r>
        <w:rPr>
          <w:rFonts w:hint="eastAsia" w:ascii="楷体" w:hAnsi="楷体" w:eastAsia="楷体"/>
          <w:sz w:val="32"/>
          <w:szCs w:val="32"/>
        </w:rPr>
        <w:t>（四）文化体育与传媒支出</w:t>
      </w:r>
    </w:p>
    <w:p>
      <w:pPr>
        <w:ind w:firstLine="720"/>
        <w:rPr>
          <w:rFonts w:ascii="仿宋" w:hAnsi="仿宋" w:eastAsia="仿宋"/>
          <w:sz w:val="32"/>
          <w:szCs w:val="32"/>
        </w:rPr>
      </w:pPr>
      <w:r>
        <w:rPr>
          <w:rFonts w:hint="eastAsia" w:ascii="仿宋" w:hAnsi="仿宋" w:eastAsia="仿宋"/>
          <w:sz w:val="32"/>
          <w:szCs w:val="32"/>
        </w:rPr>
        <w:t>文化体育与传媒支出是指反映预算单位在文化、文物、体育、广播影视、新闻出版等方面的支出。</w:t>
      </w:r>
    </w:p>
    <w:p>
      <w:pPr>
        <w:ind w:firstLine="720"/>
        <w:rPr>
          <w:rFonts w:ascii="楷体" w:hAnsi="楷体" w:eastAsia="楷体"/>
          <w:sz w:val="32"/>
          <w:szCs w:val="32"/>
        </w:rPr>
      </w:pPr>
      <w:r>
        <w:rPr>
          <w:rFonts w:hint="eastAsia" w:ascii="楷体" w:hAnsi="楷体" w:eastAsia="楷体"/>
          <w:sz w:val="32"/>
          <w:szCs w:val="32"/>
        </w:rPr>
        <w:t>（五）社会保障和就业支出</w:t>
      </w:r>
    </w:p>
    <w:p>
      <w:pPr>
        <w:ind w:firstLine="720"/>
        <w:rPr>
          <w:rFonts w:ascii="仿宋" w:hAnsi="仿宋" w:eastAsia="仿宋"/>
          <w:sz w:val="32"/>
          <w:szCs w:val="32"/>
        </w:rPr>
      </w:pPr>
      <w:r>
        <w:rPr>
          <w:rFonts w:hint="eastAsia" w:ascii="仿宋" w:hAnsi="仿宋" w:eastAsia="仿宋"/>
          <w:sz w:val="32"/>
          <w:szCs w:val="32"/>
        </w:rPr>
        <w:t>社会保障和就业支出是指预算单位在社会保障和就业方面的支出。</w:t>
      </w:r>
    </w:p>
    <w:p>
      <w:pPr>
        <w:ind w:firstLine="720"/>
        <w:rPr>
          <w:rFonts w:ascii="楷体" w:hAnsi="楷体" w:eastAsia="楷体"/>
          <w:sz w:val="32"/>
          <w:szCs w:val="32"/>
        </w:rPr>
      </w:pPr>
      <w:r>
        <w:rPr>
          <w:rFonts w:hint="eastAsia" w:ascii="楷体" w:hAnsi="楷体" w:eastAsia="楷体"/>
          <w:sz w:val="32"/>
          <w:szCs w:val="32"/>
        </w:rPr>
        <w:t>（六）机关运行经费</w:t>
      </w:r>
    </w:p>
    <w:p>
      <w:pPr>
        <w:ind w:firstLine="720"/>
        <w:rPr>
          <w:rFonts w:ascii="仿宋" w:hAnsi="仿宋" w:eastAsia="仿宋"/>
          <w:sz w:val="32"/>
          <w:szCs w:val="32"/>
        </w:rPr>
      </w:pPr>
      <w:r>
        <w:rPr>
          <w:rFonts w:hint="eastAsia" w:ascii="仿宋" w:hAnsi="仿宋" w:eastAsia="仿宋"/>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ind w:firstLine="720"/>
        <w:rPr>
          <w:rFonts w:ascii="楷体" w:hAnsi="楷体" w:eastAsia="楷体"/>
          <w:sz w:val="32"/>
          <w:szCs w:val="32"/>
        </w:rPr>
      </w:pPr>
      <w:r>
        <w:rPr>
          <w:rFonts w:hint="eastAsia" w:ascii="楷体" w:hAnsi="楷体" w:eastAsia="楷体"/>
          <w:sz w:val="32"/>
          <w:szCs w:val="32"/>
        </w:rPr>
        <w:t>（七）“三公”经费</w:t>
      </w:r>
    </w:p>
    <w:p>
      <w:pPr>
        <w:ind w:firstLine="720"/>
        <w:rPr>
          <w:rFonts w:ascii="仿宋" w:hAnsi="仿宋" w:eastAsia="仿宋"/>
          <w:sz w:val="32"/>
          <w:szCs w:val="32"/>
        </w:rPr>
      </w:pPr>
      <w:r>
        <w:rPr>
          <w:rFonts w:hint="eastAsia" w:ascii="仿宋" w:hAnsi="仿宋" w:eastAsia="仿宋"/>
          <w:sz w:val="32"/>
          <w:szCs w:val="32"/>
        </w:rPr>
        <w:t>1.“三公”经费是指因公出国（境）费、公务用车购置及运行维护费和公务接待费。</w:t>
      </w:r>
    </w:p>
    <w:p>
      <w:pPr>
        <w:ind w:firstLine="720"/>
        <w:rPr>
          <w:rFonts w:ascii="仿宋" w:hAnsi="仿宋" w:eastAsia="仿宋"/>
          <w:sz w:val="32"/>
          <w:szCs w:val="32"/>
        </w:rPr>
      </w:pPr>
      <w:r>
        <w:rPr>
          <w:rFonts w:hint="eastAsia" w:ascii="仿宋" w:hAnsi="仿宋" w:eastAsia="仿宋"/>
          <w:sz w:val="32"/>
          <w:szCs w:val="32"/>
        </w:rPr>
        <w:t>2.因公出国（境）费是指单位公务出国（境）的国际旅费、国外城市间交通费、住宿费、伙食费、培训费、公杂费等支出。</w:t>
      </w:r>
    </w:p>
    <w:p>
      <w:pPr>
        <w:ind w:firstLine="720"/>
        <w:rPr>
          <w:rFonts w:ascii="仿宋" w:hAnsi="仿宋" w:eastAsia="仿宋"/>
          <w:sz w:val="32"/>
          <w:szCs w:val="32"/>
        </w:rPr>
      </w:pPr>
      <w:r>
        <w:rPr>
          <w:rFonts w:hint="eastAsia" w:ascii="仿宋" w:hAnsi="仿宋" w:eastAsia="仿宋"/>
          <w:sz w:val="32"/>
          <w:szCs w:val="32"/>
        </w:rPr>
        <w:t>3.公务用车购置及运行维护费是指单位购置公务用车及公务用车租用费、燃料费、维修费、路桥费、保险费等支出。</w:t>
      </w:r>
    </w:p>
    <w:p>
      <w:pPr>
        <w:ind w:firstLine="640" w:firstLineChars="200"/>
        <w:rPr>
          <w:rFonts w:ascii="仿宋" w:hAnsi="仿宋" w:eastAsia="仿宋"/>
          <w:sz w:val="32"/>
          <w:szCs w:val="32"/>
        </w:rPr>
      </w:pPr>
      <w:r>
        <w:rPr>
          <w:rFonts w:hint="eastAsia" w:ascii="仿宋" w:hAnsi="仿宋" w:eastAsia="仿宋"/>
          <w:sz w:val="32"/>
          <w:szCs w:val="32"/>
        </w:rPr>
        <w:t>4.公务接待费是指单位按规定开支的各类公务接待（含外宾接待）费用。</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仿宋_GB2312"/>
          <w:sz w:val="32"/>
          <w:szCs w:val="32"/>
        </w:rPr>
        <w:t>九、其他需要说明的事项</w:t>
      </w:r>
    </w:p>
    <w:p>
      <w:pPr>
        <w:ind w:firstLine="688" w:firstLineChars="215"/>
        <w:rPr>
          <w:rFonts w:hint="eastAsia" w:ascii="仿宋" w:hAnsi="仿宋" w:eastAsia="仿宋"/>
          <w:sz w:val="32"/>
          <w:szCs w:val="32"/>
          <w:lang w:eastAsia="zh-CN"/>
        </w:rPr>
      </w:pPr>
      <w:r>
        <w:rPr>
          <w:rFonts w:hint="eastAsia" w:ascii="仿宋" w:hAnsi="仿宋" w:eastAsia="仿宋"/>
          <w:sz w:val="32"/>
          <w:szCs w:val="32"/>
          <w:lang w:eastAsia="zh-CN"/>
        </w:rPr>
        <w:t>我部门无其他需要说明的事项</w:t>
      </w:r>
      <w:bookmarkStart w:id="2" w:name="_GoBack"/>
      <w:bookmarkEnd w:id="2"/>
    </w:p>
    <w:sectPr>
      <w:headerReference r:id="rId3" w:type="default"/>
      <w:pgSz w:w="16838" w:h="11906" w:orient="landscape"/>
      <w:pgMar w:top="1800" w:right="1440" w:bottom="1800" w:left="1440" w:header="851" w:footer="992" w:gutter="0"/>
      <w:pgBorders>
        <w:top w:val="none" w:sz="0" w:space="0"/>
        <w:left w:val="none" w:sz="0" w:space="0"/>
        <w:bottom w:val="none" w:sz="0" w:space="0"/>
        <w:right w:val="none" w:sz="0" w:space="0"/>
      </w:pgBorders>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3"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方正书宋_GBK">
    <w:altName w:val="宋体"/>
    <w:panose1 w:val="00000000000000000000"/>
    <w:charset w:val="86"/>
    <w:family w:val="script"/>
    <w:pitch w:val="default"/>
    <w:sig w:usb0="00000000" w:usb1="00000000" w:usb2="00000010" w:usb3="00000000" w:csb0="00040000" w:csb1="00000000"/>
  </w:font>
  <w:font w:name="方正小标宋_GBK">
    <w:altName w:val="宋体"/>
    <w:panose1 w:val="00000000000000000000"/>
    <w:charset w:val="86"/>
    <w:family w:val="script"/>
    <w:pitch w:val="default"/>
    <w:sig w:usb0="00000000" w:usb1="00000000" w:usb2="00000010" w:usb3="00000000" w:csb0="00040000" w:csb1="00000000"/>
  </w:font>
  <w:font w:name="仿宋_GB2312">
    <w:altName w:val="仿宋"/>
    <w:panose1 w:val="00000000000000000000"/>
    <w:charset w:val="00"/>
    <w:family w:val="auto"/>
    <w:pitch w:val="default"/>
    <w:sig w:usb0="00000000" w:usb1="00000000" w:usb2="00000000" w:usb3="00000000" w:csb0="00000000"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38EF47F"/>
    <w:multiLevelType w:val="singleLevel"/>
    <w:tmpl w:val="338EF47F"/>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76F4"/>
    <w:rsid w:val="00001D9A"/>
    <w:rsid w:val="000A144E"/>
    <w:rsid w:val="000A34D7"/>
    <w:rsid w:val="000A3A5F"/>
    <w:rsid w:val="000B3C55"/>
    <w:rsid w:val="000B46AA"/>
    <w:rsid w:val="000F23A9"/>
    <w:rsid w:val="0012188D"/>
    <w:rsid w:val="001A19FF"/>
    <w:rsid w:val="001A65D7"/>
    <w:rsid w:val="001F0F44"/>
    <w:rsid w:val="00235D6E"/>
    <w:rsid w:val="0026321C"/>
    <w:rsid w:val="002739B7"/>
    <w:rsid w:val="002B1527"/>
    <w:rsid w:val="002B39EE"/>
    <w:rsid w:val="003129FE"/>
    <w:rsid w:val="00313EE7"/>
    <w:rsid w:val="00315BA1"/>
    <w:rsid w:val="00345A4D"/>
    <w:rsid w:val="003576F4"/>
    <w:rsid w:val="00515A69"/>
    <w:rsid w:val="00516B51"/>
    <w:rsid w:val="00526355"/>
    <w:rsid w:val="00554ED1"/>
    <w:rsid w:val="005A0C11"/>
    <w:rsid w:val="005F74DB"/>
    <w:rsid w:val="006111FA"/>
    <w:rsid w:val="0062424B"/>
    <w:rsid w:val="0063034A"/>
    <w:rsid w:val="00691A3A"/>
    <w:rsid w:val="00750A64"/>
    <w:rsid w:val="00775792"/>
    <w:rsid w:val="00790F1C"/>
    <w:rsid w:val="007D622B"/>
    <w:rsid w:val="007F3889"/>
    <w:rsid w:val="00805991"/>
    <w:rsid w:val="00897C4F"/>
    <w:rsid w:val="008D740D"/>
    <w:rsid w:val="00982180"/>
    <w:rsid w:val="009C15CE"/>
    <w:rsid w:val="00A14552"/>
    <w:rsid w:val="00A23A45"/>
    <w:rsid w:val="00A66E3D"/>
    <w:rsid w:val="00B52FEC"/>
    <w:rsid w:val="00C26AB0"/>
    <w:rsid w:val="00C40B10"/>
    <w:rsid w:val="00C42BCB"/>
    <w:rsid w:val="00C50D1A"/>
    <w:rsid w:val="00C77E58"/>
    <w:rsid w:val="00C8275B"/>
    <w:rsid w:val="00D20432"/>
    <w:rsid w:val="00D73C38"/>
    <w:rsid w:val="00D77FCE"/>
    <w:rsid w:val="00DC2CBE"/>
    <w:rsid w:val="00EB6A06"/>
    <w:rsid w:val="00EE5ADC"/>
    <w:rsid w:val="00F4237E"/>
    <w:rsid w:val="00F52DAE"/>
    <w:rsid w:val="00F60CD2"/>
    <w:rsid w:val="092D1311"/>
    <w:rsid w:val="0A6D1C9E"/>
    <w:rsid w:val="1A0E7841"/>
    <w:rsid w:val="1DAA7C7E"/>
    <w:rsid w:val="1E396DF2"/>
    <w:rsid w:val="2AC766EA"/>
    <w:rsid w:val="54455C02"/>
    <w:rsid w:val="620F428B"/>
    <w:rsid w:val="62F40C6C"/>
    <w:rsid w:val="677B44B4"/>
    <w:rsid w:val="6FCF709A"/>
    <w:rsid w:val="786410F5"/>
  </w:rsids>
  <m:mathPr>
    <m:mathFont m:val="Cambria Math"/>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unhideWhenUsed/>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paragraph" w:customStyle="1" w:styleId="6">
    <w:name w:val="列出段落1"/>
    <w:basedOn w:val="1"/>
    <w:qFormat/>
    <w:uiPriority w:val="34"/>
    <w:pPr>
      <w:ind w:firstLine="420" w:firstLineChars="200"/>
    </w:pPr>
  </w:style>
  <w:style w:type="character" w:customStyle="1" w:styleId="7">
    <w:name w:val="页眉 Char"/>
    <w:basedOn w:val="4"/>
    <w:link w:val="3"/>
    <w:qFormat/>
    <w:uiPriority w:val="99"/>
    <w:rPr>
      <w:rFonts w:ascii="Times New Roman" w:hAnsi="Times New Roman" w:eastAsia="宋体" w:cs="Times New Roman"/>
      <w:sz w:val="18"/>
      <w:szCs w:val="18"/>
    </w:rPr>
  </w:style>
  <w:style w:type="character" w:customStyle="1" w:styleId="8">
    <w:name w:val="页脚 Char"/>
    <w:basedOn w:val="4"/>
    <w:link w:val="2"/>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11</Pages>
  <Words>623</Words>
  <Characters>3553</Characters>
  <Lines>29</Lines>
  <Paragraphs>8</Paragraphs>
  <ScaleCrop>false</ScaleCrop>
  <LinksUpToDate>false</LinksUpToDate>
  <CharactersWithSpaces>4168</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2017-08-21T09:42:00Z</dcterms:created>
  <dc:creator>微软用户</dc:creator>
  <cp:lastModifiedBy>Administrator</cp:lastModifiedBy>
  <dcterms:modified xsi:type="dcterms:W3CDTF">2021-05-21T10:16:20Z</dcterms:modified>
  <dc:title>无极县林业工作站</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