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ind w:firstLine="4996" w:firstLineChars="1131"/>
        <w:rPr>
          <w:rFonts w:ascii="宋体" w:hAnsi="宋体" w:cs="宋体"/>
          <w:b/>
          <w:bCs/>
          <w:sz w:val="44"/>
          <w:szCs w:val="44"/>
        </w:rPr>
      </w:pPr>
      <w:r>
        <w:rPr>
          <w:rFonts w:hint="eastAsia" w:ascii="宋体" w:hAnsi="宋体" w:cs="宋体"/>
          <w:b/>
          <w:bCs/>
          <w:sz w:val="44"/>
          <w:szCs w:val="44"/>
        </w:rPr>
        <w:t>无极县国土资源局</w:t>
      </w:r>
    </w:p>
    <w:p>
      <w:pPr>
        <w:jc w:val="center"/>
        <w:rPr>
          <w:rFonts w:ascii="宋体" w:hAnsi="宋体" w:cs="宋体"/>
          <w:b/>
          <w:bCs/>
          <w:sz w:val="44"/>
          <w:szCs w:val="44"/>
        </w:rPr>
      </w:pPr>
      <w:r>
        <w:rPr>
          <w:rFonts w:hint="eastAsia" w:ascii="宋体" w:hAnsi="宋体" w:cs="宋体"/>
          <w:b/>
          <w:bCs/>
          <w:sz w:val="44"/>
          <w:szCs w:val="44"/>
        </w:rPr>
        <w:t>2019年部门预算信息公开说明目录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按照《预算法》、《地方预决算公开操作规程》和《河北省省级预算公开办法》规定，现将无极县国土资源局2019年部门预算公开如下：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pStyle w:val="11"/>
        <w:numPr>
          <w:ilvl w:val="0"/>
          <w:numId w:val="1"/>
        </w:numPr>
        <w:ind w:firstLineChars="0"/>
        <w:rPr>
          <w:rFonts w:hint="eastAsia" w:ascii="楷体_GB2312" w:hAnsi="楷体" w:eastAsia="楷体_GB2312" w:cs="仿宋_GB2312"/>
          <w:sz w:val="32"/>
          <w:szCs w:val="32"/>
        </w:rPr>
      </w:pPr>
      <w:r>
        <w:rPr>
          <w:rFonts w:hint="eastAsia" w:ascii="楷体_GB2312" w:hAnsi="楷体" w:eastAsia="楷体_GB2312" w:cs="仿宋_GB2312"/>
          <w:sz w:val="32"/>
          <w:szCs w:val="32"/>
        </w:rPr>
        <w:t>部门职责</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执行党和国家有关国土资源管理的法律、法规、规章和政策；组织编制和实施全县土地利用总体规划、土地资产资源保护与合理利用规划；实施建设项目的用地预审；参与建设项目可行性研究报告的审核。</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监督检查全县国土资源行政执法和土地、矿产资源规划执行情况；负责对建设项目用地的监督检查和批后管理，承办并组织调处权属纠纷，依法查处各类违法用地和违法探、采矿案件。负责土地、矿产行政案件的应诉和信访工作。</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组织实施基本农田保护，确保耕地占补平衡。</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全县城乡地籍、地政统一管理工作。</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承办各类建设用地的审查、报批工作和农用地转征用审核和报批工作。</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依法管理采矿权，指导和监督全县矿业权市场的有序执行。</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承担全县矿产资源储量管理工作，负责组织矿产资源储量评审、认定、登记、统计和核销管理。</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负责国有土地使用权划拨、出让、租赁、作价出资、收回等工作；负责具体建设项目供地方案的制定、审查报批和组织实施工作；负责对本县土地资产进行管理，会同有关部门做好改制企业中土地资产处置工作；指导土地收购储备工作；负责土地置换工作；管理土地有形市场，对土地市场进行调研，加强对土地市场的监督管理；发布建设用地供应信息及地价信息；组织、指导基准地价、标定地价修订和评测；规范管理土地评估市场；负责本县农村宅基地管理，会同有关部门监督管理农村集体建设用地使用权流转。</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制定本行政区地理信息发展规划及行业管理政策，指导产业发展；组织管理基础测绘、地籍测绘和其他重大测绘项目，管理地方测绘基准；管理和维护地理信息基础设施和测量标志；承担规范地理信息市场秩序的责任；负责资质、标准、成果质量、项目备案以及地理信息获取与应用等方面的监督管理；负责涉密地理信息的监督管理；查处地理信息违法案件；负责地理信息公共服务和应急保障的责任；管理基础测绘成果，组织、指导地理信息社会化服务；负责数字城市基础建设和管理；组织协调地理信息资源开发利用和科技推广工作。</w:t>
      </w:r>
    </w:p>
    <w:p>
      <w:pPr>
        <w:numPr>
          <w:ilvl w:val="0"/>
          <w:numId w:val="2"/>
        </w:num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承办县政府及上级部门交办的其他事项。</w:t>
      </w:r>
    </w:p>
    <w:p>
      <w:pPr>
        <w:ind w:firstLine="645"/>
        <w:rPr>
          <w:rFonts w:hint="eastAsia" w:ascii="楷体_GB2312" w:hAnsi="楷体" w:eastAsia="楷体_GB2312" w:cs="仿宋_GB2312"/>
          <w:sz w:val="32"/>
          <w:szCs w:val="32"/>
        </w:rPr>
      </w:pPr>
      <w:r>
        <w:rPr>
          <w:rFonts w:hint="eastAsia" w:ascii="楷体_GB2312" w:hAnsi="楷体" w:eastAsia="楷体_GB2312"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5"/>
        <w:tblW w:w="13262" w:type="dxa"/>
        <w:tblInd w:w="52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73"/>
        <w:gridCol w:w="3994"/>
        <w:gridCol w:w="1739"/>
        <w:gridCol w:w="3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573" w:type="dxa"/>
            <w:vMerge w:val="restart"/>
            <w:vAlign w:val="center"/>
          </w:tcPr>
          <w:p>
            <w:pPr>
              <w:spacing w:line="300" w:lineRule="exact"/>
              <w:jc w:val="center"/>
              <w:rPr>
                <w:rFonts w:ascii="仿宋_GB2312" w:eastAsia="仿宋_GB2312"/>
                <w:b/>
                <w:sz w:val="28"/>
                <w:szCs w:val="28"/>
              </w:rPr>
            </w:pPr>
            <w:r>
              <w:rPr>
                <w:rFonts w:hint="eastAsia" w:ascii="仿宋_GB2312" w:eastAsia="仿宋_GB2312"/>
                <w:b/>
                <w:sz w:val="28"/>
                <w:szCs w:val="28"/>
              </w:rPr>
              <w:t>单位名称</w:t>
            </w:r>
          </w:p>
        </w:tc>
        <w:tc>
          <w:tcPr>
            <w:tcW w:w="3994" w:type="dxa"/>
            <w:vMerge w:val="restart"/>
            <w:vAlign w:val="center"/>
          </w:tcPr>
          <w:p>
            <w:pPr>
              <w:spacing w:line="300" w:lineRule="exact"/>
              <w:jc w:val="center"/>
              <w:rPr>
                <w:rFonts w:ascii="仿宋_GB2312" w:eastAsia="仿宋_GB2312"/>
                <w:b/>
                <w:sz w:val="24"/>
              </w:rPr>
            </w:pPr>
            <w:r>
              <w:rPr>
                <w:rFonts w:hint="eastAsia" w:ascii="仿宋_GB2312" w:eastAsia="仿宋_GB2312"/>
                <w:b/>
                <w:sz w:val="24"/>
              </w:rPr>
              <w:t>单位性质</w:t>
            </w:r>
          </w:p>
        </w:tc>
        <w:tc>
          <w:tcPr>
            <w:tcW w:w="1739" w:type="dxa"/>
            <w:vMerge w:val="restart"/>
            <w:vAlign w:val="center"/>
          </w:tcPr>
          <w:p>
            <w:pPr>
              <w:spacing w:line="300" w:lineRule="exact"/>
              <w:jc w:val="center"/>
              <w:rPr>
                <w:rFonts w:ascii="仿宋_GB2312" w:eastAsia="仿宋_GB2312"/>
                <w:b/>
                <w:sz w:val="24"/>
              </w:rPr>
            </w:pPr>
            <w:r>
              <w:rPr>
                <w:rFonts w:hint="eastAsia" w:ascii="仿宋_GB2312" w:eastAsia="仿宋_GB2312"/>
                <w:b/>
                <w:sz w:val="24"/>
              </w:rPr>
              <w:t>单位规格</w:t>
            </w:r>
          </w:p>
        </w:tc>
        <w:tc>
          <w:tcPr>
            <w:tcW w:w="3956" w:type="dxa"/>
            <w:vMerge w:val="restart"/>
            <w:vAlign w:val="center"/>
          </w:tcPr>
          <w:p>
            <w:pPr>
              <w:spacing w:line="300" w:lineRule="exact"/>
              <w:jc w:val="center"/>
              <w:rPr>
                <w:rFonts w:ascii="仿宋_GB2312" w:eastAsia="仿宋_GB2312"/>
                <w:b/>
                <w:sz w:val="24"/>
              </w:rPr>
            </w:pPr>
            <w:r>
              <w:rPr>
                <w:rFonts w:hint="eastAsia" w:ascii="仿宋_GB2312" w:eastAsia="仿宋_GB2312"/>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573" w:type="dxa"/>
            <w:vMerge w:val="continue"/>
            <w:vAlign w:val="center"/>
          </w:tcPr>
          <w:p>
            <w:pPr>
              <w:spacing w:line="300" w:lineRule="exact"/>
              <w:jc w:val="left"/>
              <w:outlineLvl w:val="0"/>
              <w:rPr>
                <w:rFonts w:ascii="仿宋_GB2312" w:eastAsia="仿宋_GB2312"/>
                <w:b/>
                <w:sz w:val="28"/>
                <w:szCs w:val="28"/>
              </w:rPr>
            </w:pPr>
          </w:p>
        </w:tc>
        <w:tc>
          <w:tcPr>
            <w:tcW w:w="3994" w:type="dxa"/>
            <w:vMerge w:val="continue"/>
            <w:vAlign w:val="center"/>
          </w:tcPr>
          <w:p>
            <w:pPr>
              <w:spacing w:line="300" w:lineRule="exact"/>
              <w:jc w:val="left"/>
              <w:outlineLvl w:val="0"/>
              <w:rPr>
                <w:rFonts w:ascii="仿宋_GB2312" w:eastAsia="仿宋_GB2312"/>
                <w:b/>
                <w:sz w:val="24"/>
              </w:rPr>
            </w:pPr>
          </w:p>
        </w:tc>
        <w:tc>
          <w:tcPr>
            <w:tcW w:w="1739" w:type="dxa"/>
            <w:vMerge w:val="continue"/>
            <w:vAlign w:val="center"/>
          </w:tcPr>
          <w:p>
            <w:pPr>
              <w:spacing w:line="300" w:lineRule="exact"/>
              <w:jc w:val="left"/>
              <w:outlineLvl w:val="0"/>
              <w:rPr>
                <w:rFonts w:ascii="仿宋_GB2312" w:eastAsia="仿宋_GB2312"/>
                <w:b/>
                <w:sz w:val="24"/>
              </w:rPr>
            </w:pPr>
          </w:p>
        </w:tc>
        <w:tc>
          <w:tcPr>
            <w:tcW w:w="3956" w:type="dxa"/>
            <w:vMerge w:val="continue"/>
            <w:vAlign w:val="center"/>
          </w:tcPr>
          <w:p>
            <w:pPr>
              <w:spacing w:line="300" w:lineRule="exact"/>
              <w:jc w:val="left"/>
              <w:outlineLvl w:val="0"/>
              <w:rPr>
                <w:rFonts w:ascii="仿宋_GB2312" w:eastAsia="仿宋_GB2312"/>
                <w:b/>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3" w:hRule="atLeast"/>
        </w:trPr>
        <w:tc>
          <w:tcPr>
            <w:tcW w:w="3573" w:type="dxa"/>
            <w:vAlign w:val="center"/>
          </w:tcPr>
          <w:p>
            <w:pPr>
              <w:spacing w:line="300" w:lineRule="exact"/>
              <w:jc w:val="left"/>
              <w:rPr>
                <w:rFonts w:ascii="仿宋_GB2312" w:eastAsia="仿宋_GB2312"/>
                <w:b/>
                <w:sz w:val="28"/>
                <w:szCs w:val="28"/>
              </w:rPr>
            </w:pPr>
            <w:r>
              <w:rPr>
                <w:rFonts w:hint="eastAsia" w:ascii="仿宋_GB2312" w:eastAsia="仿宋_GB2312"/>
                <w:sz w:val="28"/>
                <w:szCs w:val="28"/>
              </w:rPr>
              <w:t>无极县国土资源局</w:t>
            </w:r>
          </w:p>
        </w:tc>
        <w:tc>
          <w:tcPr>
            <w:tcW w:w="3994" w:type="dxa"/>
            <w:vAlign w:val="center"/>
          </w:tcPr>
          <w:p>
            <w:pPr>
              <w:spacing w:line="300" w:lineRule="exact"/>
              <w:jc w:val="center"/>
              <w:rPr>
                <w:rFonts w:ascii="仿宋_GB2312" w:eastAsia="仿宋_GB2312"/>
                <w:sz w:val="24"/>
              </w:rPr>
            </w:pPr>
            <w:r>
              <w:rPr>
                <w:rFonts w:hint="eastAsia" w:ascii="仿宋_GB2312" w:eastAsia="仿宋_GB2312"/>
                <w:sz w:val="24"/>
              </w:rPr>
              <w:t>行政</w:t>
            </w:r>
          </w:p>
        </w:tc>
        <w:tc>
          <w:tcPr>
            <w:tcW w:w="1739" w:type="dxa"/>
            <w:vAlign w:val="center"/>
          </w:tcPr>
          <w:p>
            <w:pPr>
              <w:spacing w:line="300" w:lineRule="exact"/>
              <w:jc w:val="center"/>
              <w:rPr>
                <w:rFonts w:ascii="仿宋_GB2312" w:eastAsia="仿宋_GB2312"/>
                <w:sz w:val="24"/>
              </w:rPr>
            </w:pPr>
            <w:r>
              <w:rPr>
                <w:rFonts w:hint="eastAsia" w:ascii="仿宋_GB2312" w:eastAsia="仿宋_GB2312"/>
                <w:sz w:val="24"/>
              </w:rPr>
              <w:t>正科级</w:t>
            </w:r>
          </w:p>
        </w:tc>
        <w:tc>
          <w:tcPr>
            <w:tcW w:w="3956" w:type="dxa"/>
            <w:vAlign w:val="center"/>
          </w:tcPr>
          <w:p>
            <w:pPr>
              <w:spacing w:line="300" w:lineRule="exact"/>
              <w:jc w:val="center"/>
              <w:rPr>
                <w:rFonts w:ascii="仿宋_GB2312" w:eastAsia="仿宋_GB2312"/>
                <w:sz w:val="24"/>
              </w:rPr>
            </w:pPr>
            <w:r>
              <w:rPr>
                <w:rFonts w:hint="eastAsia" w:ascii="仿宋_GB2312" w:eastAsia="仿宋_GB2312"/>
                <w:sz w:val="24"/>
              </w:rPr>
              <w:t>财政拨款</w:t>
            </w: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hint="eastAsia" w:ascii="仿宋_GB2312" w:hAnsi="仿宋_GB2312" w:eastAsia="仿宋_GB2312" w:cs="仿宋_GB2312"/>
          <w:sz w:val="30"/>
          <w:szCs w:val="30"/>
        </w:rPr>
      </w:pPr>
      <w:r>
        <w:rPr>
          <w:rFonts w:hint="eastAsia" w:ascii="仿宋_GB2312" w:hAnsi="仿宋" w:eastAsia="仿宋_GB2312"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_GB2312" w:hAnsi="仿宋_GB2312" w:eastAsia="仿宋_GB2312" w:cs="仿宋_GB2312"/>
          <w:sz w:val="30"/>
          <w:szCs w:val="30"/>
        </w:rPr>
        <w:t>。</w:t>
      </w:r>
    </w:p>
    <w:p>
      <w:pPr>
        <w:ind w:firstLine="600" w:firstLineChars="200"/>
        <w:rPr>
          <w:rFonts w:hint="eastAsia" w:ascii="楷体_GB2312" w:hAnsi="楷体" w:eastAsia="楷体_GB2312" w:cs="仿宋_GB2312"/>
          <w:sz w:val="30"/>
          <w:szCs w:val="30"/>
        </w:rPr>
      </w:pPr>
      <w:r>
        <w:rPr>
          <w:rFonts w:hint="eastAsia" w:ascii="楷体_GB2312" w:hAnsi="楷体" w:eastAsia="楷体_GB2312" w:cs="仿宋_GB2312"/>
          <w:sz w:val="30"/>
          <w:szCs w:val="30"/>
        </w:rPr>
        <w:t>（一）收入说明</w:t>
      </w:r>
    </w:p>
    <w:p>
      <w:pPr>
        <w:ind w:firstLine="640" w:firstLineChars="200"/>
        <w:rPr>
          <w:rFonts w:hint="default" w:ascii="仿宋" w:hAnsi="仿宋" w:eastAsia="仿宋"/>
          <w:sz w:val="32"/>
          <w:szCs w:val="32"/>
        </w:rPr>
      </w:pPr>
      <w:r>
        <w:rPr>
          <w:rFonts w:hint="eastAsia" w:ascii="仿宋_GB2312" w:hAnsi="仿宋_GB2312" w:eastAsia="仿宋_GB2312" w:cs="仿宋_GB2312"/>
          <w:sz w:val="32"/>
          <w:szCs w:val="32"/>
        </w:rPr>
        <w:t>反映本部门当年全部收入，2019年预算收入</w:t>
      </w:r>
      <w:r>
        <w:rPr>
          <w:rFonts w:hint="eastAsia" w:ascii="仿宋_GB2312" w:eastAsia="仿宋_GB2312"/>
          <w:sz w:val="32"/>
          <w:szCs w:val="32"/>
        </w:rPr>
        <w:t>2260.55</w:t>
      </w:r>
      <w:r>
        <w:rPr>
          <w:rFonts w:hint="eastAsia" w:ascii="仿宋_GB2312" w:hAnsi="仿宋_GB2312" w:eastAsia="仿宋_GB2312" w:cs="仿宋_GB2312"/>
          <w:sz w:val="32"/>
          <w:szCs w:val="32"/>
        </w:rPr>
        <w:t>万元，</w:t>
      </w:r>
      <w:r>
        <w:rPr>
          <w:rFonts w:hint="eastAsia" w:ascii="仿宋" w:hAnsi="仿宋" w:eastAsia="仿宋"/>
          <w:sz w:val="32"/>
          <w:szCs w:val="32"/>
        </w:rPr>
        <w:t>其中，一般公共预算收入</w:t>
      </w:r>
      <w:r>
        <w:rPr>
          <w:rFonts w:hint="eastAsia" w:ascii="仿宋" w:hAnsi="仿宋" w:eastAsia="仿宋"/>
          <w:sz w:val="32"/>
          <w:szCs w:val="32"/>
          <w:lang w:val="en-US" w:eastAsia="zh-CN"/>
        </w:rPr>
        <w:t>2260.55</w:t>
      </w:r>
      <w:r>
        <w:rPr>
          <w:rFonts w:hint="eastAsia" w:ascii="仿宋" w:hAnsi="仿宋" w:eastAsia="仿宋"/>
          <w:sz w:val="32"/>
          <w:szCs w:val="32"/>
        </w:rPr>
        <w:t>万元、政府性基金收入0万元、国有资本经营预算收入0万元、财政专户核拨收入0万元，其他来源收入0万元。</w:t>
      </w:r>
    </w:p>
    <w:p>
      <w:pPr>
        <w:ind w:firstLine="645"/>
        <w:rPr>
          <w:rFonts w:hint="eastAsia" w:ascii="楷体_GB2312" w:hAnsi="楷体" w:eastAsia="楷体_GB2312"/>
          <w:sz w:val="32"/>
          <w:szCs w:val="32"/>
        </w:rPr>
      </w:pPr>
      <w:r>
        <w:rPr>
          <w:rFonts w:hint="eastAsia" w:ascii="楷体_GB2312" w:hAnsi="楷体" w:eastAsia="楷体_GB2312"/>
          <w:sz w:val="32"/>
          <w:szCs w:val="32"/>
        </w:rPr>
        <w:t>（二）支出说明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无极县国土资源局年度部门预算中支出预算的总体情况。2019年部门支出预算为2260.55万元，其中基本支出272.15万元，包括人员经费265.91万元和日常公用经费6.24万元；项目支出1988.4万元，全部为本级支出。</w:t>
      </w:r>
    </w:p>
    <w:p>
      <w:pPr>
        <w:ind w:firstLine="645"/>
        <w:rPr>
          <w:rFonts w:hint="eastAsia" w:ascii="楷体_GB2312" w:hAnsi="楷体" w:eastAsia="楷体_GB2312"/>
          <w:sz w:val="32"/>
          <w:szCs w:val="32"/>
        </w:rPr>
      </w:pPr>
      <w:r>
        <w:rPr>
          <w:rFonts w:hint="eastAsia" w:ascii="楷体_GB2312" w:hAnsi="楷体" w:eastAsia="楷体_GB2312"/>
          <w:sz w:val="32"/>
          <w:szCs w:val="32"/>
        </w:rPr>
        <w:t>（三）比上年增减情况</w:t>
      </w:r>
    </w:p>
    <w:p>
      <w:pPr>
        <w:ind w:firstLine="645"/>
        <w:rPr>
          <w:rFonts w:ascii="楷体" w:hAnsi="楷体" w:eastAsia="楷体"/>
          <w:sz w:val="32"/>
          <w:szCs w:val="32"/>
        </w:rPr>
      </w:pPr>
      <w:r>
        <w:rPr>
          <w:rFonts w:hint="eastAsia" w:ascii="仿宋_GB2312" w:hAnsi="仿宋" w:eastAsia="仿宋_GB2312" w:cs="仿宋_GB2312"/>
          <w:sz w:val="30"/>
          <w:szCs w:val="30"/>
        </w:rPr>
        <w:t>2019年部门预算较2018年减少882.57万元，其中：基本支出增加72.43万元，主要是人员经费增加；项目支出减少955万元，主要是国土整治项目减少。</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2019年机关运行经费共计安排6.24万元，主要用于公务交通补贴。</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ascii="黑体" w:hAnsi="黑体" w:eastAsia="黑体" w:cs="仿宋_GB2312"/>
          <w:sz w:val="32"/>
          <w:szCs w:val="32"/>
        </w:rPr>
      </w:pPr>
      <w:r>
        <w:rPr>
          <w:rFonts w:hint="eastAsia" w:ascii="仿宋_GB2312" w:hAnsi="仿宋" w:eastAsia="仿宋_GB2312"/>
          <w:sz w:val="32"/>
          <w:szCs w:val="32"/>
        </w:rPr>
        <w:t>2019年本部门安排“三公”经费</w:t>
      </w:r>
      <w:r>
        <w:rPr>
          <w:rFonts w:hint="eastAsia" w:ascii="仿宋_GB2312" w:hAnsi="仿宋" w:eastAsia="仿宋_GB2312"/>
          <w:color w:val="FF0000"/>
          <w:sz w:val="32"/>
          <w:szCs w:val="32"/>
        </w:rPr>
        <w:t>3</w:t>
      </w:r>
      <w:r>
        <w:rPr>
          <w:rFonts w:hint="eastAsia" w:ascii="仿宋_GB2312" w:hAnsi="仿宋" w:eastAsia="仿宋_GB2312"/>
          <w:sz w:val="32"/>
          <w:szCs w:val="32"/>
        </w:rPr>
        <w:t>万元。</w:t>
      </w:r>
      <w:r>
        <w:rPr>
          <w:rFonts w:hint="eastAsia" w:ascii="仿宋_GB2312" w:hAnsi="黑体" w:eastAsia="仿宋_GB2312" w:cs="仿宋_GB2312"/>
          <w:sz w:val="32"/>
          <w:szCs w:val="32"/>
        </w:rPr>
        <w:t>2019年本部门三公经费与2018年相比持平</w:t>
      </w:r>
      <w:r>
        <w:rPr>
          <w:rFonts w:hint="eastAsia" w:ascii="仿宋_GB2312" w:hAnsi="仿宋" w:eastAsia="仿宋_GB2312"/>
          <w:sz w:val="32"/>
          <w:szCs w:val="32"/>
        </w:rPr>
        <w:t>，无增减变化</w:t>
      </w:r>
      <w:r>
        <w:rPr>
          <w:rFonts w:hint="eastAsia" w:ascii="仿宋_GB2312" w:hAnsi="黑体" w:eastAsia="仿宋_GB2312" w:cs="仿宋_GB2312"/>
          <w:sz w:val="32"/>
          <w:szCs w:val="32"/>
        </w:rPr>
        <w:t>。</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1、因公出国（境）费0万元，与上年持平，无增减变化。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2、公务用车购置0万元，与上年持平，无增减变化；运行维护费</w:t>
      </w:r>
      <w:r>
        <w:rPr>
          <w:rFonts w:hint="eastAsia" w:ascii="仿宋_GB2312" w:hAnsi="仿宋" w:eastAsia="仿宋_GB2312"/>
          <w:color w:val="FF0000"/>
          <w:sz w:val="32"/>
          <w:szCs w:val="32"/>
        </w:rPr>
        <w:t>3</w:t>
      </w:r>
      <w:r>
        <w:rPr>
          <w:rFonts w:hint="eastAsia" w:ascii="仿宋_GB2312" w:hAnsi="仿宋" w:eastAsia="仿宋_GB2312"/>
          <w:sz w:val="32"/>
          <w:szCs w:val="32"/>
        </w:rPr>
        <w:t>万元，与上年持平，无增减变化。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hint="eastAsia" w:ascii="楷体_GB2312" w:hAnsi="楷体" w:eastAsia="楷体_GB2312"/>
          <w:sz w:val="32"/>
          <w:szCs w:val="32"/>
        </w:rPr>
      </w:pPr>
      <w:r>
        <w:rPr>
          <w:rFonts w:hint="eastAsia" w:ascii="楷体_GB2312" w:hAnsi="楷体" w:eastAsia="楷体_GB2312"/>
          <w:sz w:val="32"/>
          <w:szCs w:val="32"/>
        </w:rPr>
        <w:t>（一）总体绩效目标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cs="仿宋_GB2312"/>
          <w:sz w:val="32"/>
          <w:szCs w:val="32"/>
        </w:rPr>
        <w:t>2019</w:t>
      </w:r>
      <w:r>
        <w:rPr>
          <w:rFonts w:hint="eastAsia" w:ascii="仿宋_GB2312" w:hAnsi="仿宋" w:eastAsia="仿宋_GB2312"/>
          <w:sz w:val="32"/>
          <w:szCs w:val="32"/>
        </w:rPr>
        <w:t>年，我们将继续深入贯彻 “两学一做”学习教育成果，进一步解放思想、改革创新，以推动建设更高水平的经济社会为己任，以构建保护资源、保障和促进科学发展的新机制为主线，以守土有责、护土有方、动土有据、用土有益为准则，不折不扣地履行国土资源管理和服务职能，更好地促进无极县经济又好又快发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_GB2312" w:hAnsi="仿宋" w:eastAsia="仿宋_GB2312"/>
          <w:sz w:val="32"/>
          <w:szCs w:val="32"/>
        </w:rPr>
      </w:pPr>
      <w:r>
        <w:rPr>
          <w:rFonts w:hint="eastAsia" w:ascii="仿宋_GB2312" w:hAnsi="仿宋" w:eastAsia="仿宋_GB2312"/>
          <w:sz w:val="32"/>
          <w:szCs w:val="32"/>
        </w:rPr>
        <w:t>1、紧贴中心，加大服务经济发展大局的力度。</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面对土地供需矛盾日益突出的严峻形势，自觉把国土资源工作放到全县经济社会发展大局中去谋划，继续坚持“区别对待、有保有压”的原则，集中指标保重点，一般项目靠挖潜，优先保障市重点工程、重点基础设施用地的合理需要，优先保证产业关联度高、污染小、运行质态好的项目用地。与此同时，着力在挖潜增效，盘活存量闲置土地上下功夫，加大对闲置土地闲置费的收取,缓解项目用地紧缺的局面。</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2、加大耕地和基本农田保护力度。</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认真搞好基本农田示范区的建设，严格执行保护责任制，按照年初制定的目标责任书，加强检查督导严厉禁止非法占用耕地及基本农田的行为。高度重视耕地占补平衡和基本农田补划工作，对依法批准占用基本农田的项目，必须补划相当数量和质量的基本农田，确保全市耕地不减少，质量不降低。</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3、积极创新，加大推进改革发展的力度。</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认真贯彻</w:t>
      </w:r>
      <w:r>
        <w:rPr>
          <w:rFonts w:hint="eastAsia" w:ascii="仿宋_GB2312" w:hAnsi="仿宋" w:eastAsia="仿宋_GB2312"/>
          <w:sz w:val="32"/>
          <w:szCs w:val="32"/>
          <w:lang w:val="en-US" w:eastAsia="zh-CN"/>
        </w:rPr>
        <w:t>党的</w:t>
      </w:r>
      <w:r>
        <w:rPr>
          <w:rFonts w:hint="eastAsia" w:ascii="仿宋_GB2312" w:hAnsi="仿宋" w:eastAsia="仿宋_GB2312"/>
          <w:sz w:val="32"/>
          <w:szCs w:val="32"/>
        </w:rPr>
        <w:t>十九大精神，进一步解放思想，创新思路，加快推进农村改革发展。一是遵循农民自愿的原则，在坚持集体所有权不变、土地用途不变的条件下允许和鼓励农民以多种形式流转土地承包经营权。二是建立和完善城乡一体的土地利用规划管</w:t>
      </w:r>
      <w:bookmarkStart w:id="2" w:name="_GoBack"/>
      <w:bookmarkEnd w:id="2"/>
      <w:r>
        <w:rPr>
          <w:rFonts w:hint="eastAsia" w:ascii="仿宋_GB2312" w:hAnsi="仿宋" w:eastAsia="仿宋_GB2312"/>
          <w:sz w:val="32"/>
          <w:szCs w:val="32"/>
        </w:rPr>
        <w:t>理体系，强化对城乡土地用途的统一管制。特别重视编制和完善县、乡两级土地利用总体规划和村镇规划，加强微观层次的空间规划管理，使各类空间规划在编制、修改、审批、执行等环节更加紧密地衔接起来。三是积极引导企业向园区集中。变分散经营为集中经营。用足用好规模化畜禽养殖用地、现代设施农业用地政策，更好地促进农业增效、农民增收。四是开展农用地整理，改善农业生产的物质基础条件，提高农业综合生产能力。深入推进城镇建设用地增加与农村建设用地减少相挂钩工作，加快探索、创新实施模式，发挥挂钩工作的最大效应，以缓解当前城镇建设用地的矛盾。五是加快征地制度改革步伐，确保被征地农民长远生计。通过征地制度改革，探索建立和完善与市场经济相适应、让被征地农民长远生计有保障的公正补偿安置办法和途径，建立征地补偿安置争议的裁决机制，确保农民利益不受损害。通过采取这些措施，切实解决被征地农民的长远生计问题，促进农村社会的稳定。</w:t>
      </w:r>
    </w:p>
    <w:p>
      <w:pPr>
        <w:ind w:firstLine="645"/>
        <w:rPr>
          <w:rFonts w:hint="eastAsia" w:ascii="楷体_GB2312" w:hAnsi="楷体" w:eastAsia="楷体_GB2312"/>
          <w:sz w:val="32"/>
          <w:szCs w:val="32"/>
        </w:rPr>
      </w:pPr>
      <w:r>
        <w:rPr>
          <w:rFonts w:hint="eastAsia" w:ascii="楷体_GB2312" w:hAnsi="楷体" w:eastAsia="楷体_GB2312"/>
          <w:sz w:val="32"/>
          <w:szCs w:val="32"/>
        </w:rPr>
        <w:t>（二）</w:t>
      </w:r>
      <w:r>
        <w:rPr>
          <w:rFonts w:hint="eastAsia" w:ascii="楷体_GB2312" w:hAnsi="楷体" w:eastAsia="楷体_GB2312"/>
          <w:sz w:val="32"/>
          <w:szCs w:val="32"/>
          <w:lang w:eastAsia="zh-CN"/>
        </w:rPr>
        <w:t>职责</w:t>
      </w:r>
      <w:r>
        <w:rPr>
          <w:rFonts w:hint="eastAsia" w:ascii="楷体_GB2312" w:hAnsi="楷体" w:eastAsia="楷体_GB2312"/>
          <w:sz w:val="32"/>
          <w:szCs w:val="32"/>
        </w:rPr>
        <w:t>分</w:t>
      </w:r>
      <w:r>
        <w:rPr>
          <w:rFonts w:hint="eastAsia" w:ascii="楷体_GB2312" w:hAnsi="楷体" w:eastAsia="楷体_GB2312"/>
          <w:sz w:val="32"/>
          <w:szCs w:val="32"/>
          <w:lang w:eastAsia="zh-CN"/>
        </w:rPr>
        <w:t>类</w:t>
      </w:r>
      <w:r>
        <w:rPr>
          <w:rFonts w:hint="eastAsia" w:ascii="楷体_GB2312" w:hAnsi="楷体" w:eastAsia="楷体_GB2312"/>
          <w:sz w:val="32"/>
          <w:szCs w:val="32"/>
        </w:rPr>
        <w:t>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一是按照政府关于年度发展规划目标管理工作的部署和要求，深化年度发展规划目标管理，切实提高依法行政能力和水平；切实增强服务意识、提升服务能力、改进服务态度、提高服务效率；切实加强机关党的建设，加强党风廉政建设，全面提升干部职工政治思想觉悟，确保各项考核指标排名位居全市前列,确保全局总体年度发展规划目标考评结果全市领先。二是以年度发展规划目标管理考核工作为载体，促进全局系统各科室、所高标准确立目标，高水平开展工作，高效率推动落实，高质量完成任务，进一步提升我局工作效能。</w:t>
      </w:r>
    </w:p>
    <w:p>
      <w:pPr>
        <w:ind w:firstLine="640" w:firstLineChars="200"/>
        <w:jc w:val="left"/>
        <w:rPr>
          <w:rFonts w:hint="eastAsia" w:ascii="楷体_GB2312" w:hAnsi="楷体" w:eastAsia="楷体_GB2312" w:cs="仿宋_GB2312"/>
          <w:sz w:val="32"/>
          <w:szCs w:val="32"/>
        </w:rPr>
      </w:pPr>
      <w:r>
        <w:rPr>
          <w:rFonts w:hint="eastAsia" w:ascii="楷体_GB2312" w:hAnsi="楷体" w:eastAsia="楷体_GB2312" w:cs="仿宋_GB2312"/>
          <w:sz w:val="32"/>
          <w:szCs w:val="32"/>
        </w:rPr>
        <w:t>（三）</w:t>
      </w:r>
      <w:r>
        <w:rPr>
          <w:rFonts w:hint="eastAsia" w:ascii="楷体_GB2312" w:hAnsi="楷体" w:eastAsia="楷体_GB2312" w:cs="仿宋_GB2312"/>
          <w:sz w:val="32"/>
          <w:szCs w:val="32"/>
          <w:lang w:eastAsia="zh-CN"/>
        </w:rPr>
        <w:t>实现年度发展规划目标</w:t>
      </w:r>
      <w:r>
        <w:rPr>
          <w:rFonts w:hint="eastAsia" w:ascii="楷体_GB2312" w:hAnsi="楷体" w:eastAsia="楷体_GB2312" w:cs="仿宋_GB2312"/>
          <w:sz w:val="32"/>
          <w:szCs w:val="32"/>
        </w:rPr>
        <w:t>保障措施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20" w:firstLineChars="225"/>
        <w:rPr>
          <w:rFonts w:ascii="仿宋_GB2312" w:hAnsi="仿宋" w:eastAsia="仿宋_GB2312"/>
          <w:sz w:val="32"/>
          <w:szCs w:val="32"/>
        </w:rPr>
      </w:pPr>
      <w:r>
        <w:rPr>
          <w:rFonts w:hint="eastAsia" w:ascii="仿宋_GB2312" w:hAnsi="仿宋" w:eastAsia="仿宋_GB2312"/>
          <w:sz w:val="32"/>
          <w:szCs w:val="32"/>
        </w:rPr>
        <w:t>1、局目标办牵头负责全局年度发展规划目标迎检工作，制定具体工作方案，按领导小组要求部署各项具体工作，组织、指导、监督各责任科室、所年度发展规划目标具体工作，汇总业务工作实绩、行政能力建设、机关党的建设三部分牵头科室、所上报的文字材料和电子台账材料，起草我局年度发展规划目标管理工作报告，汇总我局年度发展规划目标管理工作电子台账。</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20" w:firstLineChars="225"/>
        <w:rPr>
          <w:rFonts w:ascii="仿宋_GB2312" w:hAnsi="仿宋" w:eastAsia="仿宋_GB2312"/>
          <w:sz w:val="32"/>
          <w:szCs w:val="32"/>
        </w:rPr>
      </w:pPr>
      <w:r>
        <w:rPr>
          <w:rFonts w:hint="eastAsia" w:ascii="仿宋_GB2312" w:hAnsi="仿宋" w:eastAsia="仿宋_GB2312"/>
          <w:sz w:val="32"/>
          <w:szCs w:val="32"/>
        </w:rPr>
        <w:t>2、加强年度发展规划目标管理的过程监控。</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局年度发展规划目标办。局年度发展规划目标办要加强过程管理，建立季度抽查、半年公开通报制度，以加强对年度发展规划目标责任落实的跟踪管理。注重过程评估中发现问题的动态监控和分析诊断，及时与各科室、所沟通反馈，督促纠偏调整、堵塞漏洞，确保年度发展规划目标目标的完成。</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3、精心组织周密实施。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各责任科室、所一把手为第一责任人，一定要亲自抓、全程管，要切实加强年度发展规划目标日常管理工作，按照指标分解落实工作责任，要建立健全工作台账，日常工作要规范有序，为考评工作提供依据。各牵头科室、所要抓好牵头指标任务的督查落实，做好数据收集、情况汇总、信息反馈等工作。局年度发展规划目标办要搞好跟踪督查，及时掌握进展情况，推动全面落实，确保按时高效完成指标任务；同时，要大胆实践、认真总结、积累经验、探索规律、健全规章，形成我局特色的年度发展规划目标考评制度体系。</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20" w:firstLineChars="225"/>
        <w:rPr>
          <w:rFonts w:ascii="仿宋_GB2312" w:hAnsi="仿宋" w:eastAsia="仿宋_GB2312"/>
          <w:sz w:val="32"/>
          <w:szCs w:val="32"/>
        </w:rPr>
      </w:pPr>
      <w:r>
        <w:rPr>
          <w:rFonts w:hint="eastAsia" w:ascii="仿宋_GB2312" w:hAnsi="仿宋" w:eastAsia="仿宋_GB2312"/>
          <w:sz w:val="32"/>
          <w:szCs w:val="32"/>
        </w:rPr>
        <w:t>4、有针对性开展各项工作。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年度发展规划目标管理考核包括三大部分，即指标考核、民主评议和察访核验，要有针对性开展工作。承担指标考核的科室、所要严格依照指标内容开展工作，拾遗补缺，建立台账，注重过程评估，保证不丢分少丢分。不要因某个科室、所和单位工作不到位，影响全局整体形象。针对察访核验，一是要注重过程管理，建立台账，以备不时的检查。二是各科室、所各单位，尤其是窗口单位，要以“党员干部作风整顿”活动为载体，大力提高服务质量，特别是注重服务态度的提升，杜绝因察访核验失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5、提升管理服务水平。</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各责任科室、所要充分利用年度发展规划目标管理考评契机，建立健全业务职能规章制度,增强群众意识、公仆意识、责任意识，加强内部各项工作目标管理和过程管理，尤其是窗口单位要加强日常工作检查，不断提高我局行政效能和服务质量。</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6、强化年度发展规划目标管理工作问责。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_GB2312" w:hAnsi="仿宋" w:eastAsia="仿宋_GB2312"/>
          <w:sz w:val="32"/>
          <w:szCs w:val="32"/>
        </w:rPr>
      </w:pPr>
      <w:r>
        <w:rPr>
          <w:rFonts w:hint="eastAsia" w:ascii="仿宋_GB2312" w:hAnsi="仿宋" w:eastAsia="仿宋_GB2312"/>
          <w:sz w:val="32"/>
          <w:szCs w:val="32"/>
        </w:rPr>
        <w:t>根据市考评组对我局的考评结果，实行局内年度发展规划目标考评问责制。对考评项目丢分较多、影响局整体考评成绩的科室、所给予通报批评。</w:t>
      </w:r>
    </w:p>
    <w:p>
      <w:pPr>
        <w:ind w:firstLine="645"/>
        <w:rPr>
          <w:rFonts w:hint="eastAsia" w:ascii="楷体_GB2312" w:hAnsi="楷体" w:eastAsia="楷体_GB2312"/>
          <w:sz w:val="32"/>
          <w:szCs w:val="32"/>
        </w:rPr>
      </w:pPr>
      <w:r>
        <w:rPr>
          <w:rFonts w:hint="eastAsia" w:ascii="楷体_GB2312" w:hAnsi="楷体" w:eastAsia="楷体_GB2312"/>
          <w:sz w:val="32"/>
          <w:szCs w:val="32"/>
        </w:rPr>
        <w:t>（四）部门职责-工作活动绩效目标</w:t>
      </w:r>
    </w:p>
    <w:p>
      <w:pPr>
        <w:jc w:val="center"/>
        <w:outlineLvl w:val="0"/>
        <w:rPr>
          <w:rFonts w:ascii="方正小标宋_GBK" w:eastAsia="方正小标宋_GBK"/>
          <w:color w:val="FFFFFF"/>
          <w:sz w:val="32"/>
        </w:rPr>
      </w:pPr>
      <w:bookmarkStart w:id="0" w:name="_Toc2346105"/>
      <w:r>
        <w:rPr>
          <w:rFonts w:hint="eastAsia" w:ascii="方正小标宋_GBK" w:eastAsia="方正小标宋_GBK"/>
          <w:sz w:val="32"/>
        </w:rPr>
        <w:t>部门职责-工作活动绩效目标</w:t>
      </w:r>
      <w:r>
        <w:rPr>
          <w:rStyle w:val="7"/>
          <w:rFonts w:ascii="方正小标宋_GBK" w:eastAsia="方正小标宋_GBK"/>
          <w:color w:val="FFFFFF"/>
          <w:sz w:val="32"/>
        </w:rPr>
        <w:t xml:space="preserve"> </w:t>
      </w:r>
      <w:bookmarkEnd w:id="0"/>
    </w:p>
    <w:tbl>
      <w:tblPr>
        <w:tblStyle w:val="5"/>
        <w:tblW w:w="139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2"/>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7" w:type="dxa"/>
            <w:gridSpan w:val="5"/>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footnoteReference w:id="0" w:customMarkFollows="1"/>
              <w:t>3</w:t>
            </w:r>
            <w:r>
              <w:rPr>
                <w:rFonts w:hint="eastAsia" w:ascii="方正小标宋_GBK" w:eastAsia="方正小标宋_GBK"/>
                <w:sz w:val="24"/>
              </w:rPr>
              <w:t>24国土资源局</w:t>
            </w:r>
          </w:p>
        </w:tc>
        <w:tc>
          <w:tcPr>
            <w:tcW w:w="2948" w:type="dxa"/>
            <w:gridSpan w:val="4"/>
            <w:tcBorders>
              <w:top w:val="single" w:color="FFFFFF" w:sz="6" w:space="0"/>
              <w:left w:val="single" w:color="FFFFFF" w:sz="6" w:space="0"/>
              <w:bottom w:val="single" w:color="000000"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417"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一、土地资源管理</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组织实施耕地与基本农田保护工作,组织建设用地审批，做好地籍管理工作和土地利用管理工作。</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实现基本农田面积不减少，各行业合理用地需求得到保障，及时掌握全县城乡土地变更信息，进一步提高土地节约集约利用水平。</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1、耕地与基本农田保护</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开展全县基本农田保护和土地整理、复垦、开发工作，监测耕地质量等边变化，研究耕地保护相关制度。</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实现全县基本农田面积不减少，确保全县耕地占补平衡，掌握全县耕地质量变化情况。</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总量平衡面积实测率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占补平衡数据准确率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总量平衡数据准确率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耕地质量等别更新与检测完成率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土地复垦方案审查通过率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占补平衡面积实测率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2、地籍管理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开展农村集体土地确权登记发证与土地变更调查，组织全县的不动产统一登记工作，调查掌握全县耕地后备资源。</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保持全县土地变更数据的现势性和连续性，为国土资源各类审批业务提供数据和图件支持；实现农村集体土地确权登记发证和不动产登记业务流程的信息化和规范化；掌握全县耕地后备资源的分布情况，为后续资源的利用奠定基础</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地籍管理完成率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土地变更调查完成率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3、土地利用管理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监测全县地价和土地市场动态，管理和监督城乡建设用地供应、政府土地储备、土地开发和节约集约利用，组织实施城乡建设用地增减挂钩。</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对全县地价和土地市场进行动态监测，为县政府宏观调控和稳定土地市场提供决策依据；掌握评价土地利用现状和节约集约程度，为科学管地用地提供依据。</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城乡建设用地增减挂钩工作完成率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评价成果县级汇总与分析更新完成情况</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监测分析工作次数</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4</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3</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2</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利用现状掌握率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二、矿产资源管理与地质环境保护</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负责全县矿产资源开发管理，组织实施矿产资源勘查，推动地质灾害防治地质环境恢复治理和地质遗迹保护工作，开展地下水监测和地热、矿泉水管理。</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实现全县矿产资源开发管理科学合理；加强基础地质工作；管理好重要地质资料；稳步推进矿山地质环境治理攻坚行动；提高地质灾害预警预报能力；掌握地面沉降动态变化数据。</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1、矿产资源开发与保护</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组织实施矿业管理工作，矿产资源保护和保护性开采特定矿种的管理事项。</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为矿产开发管理工作和矿业经济分析提供数据基础；保证矿产资源开发利用方案的科学、合理、有效，把好资源开发利用的源头关；推进矿产资源合理勘查，减低勘查投资风险。</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矿产勘查实施方案评审率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矿产开发利用方案通过率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2、地质勘查</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组织全县矿产资源调查评价，编制地质勘查规划并监督检查执行情况，管理地质勘查项目，组织实施重大地质勘查项目，管理地质勘查行业和地勘单位资质，组织实施全县找矿突破战略行动</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加强我县基础地质和地质找矿工作，服务地质勘查行业，提高我县经济和社会发展资源保障程度，引导社会资本有序投入地质勘查，推进地质勘查项目管理管能力。</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勘查设计工作量完成率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地勘项目管理和监管工作完成率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3、矿产资源储量管理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做好矿产资源储量评审、登记统计等工作，加强建设项目压覆矿产资源查询和地质成果资料管理工作。强化矿山资源储量动态监测及矿业权监督管理，做好矿山督察，推广先进适用技术，推进矿产资源节约与综合利用。</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为矿产资源管理提供储量依据，维护国家矿产资源所有权益，掌控资源储量家底，提供宏观调控依据，为建设项目选址和压覆矿产资源调查提供决策依据，提高矿产资源综合利用能力，保护重要地质资料成果，降低地质工作风险，减少重复工作和资金浪费。</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地质资料管理工作完成率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矿产资源储量管理基础工作完成率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矿产资源勘查和开发利用督察工作完成率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4、地质环境保护</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开展全县地质环境综合调查评价,加强矿山地质环境保护工作，开展矿山地质环境调查评价和监测,建立矿山环境动态数据库；监督管理古生物化石、地质遗迹、矿业遗迹、海洋等重要保护区与保护地。</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掌握全县矿山环境动态变化，为矿山环境保护与管理提供基础数据；推进矿山环境治理攻坚行动有序开展；对重要地质遗迹进行有效保护。</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矿山环境整治完成率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地质遗迹保护率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矿山地质环境动态监测率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矿山环境动态数据库建设工作完成率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5、地质灾害防治</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组织实施地质灾害的防治工作，建立地质灾害调查评价、监测预警、应急和治理避让体系。</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提高地质灾害预警预报水平；做好汛期地质灾害防治工作，确保人民生命财产安全；为做好地质灾害防治工作提供科学依据。</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风险预警预报率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地质灾害预警预报能力</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隐患点排查核查率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防治方案制定率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6、地下水监测与地热、矿泉水管理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开展地下水和地面沉降监测，服务于地下水超采综合治理、地面沉降防治和地下水污染防治。开展地热、浅层地温能和矿泉水资源调查评价、监测与数据库建设。</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掌握年度全县地面沉降动态变化，为地下水压采和地面沉降防治提供基础数据。</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监测数据有效利用率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形成</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未形成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地面沉降监测率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地下水监测率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三、海洋资源管理</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加强海域使用、海洋环境保护及海洋综合管理工作。</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管理全县海岸线，科学合理用海；保护海洋环境，减少入海污染；保护海岛生态系统，合理利用海岛资源，及时掌握海洋经济发展动态。</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1、海域使用管理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编制实施海洋功能区划和海岸保护利用规划，开展海域海岸带整治使用修复工作。</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做好海域海岸带整治修复工作；监测海岸线和重要河口等空间资源利用情况。</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监视监测海域使用情况信息及时掌握率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海域使用监测率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海域海岸带整治修复工作完成率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2、海洋生态环境保护与预报减灾</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强化重点海洋环境综合整治和海洋环境监视监测工作，开展海洋防灾减灾与生态保护工作，编制专项环境信息。</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监测与评价海域环境质量现状，全面近岸海域环境质量状况、海洋功能区环境状况、近岸生态系统健康状况和主要入海污染源状况。掌握我所辖海域海洋水文气象状况，为海洋防灾减灾提供技术支撑。</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监测数据合格率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海洋环境监测数据数量完成率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3、海岛管理和海洋经济服务</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加强海岛监视监测，保护海岛生态系统，合理开发利用海岛自然资源。开展海洋经济发展研究，做好海洋经济运行监测评估、统计分析和信息发布。</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海岛生态环境不断改善，开发利用秩序日益规范，自然资源开发利用科学合理。海洋经济发展情况掌握及时。</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海洋经济运行监测评估、统计分析和信息发布工作完成率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海岛生态环境保护修复率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海岛监视监测率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≥60%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海洋经济发展研究工作完成率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四、国土资源执法与监察</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强化全县国土资源执法监察工作,提高国土资源执法能力。</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执法检查落实在日常，及时发现、制止违法行为，重大专项执法工作按量按质完成，维护群众合法权益。</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1、国土资源执法监察</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及时发现、制止国土资源违法行为。依法查处案件，推进国土资源基层所标准化建设。</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加强日常执法监管，将违法解决在初始、遏制在萌芽；做好重点执法专项行动，严厉打击违法，维护群众合法权益。</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举报线索处置率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≥99%</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重大典型违法案件调查反馈率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基础性保障项目完成率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专项执法工作完成率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五、国土资源政务管理</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1988.40</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负责国土资源系统综合业务管理和机关综合事务管理。</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进一步增强国土资源（海洋）管理保障能力。</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1、综合业务管理</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1988.40</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制定编制全县国土资源规划，落实相关政策法规，开展国土资源科技发展研究等。</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规范做好国土资源（海洋）各类规划编制和实施，用地计划、用地预审管理，绿色矿山、示范基地建设，全面推行国土资源（海洋）工作依法行政，推动普法工作落实推进国土资源（海洋）科技的应用和推广。</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2、综合事务管理</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做好国土资源相关综合性事务管理，保证行政工作高效有序运行。</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提高国土资源（海洋）事业发展保障能力。</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bl>
    <w:p>
      <w:pPr>
        <w:widowControl/>
        <w:jc w:val="left"/>
        <w:sectPr>
          <w:pgSz w:w="16839" w:h="11907" w:orient="landscape"/>
          <w:pgMar w:top="1020" w:right="1361" w:bottom="1020" w:left="1361" w:header="851" w:footer="992" w:gutter="0"/>
          <w:cols w:space="720" w:num="1"/>
          <w:docGrid w:type="lines" w:linePitch="312" w:charSpace="0"/>
        </w:sectPr>
      </w:pPr>
    </w:p>
    <w:p>
      <w:pPr>
        <w:ind w:firstLine="645"/>
        <w:jc w:val="center"/>
        <w:rPr>
          <w:rFonts w:ascii="仿宋" w:hAnsi="仿宋" w:eastAsia="仿宋"/>
          <w:sz w:val="32"/>
          <w:szCs w:val="32"/>
        </w:rPr>
      </w:pPr>
    </w:p>
    <w:p>
      <w:pPr>
        <w:numPr>
          <w:ilvl w:val="0"/>
          <w:numId w:val="3"/>
        </w:numPr>
        <w:autoSpaceDE w:val="0"/>
        <w:autoSpaceDN w:val="0"/>
        <w:adjustRightInd w:val="0"/>
        <w:ind w:firstLine="640" w:firstLineChars="200"/>
        <w:jc w:val="left"/>
        <w:rPr>
          <w:rFonts w:hint="eastAsia" w:ascii="黑体" w:hAnsi="黑体" w:eastAsia="黑体" w:cs="仿宋_GB2312"/>
          <w:sz w:val="32"/>
          <w:szCs w:val="32"/>
        </w:rPr>
      </w:pPr>
      <w:r>
        <w:rPr>
          <w:rFonts w:hint="eastAsia" w:ascii="黑体" w:hAnsi="黑体" w:eastAsia="黑体" w:cs="仿宋_GB2312"/>
          <w:sz w:val="32"/>
          <w:szCs w:val="32"/>
        </w:rPr>
        <w:t>政府采购预算情况</w:t>
      </w:r>
    </w:p>
    <w:p>
      <w:pPr>
        <w:numPr>
          <w:ilvl w:val="0"/>
          <w:numId w:val="0"/>
        </w:numPr>
        <w:autoSpaceDE w:val="0"/>
        <w:autoSpaceDN w:val="0"/>
        <w:adjustRightInd w:val="0"/>
        <w:jc w:val="left"/>
        <w:rPr>
          <w:rFonts w:hint="eastAsia" w:ascii="仿宋" w:hAnsi="仿宋" w:eastAsia="仿宋" w:cs="仿宋"/>
          <w:sz w:val="32"/>
          <w:szCs w:val="32"/>
          <w:lang w:val="en-US" w:eastAsia="zh-CN"/>
        </w:rPr>
      </w:pPr>
      <w:r>
        <w:rPr>
          <w:rFonts w:hint="eastAsia" w:ascii="黑体" w:hAnsi="黑体" w:eastAsia="黑体" w:cs="仿宋_GB2312"/>
          <w:sz w:val="32"/>
          <w:szCs w:val="32"/>
          <w:lang w:val="en-US" w:eastAsia="zh-CN"/>
        </w:rPr>
        <w:t xml:space="preserve">      </w:t>
      </w:r>
      <w:r>
        <w:rPr>
          <w:rFonts w:hint="eastAsia" w:ascii="仿宋" w:hAnsi="仿宋" w:eastAsia="仿宋" w:cs="仿宋"/>
          <w:sz w:val="32"/>
          <w:szCs w:val="32"/>
          <w:lang w:val="en-US" w:eastAsia="zh-CN"/>
        </w:rPr>
        <w:t xml:space="preserve"> 2019年，安排政府采购预算0万元，具体内容见下表</w:t>
      </w:r>
    </w:p>
    <w:p>
      <w:pPr>
        <w:jc w:val="center"/>
        <w:outlineLvl w:val="0"/>
        <w:rPr>
          <w:rFonts w:ascii="方正小标宋_GBK" w:eastAsia="方正小标宋_GBK"/>
          <w:sz w:val="32"/>
        </w:rPr>
      </w:pPr>
      <w:r>
        <w:rPr>
          <w:rFonts w:hint="eastAsia" w:ascii="黑体" w:hAnsi="黑体" w:eastAsia="黑体" w:cs="仿宋_GB2312"/>
          <w:sz w:val="32"/>
          <w:szCs w:val="32"/>
          <w:lang w:val="en-US" w:eastAsia="zh-CN"/>
        </w:rPr>
        <w:t xml:space="preserve">    </w:t>
      </w:r>
      <w:bookmarkStart w:id="1" w:name="_Toc2579293"/>
      <w:r>
        <w:rPr>
          <w:rFonts w:hint="eastAsia" w:ascii="方正小标宋_GBK" w:eastAsia="方正小标宋_GBK"/>
          <w:sz w:val="32"/>
        </w:rPr>
        <w:t>部门政府采购预算</w:t>
      </w:r>
      <w:bookmarkEnd w:id="1"/>
    </w:p>
    <w:tbl>
      <w:tblPr>
        <w:tblStyle w:val="5"/>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6"/>
        <w:gridCol w:w="1033"/>
        <w:gridCol w:w="915"/>
        <w:gridCol w:w="926"/>
        <w:gridCol w:w="714"/>
        <w:gridCol w:w="714"/>
        <w:gridCol w:w="846"/>
        <w:gridCol w:w="904"/>
        <w:gridCol w:w="904"/>
        <w:gridCol w:w="905"/>
        <w:gridCol w:w="905"/>
        <w:gridCol w:w="907"/>
        <w:gridCol w:w="907"/>
        <w:gridCol w:w="8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454"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val="en-US" w:eastAsia="zh-CN"/>
              </w:rPr>
            </w:pPr>
            <w:r>
              <w:rPr>
                <w:rFonts w:hint="eastAsia" w:ascii="方正小标宋_GBK" w:eastAsia="方正小标宋_GBK"/>
                <w:sz w:val="24"/>
                <w:lang w:val="en-US" w:eastAsia="zh-CN"/>
              </w:rPr>
              <w:t>324国土局</w:t>
            </w:r>
          </w:p>
        </w:tc>
        <w:tc>
          <w:tcPr>
            <w:tcW w:w="6298"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339"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1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26"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4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298"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06"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33"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15" w:type="dxa"/>
            <w:vMerge w:val="continue"/>
            <w:vAlign w:val="center"/>
          </w:tcPr>
          <w:p>
            <w:pPr>
              <w:spacing w:line="300" w:lineRule="exact"/>
              <w:jc w:val="left"/>
              <w:outlineLvl w:val="0"/>
            </w:pPr>
          </w:p>
        </w:tc>
        <w:tc>
          <w:tcPr>
            <w:tcW w:w="926"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904"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28"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66"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06" w:type="dxa"/>
            <w:vMerge w:val="continue"/>
            <w:vAlign w:val="center"/>
          </w:tcPr>
          <w:p>
            <w:pPr>
              <w:spacing w:line="300" w:lineRule="exact"/>
              <w:jc w:val="left"/>
              <w:outlineLvl w:val="0"/>
            </w:pPr>
          </w:p>
        </w:tc>
        <w:tc>
          <w:tcPr>
            <w:tcW w:w="1033" w:type="dxa"/>
            <w:vMerge w:val="continue"/>
            <w:vAlign w:val="center"/>
          </w:tcPr>
          <w:p>
            <w:pPr>
              <w:spacing w:line="300" w:lineRule="exact"/>
              <w:jc w:val="left"/>
              <w:outlineLvl w:val="0"/>
            </w:pPr>
          </w:p>
        </w:tc>
        <w:tc>
          <w:tcPr>
            <w:tcW w:w="915" w:type="dxa"/>
            <w:vMerge w:val="continue"/>
            <w:vAlign w:val="center"/>
          </w:tcPr>
          <w:p>
            <w:pPr>
              <w:spacing w:line="300" w:lineRule="exact"/>
              <w:jc w:val="left"/>
              <w:outlineLvl w:val="0"/>
            </w:pPr>
          </w:p>
        </w:tc>
        <w:tc>
          <w:tcPr>
            <w:tcW w:w="926"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904" w:type="dxa"/>
            <w:vMerge w:val="continue"/>
            <w:vAlign w:val="center"/>
          </w:tcPr>
          <w:p>
            <w:pPr>
              <w:spacing w:line="300" w:lineRule="exact"/>
              <w:jc w:val="left"/>
              <w:outlineLvl w:val="0"/>
            </w:pPr>
          </w:p>
        </w:tc>
        <w:tc>
          <w:tcPr>
            <w:tcW w:w="90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05"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07"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07"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66"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6" w:type="dxa"/>
            <w:vAlign w:val="center"/>
          </w:tcPr>
          <w:p>
            <w:pPr>
              <w:spacing w:line="300" w:lineRule="exact"/>
              <w:jc w:val="center"/>
              <w:rPr>
                <w:rFonts w:ascii="方正书宋_GBK" w:eastAsia="方正书宋_GBK"/>
                <w:b/>
              </w:rPr>
            </w:pPr>
          </w:p>
        </w:tc>
        <w:tc>
          <w:tcPr>
            <w:tcW w:w="1033" w:type="dxa"/>
            <w:vAlign w:val="center"/>
          </w:tcPr>
          <w:p>
            <w:pPr>
              <w:spacing w:line="300" w:lineRule="exact"/>
              <w:jc w:val="right"/>
              <w:rPr>
                <w:rFonts w:ascii="方正书宋_GBK" w:eastAsia="方正书宋_GBK"/>
                <w:b/>
              </w:rPr>
            </w:pPr>
          </w:p>
        </w:tc>
        <w:tc>
          <w:tcPr>
            <w:tcW w:w="915" w:type="dxa"/>
            <w:vAlign w:val="center"/>
          </w:tcPr>
          <w:p>
            <w:pPr>
              <w:spacing w:line="300" w:lineRule="exact"/>
              <w:jc w:val="left"/>
              <w:rPr>
                <w:rFonts w:ascii="方正书宋_GBK" w:eastAsia="方正书宋_GBK"/>
                <w:b/>
              </w:rPr>
            </w:pPr>
          </w:p>
        </w:tc>
        <w:tc>
          <w:tcPr>
            <w:tcW w:w="926" w:type="dxa"/>
            <w:vAlign w:val="center"/>
          </w:tcPr>
          <w:p>
            <w:pPr>
              <w:spacing w:line="300" w:lineRule="exact"/>
              <w:jc w:val="left"/>
              <w:rPr>
                <w:rFonts w:ascii="方正书宋_GBK" w:eastAsia="方正书宋_GBK"/>
                <w:b/>
              </w:rPr>
            </w:pPr>
          </w:p>
        </w:tc>
        <w:tc>
          <w:tcPr>
            <w:tcW w:w="714"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846" w:type="dxa"/>
            <w:vAlign w:val="center"/>
          </w:tcPr>
          <w:p>
            <w:pPr>
              <w:spacing w:line="300" w:lineRule="exact"/>
              <w:jc w:val="right"/>
              <w:rPr>
                <w:rFonts w:ascii="方正书宋_GBK" w:eastAsia="方正书宋_GBK"/>
                <w:b/>
              </w:rPr>
            </w:pPr>
          </w:p>
        </w:tc>
        <w:tc>
          <w:tcPr>
            <w:tcW w:w="904" w:type="dxa"/>
            <w:vAlign w:val="center"/>
          </w:tcPr>
          <w:p>
            <w:pPr>
              <w:spacing w:line="300" w:lineRule="exact"/>
              <w:jc w:val="right"/>
              <w:rPr>
                <w:rFonts w:hint="default" w:ascii="方正书宋_GBK" w:eastAsia="方正书宋_GBK"/>
                <w:b/>
                <w:lang w:val="en-US" w:eastAsia="zh-CN"/>
              </w:rPr>
            </w:pPr>
          </w:p>
        </w:tc>
        <w:tc>
          <w:tcPr>
            <w:tcW w:w="904" w:type="dxa"/>
            <w:vAlign w:val="center"/>
          </w:tcPr>
          <w:p>
            <w:pPr>
              <w:spacing w:line="300" w:lineRule="exact"/>
              <w:jc w:val="right"/>
              <w:rPr>
                <w:rFonts w:hint="default" w:ascii="方正书宋_GBK" w:eastAsia="方正书宋_GBK"/>
                <w:b/>
                <w:lang w:val="en-US" w:eastAsia="zh-CN"/>
              </w:rPr>
            </w:pPr>
          </w:p>
        </w:tc>
        <w:tc>
          <w:tcPr>
            <w:tcW w:w="905" w:type="dxa"/>
            <w:vAlign w:val="center"/>
          </w:tcPr>
          <w:p>
            <w:pPr>
              <w:spacing w:line="300" w:lineRule="exact"/>
              <w:jc w:val="right"/>
              <w:rPr>
                <w:rFonts w:ascii="方正书宋_GBK" w:eastAsia="方正书宋_GBK"/>
                <w:b/>
              </w:rPr>
            </w:pPr>
          </w:p>
        </w:tc>
        <w:tc>
          <w:tcPr>
            <w:tcW w:w="905"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866"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6" w:type="dxa"/>
            <w:vAlign w:val="center"/>
          </w:tcPr>
          <w:p>
            <w:pPr>
              <w:spacing w:line="300" w:lineRule="exact"/>
              <w:jc w:val="center"/>
              <w:rPr>
                <w:rFonts w:ascii="方正书宋_GBK" w:eastAsia="方正书宋_GBK"/>
                <w:b/>
              </w:rPr>
            </w:pPr>
          </w:p>
        </w:tc>
        <w:tc>
          <w:tcPr>
            <w:tcW w:w="1033" w:type="dxa"/>
            <w:vAlign w:val="center"/>
          </w:tcPr>
          <w:p>
            <w:pPr>
              <w:spacing w:line="300" w:lineRule="exact"/>
              <w:jc w:val="right"/>
              <w:rPr>
                <w:rFonts w:ascii="方正书宋_GBK" w:eastAsia="方正书宋_GBK"/>
                <w:b/>
              </w:rPr>
            </w:pPr>
          </w:p>
        </w:tc>
        <w:tc>
          <w:tcPr>
            <w:tcW w:w="915" w:type="dxa"/>
            <w:vAlign w:val="center"/>
          </w:tcPr>
          <w:p>
            <w:pPr>
              <w:spacing w:line="300" w:lineRule="exact"/>
              <w:jc w:val="left"/>
              <w:rPr>
                <w:rFonts w:ascii="方正书宋_GBK" w:eastAsia="方正书宋_GBK"/>
                <w:b/>
              </w:rPr>
            </w:pPr>
          </w:p>
        </w:tc>
        <w:tc>
          <w:tcPr>
            <w:tcW w:w="926" w:type="dxa"/>
            <w:vAlign w:val="center"/>
          </w:tcPr>
          <w:p>
            <w:pPr>
              <w:spacing w:line="300" w:lineRule="exact"/>
              <w:jc w:val="left"/>
              <w:rPr>
                <w:rFonts w:ascii="方正书宋_GBK" w:eastAsia="方正书宋_GBK"/>
                <w:b/>
              </w:rPr>
            </w:pPr>
          </w:p>
        </w:tc>
        <w:tc>
          <w:tcPr>
            <w:tcW w:w="714"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846" w:type="dxa"/>
            <w:vAlign w:val="center"/>
          </w:tcPr>
          <w:p>
            <w:pPr>
              <w:spacing w:line="300" w:lineRule="exact"/>
              <w:jc w:val="right"/>
              <w:rPr>
                <w:rFonts w:ascii="方正书宋_GBK" w:eastAsia="方正书宋_GBK"/>
                <w:b/>
              </w:rPr>
            </w:pPr>
          </w:p>
        </w:tc>
        <w:tc>
          <w:tcPr>
            <w:tcW w:w="904" w:type="dxa"/>
            <w:vAlign w:val="center"/>
          </w:tcPr>
          <w:p>
            <w:pPr>
              <w:spacing w:line="300" w:lineRule="exact"/>
              <w:jc w:val="right"/>
              <w:rPr>
                <w:rFonts w:hint="default" w:ascii="方正书宋_GBK" w:eastAsia="方正书宋_GBK"/>
                <w:b/>
                <w:lang w:val="en-US" w:eastAsia="zh-CN"/>
              </w:rPr>
            </w:pPr>
          </w:p>
        </w:tc>
        <w:tc>
          <w:tcPr>
            <w:tcW w:w="904" w:type="dxa"/>
            <w:vAlign w:val="center"/>
          </w:tcPr>
          <w:p>
            <w:pPr>
              <w:spacing w:line="300" w:lineRule="exact"/>
              <w:jc w:val="right"/>
              <w:rPr>
                <w:rFonts w:ascii="方正书宋_GBK" w:eastAsia="方正书宋_GBK"/>
                <w:b/>
              </w:rPr>
            </w:pPr>
          </w:p>
        </w:tc>
        <w:tc>
          <w:tcPr>
            <w:tcW w:w="905" w:type="dxa"/>
            <w:vAlign w:val="center"/>
          </w:tcPr>
          <w:p>
            <w:pPr>
              <w:spacing w:line="300" w:lineRule="exact"/>
              <w:jc w:val="right"/>
              <w:rPr>
                <w:rFonts w:ascii="方正书宋_GBK" w:eastAsia="方正书宋_GBK"/>
                <w:b/>
              </w:rPr>
            </w:pPr>
          </w:p>
        </w:tc>
        <w:tc>
          <w:tcPr>
            <w:tcW w:w="905"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866" w:type="dxa"/>
            <w:vAlign w:val="center"/>
          </w:tcPr>
          <w:p>
            <w:pPr>
              <w:spacing w:line="300" w:lineRule="exact"/>
              <w:jc w:val="right"/>
              <w:rPr>
                <w:rFonts w:ascii="方正书宋_GBK" w:eastAsia="方正书宋_GBK"/>
                <w:b/>
              </w:rPr>
            </w:pPr>
          </w:p>
        </w:tc>
      </w:tr>
    </w:tbl>
    <w:p>
      <w:pPr>
        <w:numPr>
          <w:ilvl w:val="0"/>
          <w:numId w:val="0"/>
        </w:numPr>
        <w:autoSpaceDE w:val="0"/>
        <w:autoSpaceDN w:val="0"/>
        <w:adjustRightInd w:val="0"/>
        <w:jc w:val="left"/>
        <w:rPr>
          <w:rFonts w:hint="default" w:ascii="黑体" w:hAnsi="黑体" w:eastAsia="黑体" w:cs="仿宋_GB2312"/>
          <w:sz w:val="32"/>
          <w:szCs w:val="32"/>
          <w:lang w:val="en-US" w:eastAsia="zh-CN"/>
        </w:rPr>
      </w:pPr>
      <w:r>
        <w:rPr>
          <w:rFonts w:hint="eastAsia" w:ascii="黑体" w:hAnsi="黑体" w:eastAsia="黑体" w:cs="仿宋_GB2312"/>
          <w:sz w:val="32"/>
          <w:szCs w:val="32"/>
          <w:lang w:val="en-US" w:eastAsia="zh-CN"/>
        </w:rPr>
        <w:t xml:space="preserve">   </w:t>
      </w:r>
      <w:r>
        <w:rPr>
          <w:rFonts w:hint="eastAsia" w:ascii="仿宋" w:hAnsi="仿宋" w:eastAsia="仿宋" w:cs="仿宋"/>
          <w:b w:val="0"/>
          <w:bCs w:val="0"/>
          <w:sz w:val="32"/>
          <w:szCs w:val="32"/>
          <w:lang w:val="en-US" w:eastAsia="zh-CN"/>
        </w:rPr>
        <w:t xml:space="preserve"> 注：我单位无政府采购，空表列示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hint="eastAsia" w:ascii="仿宋_GB2312" w:hAnsi="仿宋" w:eastAsia="仿宋_GB2312" w:cs="仿宋"/>
          <w:sz w:val="32"/>
          <w:szCs w:val="32"/>
        </w:rPr>
      </w:pPr>
      <w:r>
        <w:rPr>
          <w:rFonts w:hint="eastAsia" w:ascii="仿宋_GB2312" w:hAnsi="仿宋" w:eastAsia="仿宋_GB2312" w:cs="仿宋"/>
          <w:sz w:val="32"/>
          <w:szCs w:val="32"/>
        </w:rPr>
        <w:t>无极县国土资源局上年末固定资产金额为615.5万元（详见下表）。本年度拟购置固定资产金额为0万元。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无极县国土资源局固定资产占用情况表</w:t>
      </w:r>
    </w:p>
    <w:tbl>
      <w:tblPr>
        <w:tblStyle w:val="5"/>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编制部门：无极国土资源局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截止时间：2018年12月31日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615.5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2150</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182.5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2000</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182.5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20</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186.9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246.1</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_GB2312" w:hAnsi="仿宋" w:eastAsia="仿宋_GB2312"/>
          <w:sz w:val="32"/>
          <w:szCs w:val="32"/>
        </w:rPr>
        <w:t>财政拨款收入是指财政部门按照批复的预算核拨给单位的财政预算资金</w:t>
      </w:r>
      <w:r>
        <w:rPr>
          <w:rFonts w:hint="eastAsia" w:ascii="仿宋" w:hAnsi="仿宋" w:eastAsia="仿宋"/>
          <w:sz w:val="32"/>
          <w:szCs w:val="32"/>
        </w:rPr>
        <w:t>。</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_GB2312" w:hAnsi="仿宋" w:eastAsia="仿宋_GB2312"/>
          <w:sz w:val="32"/>
          <w:szCs w:val="32"/>
        </w:rPr>
      </w:pPr>
      <w:r>
        <w:rPr>
          <w:rFonts w:hint="eastAsia" w:ascii="仿宋_GB2312" w:hAnsi="仿宋" w:eastAsia="仿宋_GB2312"/>
          <w:sz w:val="32"/>
          <w:szCs w:val="32"/>
        </w:rPr>
        <w:t>基本支出是指预算单位为保障机构正常运转和完成日常工作而发生的各项支出，包括人员经费和日常公用经费。</w:t>
      </w:r>
    </w:p>
    <w:p>
      <w:pPr>
        <w:ind w:firstLine="720"/>
        <w:rPr>
          <w:rFonts w:ascii="仿宋_GB2312" w:hAnsi="仿宋" w:eastAsia="仿宋_GB2312"/>
          <w:sz w:val="32"/>
          <w:szCs w:val="32"/>
        </w:rPr>
      </w:pPr>
      <w:r>
        <w:rPr>
          <w:rFonts w:hint="eastAsia" w:ascii="仿宋_GB2312" w:hAnsi="仿宋" w:eastAsia="仿宋_GB2312"/>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_GB2312" w:hAnsi="仿宋" w:eastAsia="仿宋_GB2312"/>
          <w:sz w:val="32"/>
          <w:szCs w:val="32"/>
        </w:rPr>
      </w:pPr>
      <w:r>
        <w:rPr>
          <w:rFonts w:hint="eastAsia" w:ascii="仿宋_GB2312" w:hAnsi="仿宋" w:eastAsia="仿宋_GB2312"/>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_GB2312" w:hAnsi="仿宋" w:eastAsia="仿宋_GB2312"/>
          <w:sz w:val="32"/>
          <w:szCs w:val="32"/>
        </w:rPr>
      </w:pPr>
      <w:r>
        <w:rPr>
          <w:rFonts w:hint="eastAsia" w:ascii="仿宋_GB2312" w:hAnsi="仿宋" w:eastAsia="仿宋_GB2312"/>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_GB2312" w:hAnsi="仿宋" w:eastAsia="仿宋_GB2312"/>
          <w:sz w:val="32"/>
          <w:szCs w:val="32"/>
        </w:rPr>
        <w:t>社会保障和就业支出是指预算单位在社会保障和就业方面的支出</w:t>
      </w:r>
      <w:r>
        <w:rPr>
          <w:rFonts w:hint="eastAsia" w:ascii="仿宋" w:hAnsi="仿宋" w:eastAsia="仿宋"/>
          <w:sz w:val="32"/>
          <w:szCs w:val="32"/>
        </w:rPr>
        <w:t>。</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_GB2312" w:hAnsi="仿宋" w:eastAsia="仿宋_GB2312"/>
          <w:sz w:val="32"/>
          <w:szCs w:val="32"/>
        </w:rPr>
      </w:pPr>
      <w:r>
        <w:rPr>
          <w:rFonts w:hint="eastAsia" w:ascii="仿宋_GB2312" w:hAnsi="仿宋" w:eastAsia="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_GB2312" w:hAnsi="仿宋" w:eastAsia="仿宋_GB2312"/>
          <w:sz w:val="32"/>
          <w:szCs w:val="32"/>
        </w:rPr>
      </w:pPr>
      <w:r>
        <w:rPr>
          <w:rFonts w:hint="eastAsia" w:ascii="仿宋_GB2312" w:hAnsi="仿宋" w:eastAsia="仿宋_GB2312"/>
          <w:sz w:val="32"/>
          <w:szCs w:val="32"/>
        </w:rPr>
        <w:t>“三公”经费是指因公出国（境）费、公务用车购置及运行维护费和公务接待费。</w:t>
      </w:r>
    </w:p>
    <w:p>
      <w:pPr>
        <w:ind w:firstLine="720"/>
        <w:rPr>
          <w:rFonts w:ascii="仿宋_GB2312" w:hAnsi="仿宋" w:eastAsia="仿宋_GB2312"/>
          <w:sz w:val="32"/>
          <w:szCs w:val="32"/>
        </w:rPr>
      </w:pPr>
      <w:r>
        <w:rPr>
          <w:rFonts w:hint="eastAsia" w:ascii="仿宋_GB2312" w:hAnsi="仿宋" w:eastAsia="仿宋_GB2312"/>
          <w:sz w:val="32"/>
          <w:szCs w:val="32"/>
        </w:rPr>
        <w:t>因公出国（境）费是指单位公务出国（境）的国际旅费、国外城市间交通费、住宿费、伙食费、培训费、公杂费等支出。</w:t>
      </w:r>
    </w:p>
    <w:p>
      <w:pPr>
        <w:ind w:firstLine="720"/>
        <w:rPr>
          <w:rFonts w:ascii="仿宋_GB2312" w:hAnsi="仿宋" w:eastAsia="仿宋_GB2312"/>
          <w:sz w:val="32"/>
          <w:szCs w:val="32"/>
        </w:rPr>
      </w:pPr>
      <w:r>
        <w:rPr>
          <w:rFonts w:hint="eastAsia" w:ascii="仿宋_GB2312" w:hAnsi="仿宋" w:eastAsia="仿宋_GB2312"/>
          <w:sz w:val="32"/>
          <w:szCs w:val="32"/>
        </w:rPr>
        <w:t>公务用车购置及运行维护费是指单位购置公务用车及公务用车租用费、燃料费、维修费、路桥费、保险费等支出。</w:t>
      </w:r>
    </w:p>
    <w:p>
      <w:pPr>
        <w:ind w:firstLine="720"/>
        <w:rPr>
          <w:rFonts w:ascii="仿宋_GB2312" w:hAnsi="仿宋" w:eastAsia="仿宋_GB2312"/>
          <w:sz w:val="32"/>
          <w:szCs w:val="32"/>
        </w:rPr>
      </w:pPr>
      <w:r>
        <w:rPr>
          <w:rFonts w:hint="eastAsia" w:ascii="仿宋_GB2312" w:hAnsi="仿宋" w:eastAsia="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hint="eastAsia" w:ascii="仿宋" w:hAnsi="仿宋" w:eastAsia="仿宋"/>
          <w:sz w:val="32"/>
          <w:szCs w:val="32"/>
          <w:lang w:eastAsia="zh-CN"/>
        </w:rPr>
      </w:pPr>
      <w:r>
        <w:rPr>
          <w:rFonts w:hint="eastAsia" w:ascii="仿宋" w:hAnsi="仿宋" w:eastAsia="仿宋"/>
          <w:sz w:val="32"/>
          <w:szCs w:val="32"/>
          <w:lang w:eastAsia="zh-CN"/>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4"/>
      </w:pPr>
      <w:r>
        <w:rPr>
          <w:rStyle w:val="7"/>
        </w:rPr>
        <w:sym w:font="Symbol" w:char="0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54C17F"/>
    <w:multiLevelType w:val="singleLevel"/>
    <w:tmpl w:val="BD54C17F"/>
    <w:lvl w:ilvl="0" w:tentative="0">
      <w:start w:val="6"/>
      <w:numFmt w:val="chineseCounting"/>
      <w:suff w:val="nothing"/>
      <w:lvlText w:val="%1、"/>
      <w:lvlJc w:val="left"/>
      <w:rPr>
        <w:rFonts w:hint="eastAsia"/>
      </w:rPr>
    </w:lvl>
  </w:abstractNum>
  <w:abstractNum w:abstractNumId="1">
    <w:nsid w:val="00000002"/>
    <w:multiLevelType w:val="multilevel"/>
    <w:tmpl w:val="00000002"/>
    <w:lvl w:ilvl="0" w:tentative="0">
      <w:start w:val="1"/>
      <w:numFmt w:val="japaneseCounting"/>
      <w:lvlText w:val="（%1）"/>
      <w:lvlJc w:val="left"/>
      <w:pPr>
        <w:ind w:left="1725" w:hanging="1080"/>
      </w:pPr>
      <w:rPr>
        <w:rFonts w:hint="default"/>
      </w:rPr>
    </w:lvl>
    <w:lvl w:ilvl="1" w:tentative="0">
      <w:start w:val="1"/>
      <w:numFmt w:val="lowerLetter"/>
      <w:lvlText w:val="%2)"/>
      <w:lvlJc w:val="left"/>
      <w:pPr>
        <w:ind w:left="1485" w:hanging="420"/>
      </w:pPr>
    </w:lvl>
    <w:lvl w:ilvl="2" w:tentative="0">
      <w:start w:val="1"/>
      <w:numFmt w:val="lowerRoman"/>
      <w:lvlText w:val="%3."/>
      <w:lvlJc w:val="right"/>
      <w:pPr>
        <w:ind w:left="1905" w:hanging="420"/>
      </w:pPr>
    </w:lvl>
    <w:lvl w:ilvl="3" w:tentative="0">
      <w:start w:val="1"/>
      <w:numFmt w:val="decimal"/>
      <w:lvlText w:val="%4."/>
      <w:lvlJc w:val="left"/>
      <w:pPr>
        <w:ind w:left="2325" w:hanging="420"/>
      </w:pPr>
    </w:lvl>
    <w:lvl w:ilvl="4" w:tentative="0">
      <w:start w:val="1"/>
      <w:numFmt w:val="lowerLetter"/>
      <w:lvlText w:val="%5)"/>
      <w:lvlJc w:val="left"/>
      <w:pPr>
        <w:ind w:left="2745" w:hanging="420"/>
      </w:pPr>
    </w:lvl>
    <w:lvl w:ilvl="5" w:tentative="0">
      <w:start w:val="1"/>
      <w:numFmt w:val="lowerRoman"/>
      <w:lvlText w:val="%6."/>
      <w:lvlJc w:val="right"/>
      <w:pPr>
        <w:ind w:left="3165" w:hanging="420"/>
      </w:pPr>
    </w:lvl>
    <w:lvl w:ilvl="6" w:tentative="0">
      <w:start w:val="1"/>
      <w:numFmt w:val="decimal"/>
      <w:lvlText w:val="%7."/>
      <w:lvlJc w:val="left"/>
      <w:pPr>
        <w:ind w:left="3585" w:hanging="420"/>
      </w:pPr>
    </w:lvl>
    <w:lvl w:ilvl="7" w:tentative="0">
      <w:start w:val="1"/>
      <w:numFmt w:val="lowerLetter"/>
      <w:lvlText w:val="%8)"/>
      <w:lvlJc w:val="left"/>
      <w:pPr>
        <w:ind w:left="4005" w:hanging="420"/>
      </w:pPr>
    </w:lvl>
    <w:lvl w:ilvl="8" w:tentative="0">
      <w:start w:val="1"/>
      <w:numFmt w:val="lowerRoman"/>
      <w:lvlText w:val="%9."/>
      <w:lvlJc w:val="right"/>
      <w:pPr>
        <w:ind w:left="4425" w:hanging="420"/>
      </w:pPr>
    </w:lvl>
  </w:abstractNum>
  <w:abstractNum w:abstractNumId="2">
    <w:nsid w:val="00000003"/>
    <w:multiLevelType w:val="singleLevel"/>
    <w:tmpl w:val="00000003"/>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725B8"/>
    <w:rsid w:val="14791499"/>
    <w:rsid w:val="172967C5"/>
    <w:rsid w:val="29C81B99"/>
    <w:rsid w:val="33D97A12"/>
    <w:rsid w:val="435D39B7"/>
    <w:rsid w:val="4C1A0538"/>
    <w:rsid w:val="622D1AC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footnote text"/>
    <w:basedOn w:val="1"/>
    <w:link w:val="10"/>
    <w:qFormat/>
    <w:uiPriority w:val="0"/>
    <w:pPr>
      <w:snapToGrid w:val="0"/>
      <w:jc w:val="left"/>
    </w:pPr>
    <w:rPr>
      <w:rFonts w:ascii="Times New Roman" w:hAnsi="Times New Roman" w:eastAsia="宋体" w:cs="Times New Roman"/>
      <w:kern w:val="2"/>
      <w:sz w:val="18"/>
      <w:szCs w:val="18"/>
    </w:rPr>
  </w:style>
  <w:style w:type="character" w:styleId="7">
    <w:name w:val="footnote reference"/>
    <w:basedOn w:val="6"/>
    <w:qFormat/>
    <w:uiPriority w:val="0"/>
    <w:rPr>
      <w:vertAlign w:val="superscript"/>
    </w:rPr>
  </w:style>
  <w:style w:type="character" w:customStyle="1" w:styleId="8">
    <w:name w:val="页脚 Char"/>
    <w:basedOn w:val="6"/>
    <w:link w:val="2"/>
    <w:semiHidden/>
    <w:qFormat/>
    <w:uiPriority w:val="0"/>
    <w:rPr>
      <w:rFonts w:ascii="Times New Roman" w:hAnsi="Times New Roman" w:eastAsia="宋体" w:cs="Times New Roman"/>
      <w:sz w:val="18"/>
      <w:szCs w:val="18"/>
    </w:rPr>
  </w:style>
  <w:style w:type="character" w:customStyle="1" w:styleId="9">
    <w:name w:val="页眉 Char"/>
    <w:basedOn w:val="6"/>
    <w:link w:val="3"/>
    <w:semiHidden/>
    <w:uiPriority w:val="0"/>
    <w:rPr>
      <w:rFonts w:ascii="Times New Roman" w:hAnsi="Times New Roman" w:eastAsia="宋体" w:cs="Times New Roman"/>
      <w:sz w:val="18"/>
      <w:szCs w:val="18"/>
    </w:rPr>
  </w:style>
  <w:style w:type="character" w:customStyle="1" w:styleId="10">
    <w:name w:val="脚注文本 Char"/>
    <w:basedOn w:val="6"/>
    <w:link w:val="4"/>
    <w:semiHidden/>
    <w:qFormat/>
    <w:uiPriority w:val="0"/>
    <w:rPr>
      <w:rFonts w:ascii="Times New Roman" w:hAnsi="Times New Roman" w:eastAsia="宋体" w:cs="Times New Roman"/>
      <w:kern w:val="2"/>
      <w:sz w:val="18"/>
      <w:szCs w:val="18"/>
    </w:rPr>
  </w:style>
  <w:style w:type="paragraph" w:customStyle="1" w:styleId="11">
    <w:name w:val="列出段落1"/>
    <w:basedOn w:val="1"/>
    <w:qFormat/>
    <w:uiPriority w:val="0"/>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19</Pages>
  <Words>1402</Words>
  <Characters>7992</Characters>
  <Lines>66</Lines>
  <Paragraphs>18</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cp:lastModifiedBy>古德纽斯</cp:lastModifiedBy>
  <dcterms:modified xsi:type="dcterms:W3CDTF">2023-09-20T08:34:42Z</dcterms:modified>
  <dc:title>微软用户</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ABBFF0B7BD10419B9DCE889C92D0CB4E</vt:lpwstr>
  </property>
</Properties>
</file>