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b/>
          <w:sz w:val="44"/>
          <w:szCs w:val="44"/>
        </w:rPr>
      </w:pPr>
      <w:r>
        <w:rPr>
          <w:rFonts w:hint="eastAsia" w:ascii="宋体" w:hAnsi="宋体"/>
          <w:b/>
          <w:sz w:val="44"/>
          <w:szCs w:val="44"/>
        </w:rPr>
        <w:t>无极县市场监督管理局</w:t>
      </w:r>
    </w:p>
    <w:p>
      <w:pPr>
        <w:jc w:val="center"/>
        <w:rPr>
          <w:b/>
        </w:rPr>
      </w:pPr>
      <w:r>
        <w:rPr>
          <w:rFonts w:hint="eastAsia" w:ascii="宋体" w:hAnsi="宋体"/>
          <w:b/>
          <w:sz w:val="44"/>
          <w:szCs w:val="44"/>
        </w:rPr>
        <w:t>2019年部门预算信息公开说明目录</w:t>
      </w:r>
    </w:p>
    <w:p>
      <w:pPr>
        <w:jc w:val="center"/>
        <w:rPr>
          <w:rFonts w:ascii="宋体" w:hAnsi="宋体"/>
          <w:b/>
          <w:sz w:val="32"/>
          <w:szCs w:val="32"/>
        </w:rPr>
      </w:pPr>
    </w:p>
    <w:p>
      <w:pPr>
        <w:ind w:firstLine="660"/>
        <w:rPr>
          <w:rFonts w:ascii="宋体" w:hAnsi="宋体" w:eastAsia="宋体"/>
          <w:sz w:val="32"/>
          <w:szCs w:val="32"/>
        </w:rPr>
      </w:pPr>
      <w:r>
        <w:rPr>
          <w:rFonts w:hint="eastAsia" w:ascii="宋体" w:hAnsi="宋体" w:eastAsia="宋体"/>
          <w:sz w:val="32"/>
          <w:szCs w:val="32"/>
        </w:rPr>
        <w:t>一、部门职责及机构设置情况</w:t>
      </w:r>
    </w:p>
    <w:p>
      <w:pPr>
        <w:ind w:firstLine="660"/>
        <w:rPr>
          <w:rFonts w:ascii="宋体" w:hAnsi="宋体" w:eastAsia="宋体"/>
          <w:sz w:val="32"/>
          <w:szCs w:val="32"/>
        </w:rPr>
      </w:pPr>
      <w:r>
        <w:rPr>
          <w:rFonts w:hint="eastAsia" w:ascii="宋体" w:hAnsi="宋体" w:eastAsia="宋体"/>
          <w:sz w:val="32"/>
          <w:szCs w:val="32"/>
        </w:rPr>
        <w:t>二、部门预算安排的总体情况</w:t>
      </w:r>
    </w:p>
    <w:p>
      <w:pPr>
        <w:ind w:firstLine="660"/>
        <w:rPr>
          <w:rFonts w:ascii="宋体" w:hAnsi="宋体" w:eastAsia="宋体"/>
          <w:sz w:val="32"/>
          <w:szCs w:val="32"/>
        </w:rPr>
      </w:pPr>
      <w:r>
        <w:rPr>
          <w:rFonts w:hint="eastAsia" w:ascii="宋体" w:hAnsi="宋体" w:eastAsia="宋体"/>
          <w:sz w:val="32"/>
          <w:szCs w:val="32"/>
        </w:rPr>
        <w:t>三、机关运行经费安排情况</w:t>
      </w:r>
    </w:p>
    <w:p>
      <w:pPr>
        <w:ind w:firstLine="660"/>
        <w:rPr>
          <w:rFonts w:ascii="宋体" w:hAnsi="宋体" w:eastAsia="宋体"/>
          <w:sz w:val="32"/>
          <w:szCs w:val="32"/>
        </w:rPr>
      </w:pPr>
      <w:r>
        <w:rPr>
          <w:rFonts w:hint="eastAsia" w:ascii="宋体" w:hAnsi="宋体" w:eastAsia="宋体"/>
          <w:sz w:val="32"/>
          <w:szCs w:val="32"/>
        </w:rPr>
        <w:t>四、财政拨款“三公”经费预算情况及增减变化原因</w:t>
      </w:r>
    </w:p>
    <w:p>
      <w:pPr>
        <w:ind w:firstLine="660"/>
        <w:rPr>
          <w:rFonts w:ascii="宋体" w:hAnsi="宋体" w:eastAsia="宋体"/>
          <w:sz w:val="32"/>
          <w:szCs w:val="32"/>
        </w:rPr>
      </w:pPr>
      <w:r>
        <w:rPr>
          <w:rFonts w:hint="eastAsia" w:ascii="宋体" w:hAnsi="宋体" w:eastAsia="宋体"/>
          <w:sz w:val="32"/>
          <w:szCs w:val="32"/>
        </w:rPr>
        <w:t>五、绩效预算信息</w:t>
      </w:r>
    </w:p>
    <w:p>
      <w:pPr>
        <w:ind w:firstLine="660"/>
        <w:rPr>
          <w:rFonts w:ascii="宋体" w:hAnsi="宋体" w:eastAsia="宋体"/>
          <w:sz w:val="32"/>
          <w:szCs w:val="32"/>
        </w:rPr>
      </w:pPr>
      <w:r>
        <w:rPr>
          <w:rFonts w:hint="eastAsia" w:ascii="宋体" w:hAnsi="宋体" w:eastAsia="宋体"/>
          <w:sz w:val="32"/>
          <w:szCs w:val="32"/>
        </w:rPr>
        <w:t>六、政府采购预算情况</w:t>
      </w:r>
    </w:p>
    <w:p>
      <w:pPr>
        <w:ind w:firstLine="660"/>
        <w:rPr>
          <w:rFonts w:ascii="宋体" w:hAnsi="宋体" w:eastAsia="宋体"/>
          <w:sz w:val="32"/>
          <w:szCs w:val="32"/>
        </w:rPr>
      </w:pPr>
      <w:r>
        <w:rPr>
          <w:rFonts w:hint="eastAsia" w:ascii="宋体" w:hAnsi="宋体" w:eastAsia="宋体"/>
          <w:sz w:val="32"/>
          <w:szCs w:val="32"/>
        </w:rPr>
        <w:t>七、国有资产信息</w:t>
      </w:r>
    </w:p>
    <w:p>
      <w:pPr>
        <w:ind w:firstLine="660"/>
        <w:rPr>
          <w:rFonts w:ascii="宋体" w:hAnsi="宋体" w:eastAsia="宋体"/>
          <w:sz w:val="32"/>
          <w:szCs w:val="32"/>
        </w:rPr>
      </w:pPr>
      <w:r>
        <w:rPr>
          <w:rFonts w:hint="eastAsia" w:ascii="宋体" w:hAnsi="宋体" w:eastAsia="宋体"/>
          <w:sz w:val="32"/>
          <w:szCs w:val="32"/>
        </w:rPr>
        <w:t>八、名词解释</w:t>
      </w:r>
    </w:p>
    <w:p>
      <w:pPr>
        <w:ind w:firstLine="660"/>
        <w:rPr>
          <w:rFonts w:ascii="宋体" w:hAnsi="宋体" w:eastAsia="宋体"/>
          <w:sz w:val="32"/>
          <w:szCs w:val="32"/>
        </w:rPr>
      </w:pPr>
      <w:r>
        <w:rPr>
          <w:rFonts w:hint="eastAsia" w:ascii="宋体" w:hAnsi="宋体" w:eastAsia="宋体"/>
          <w:sz w:val="32"/>
          <w:szCs w:val="32"/>
        </w:rPr>
        <w:t>九、其他需要说明的事项</w:t>
      </w:r>
    </w:p>
    <w:p>
      <w:pPr>
        <w:ind w:firstLine="660"/>
        <w:rPr>
          <w:rFonts w:ascii="仿宋" w:hAnsi="仿宋" w:eastAsia="仿宋"/>
          <w:sz w:val="32"/>
          <w:szCs w:val="32"/>
        </w:rPr>
      </w:pPr>
    </w:p>
    <w:p>
      <w:pPr>
        <w:ind w:firstLine="660"/>
        <w:rPr>
          <w:rFonts w:ascii="仿宋" w:hAnsi="仿宋" w:eastAsia="仿宋"/>
          <w:sz w:val="32"/>
          <w:szCs w:val="32"/>
        </w:rPr>
      </w:pPr>
      <w:r>
        <w:rPr>
          <w:rFonts w:hint="eastAsia" w:ascii="仿宋" w:hAnsi="仿宋" w:eastAsia="仿宋"/>
          <w:sz w:val="32"/>
          <w:szCs w:val="32"/>
        </w:rPr>
        <w:t>按照《预算法》、《地方预决算公开操作规程》和《河北省省级预算公开办法》规定，现将无极县市场监督管理局（本级）2019年部门预算公开如下：</w:t>
      </w:r>
    </w:p>
    <w:p>
      <w:pPr>
        <w:ind w:firstLine="660"/>
        <w:rPr>
          <w:rFonts w:ascii="黑体" w:hAnsi="黑体" w:eastAsia="黑体"/>
          <w:sz w:val="32"/>
          <w:szCs w:val="32"/>
        </w:rPr>
      </w:pPr>
      <w:r>
        <w:rPr>
          <w:rFonts w:hint="eastAsia" w:ascii="黑体" w:hAnsi="黑体" w:eastAsia="黑体"/>
          <w:sz w:val="32"/>
          <w:szCs w:val="32"/>
        </w:rPr>
        <w:t>一、部门职责及机构设置情况</w:t>
      </w:r>
    </w:p>
    <w:p>
      <w:pPr>
        <w:ind w:firstLine="660"/>
        <w:rPr>
          <w:rFonts w:ascii="楷体" w:hAnsi="楷体" w:eastAsia="楷体"/>
          <w:sz w:val="32"/>
          <w:szCs w:val="32"/>
        </w:rPr>
      </w:pPr>
      <w:r>
        <w:rPr>
          <w:rFonts w:hint="eastAsia" w:ascii="楷体" w:hAnsi="楷体" w:eastAsia="楷体"/>
          <w:sz w:val="32"/>
          <w:szCs w:val="32"/>
        </w:rPr>
        <w:t>（一）部门职责</w:t>
      </w:r>
    </w:p>
    <w:p>
      <w:pPr>
        <w:ind w:firstLine="660"/>
        <w:rPr>
          <w:rFonts w:ascii="仿宋" w:hAnsi="仿宋" w:eastAsia="仿宋"/>
          <w:sz w:val="32"/>
          <w:szCs w:val="32"/>
        </w:rPr>
      </w:pPr>
      <w:r>
        <w:rPr>
          <w:rFonts w:hint="eastAsia" w:ascii="仿宋" w:hAnsi="仿宋" w:eastAsia="仿宋"/>
          <w:sz w:val="32"/>
          <w:szCs w:val="32"/>
        </w:rPr>
        <w:t>1、依法负责全县各类市场监督管理和行政执法工作。贯彻执行国家和省关于工商行政管理的方针政策和法律法规;落实省、市工商行政管理局工作部署;拟定全县工商行政管理措施办法。</w:t>
      </w:r>
    </w:p>
    <w:p>
      <w:pPr>
        <w:ind w:firstLine="660"/>
        <w:rPr>
          <w:rFonts w:ascii="仿宋" w:hAnsi="仿宋" w:eastAsia="仿宋"/>
          <w:sz w:val="32"/>
          <w:szCs w:val="32"/>
        </w:rPr>
      </w:pPr>
      <w:r>
        <w:rPr>
          <w:rFonts w:hint="eastAsia" w:ascii="仿宋" w:hAnsi="仿宋" w:eastAsia="仿宋"/>
          <w:sz w:val="32"/>
          <w:szCs w:val="32"/>
        </w:rPr>
        <w:t>2、按照业务权限负责全县各类企业、农民专业合作社和从事经营活动的单位、个人以及外国（地区）企业驻辖区代表机构等市场主体的事中事后监督管理。在县政府领导下，按照职责分工依法查处取缔无照经营。负责工商行政管理业务信息库建设。</w:t>
      </w:r>
    </w:p>
    <w:p>
      <w:pPr>
        <w:ind w:firstLine="660"/>
        <w:rPr>
          <w:rFonts w:ascii="仿宋" w:hAnsi="仿宋" w:eastAsia="仿宋"/>
          <w:sz w:val="32"/>
          <w:szCs w:val="32"/>
        </w:rPr>
      </w:pPr>
      <w:r>
        <w:rPr>
          <w:rFonts w:hint="eastAsia" w:ascii="仿宋" w:hAnsi="仿宋" w:eastAsia="仿宋"/>
          <w:sz w:val="32"/>
          <w:szCs w:val="32"/>
        </w:rPr>
        <w:t>3、负责依法规范和维护辖区各类市场经营秩序，监督管理市场交易行为和网络商品交易及有关服务的行为。</w:t>
      </w:r>
    </w:p>
    <w:p>
      <w:pPr>
        <w:ind w:firstLine="660"/>
        <w:rPr>
          <w:rFonts w:ascii="仿宋" w:hAnsi="仿宋" w:eastAsia="仿宋"/>
          <w:sz w:val="32"/>
          <w:szCs w:val="32"/>
        </w:rPr>
      </w:pPr>
      <w:r>
        <w:rPr>
          <w:rFonts w:hint="eastAsia" w:ascii="仿宋" w:hAnsi="仿宋" w:eastAsia="仿宋"/>
          <w:sz w:val="32"/>
          <w:szCs w:val="32"/>
        </w:rPr>
        <w:t>4、在县政府的领导下，监督管理流通领域商品质量，组织开展有关服务领域消费维权工作，按分工查处假冒伪劣等违法行为，指导消费者咨询、申诉、举报受理、处理和网络体系建设等工作，保护消费者、经营者合法权益。</w:t>
      </w:r>
    </w:p>
    <w:p>
      <w:pPr>
        <w:ind w:firstLine="660"/>
        <w:rPr>
          <w:rFonts w:ascii="仿宋" w:hAnsi="仿宋" w:eastAsia="仿宋"/>
          <w:sz w:val="32"/>
          <w:szCs w:val="32"/>
        </w:rPr>
      </w:pPr>
      <w:r>
        <w:rPr>
          <w:rFonts w:hint="eastAsia" w:ascii="仿宋" w:hAnsi="仿宋" w:eastAsia="仿宋"/>
          <w:sz w:val="32"/>
          <w:szCs w:val="32"/>
        </w:rPr>
        <w:t>5、在县政府领导下，按照职责分工依法查处违法直销和传销行为，依法监督管理直销企业和直销员及其直销活动。</w:t>
      </w:r>
    </w:p>
    <w:p>
      <w:pPr>
        <w:ind w:firstLine="660"/>
        <w:rPr>
          <w:rFonts w:ascii="仿宋" w:hAnsi="仿宋" w:eastAsia="仿宋"/>
          <w:sz w:val="32"/>
          <w:szCs w:val="32"/>
        </w:rPr>
      </w:pPr>
      <w:r>
        <w:rPr>
          <w:rFonts w:hint="eastAsia" w:ascii="仿宋" w:hAnsi="仿宋" w:eastAsia="仿宋"/>
          <w:sz w:val="32"/>
          <w:szCs w:val="32"/>
        </w:rPr>
        <w:t>6、根据授权依法负责垄断协议、滥用市场支配地位、滥用行政权力排除限制竞争方面的反垄断执法工作（价格垄断行为除外）。依法查处不正当竞争、商业贿赂、走私贩私等经济违法行为。</w:t>
      </w:r>
    </w:p>
    <w:p>
      <w:pPr>
        <w:ind w:firstLine="660"/>
        <w:rPr>
          <w:rFonts w:ascii="仿宋" w:hAnsi="仿宋" w:eastAsia="仿宋"/>
          <w:sz w:val="32"/>
          <w:szCs w:val="32"/>
        </w:rPr>
      </w:pPr>
      <w:r>
        <w:rPr>
          <w:rFonts w:hint="eastAsia" w:ascii="仿宋" w:hAnsi="仿宋" w:eastAsia="仿宋"/>
          <w:sz w:val="32"/>
          <w:szCs w:val="32"/>
        </w:rPr>
        <w:t>7、依法监督管理经纪人、经纪机构及经纪活动。</w:t>
      </w:r>
    </w:p>
    <w:p>
      <w:pPr>
        <w:ind w:firstLine="660"/>
        <w:rPr>
          <w:rFonts w:ascii="仿宋" w:hAnsi="仿宋" w:eastAsia="仿宋"/>
          <w:sz w:val="32"/>
          <w:szCs w:val="32"/>
        </w:rPr>
      </w:pPr>
      <w:r>
        <w:rPr>
          <w:rFonts w:hint="eastAsia" w:ascii="仿宋" w:hAnsi="仿宋" w:eastAsia="仿宋"/>
          <w:sz w:val="32"/>
          <w:szCs w:val="32"/>
        </w:rPr>
        <w:t>8、依法实施合同行政监督管理，负责管理动产抵押物登记，组织监督管理拍卖行为，依法查处合同欺诈等违法行为。</w:t>
      </w:r>
    </w:p>
    <w:p>
      <w:pPr>
        <w:ind w:firstLine="660"/>
        <w:rPr>
          <w:rFonts w:ascii="仿宋" w:hAnsi="仿宋" w:eastAsia="仿宋"/>
          <w:sz w:val="32"/>
          <w:szCs w:val="32"/>
        </w:rPr>
      </w:pPr>
      <w:r>
        <w:rPr>
          <w:rFonts w:hint="eastAsia" w:ascii="仿宋" w:hAnsi="仿宋" w:eastAsia="仿宋"/>
          <w:sz w:val="32"/>
          <w:szCs w:val="32"/>
        </w:rPr>
        <w:t>9、指导广告业发展，负责广告活动的监督管理工作。</w:t>
      </w:r>
    </w:p>
    <w:p>
      <w:pPr>
        <w:ind w:firstLine="660"/>
        <w:rPr>
          <w:rFonts w:ascii="仿宋" w:hAnsi="仿宋" w:eastAsia="仿宋"/>
          <w:sz w:val="32"/>
          <w:szCs w:val="32"/>
        </w:rPr>
      </w:pPr>
      <w:r>
        <w:rPr>
          <w:rFonts w:hint="eastAsia" w:ascii="仿宋" w:hAnsi="仿宋" w:eastAsia="仿宋"/>
          <w:sz w:val="32"/>
          <w:szCs w:val="32"/>
        </w:rPr>
        <w:t>10、组织指导商标管理工作，依法保护商标专用权和查处商标侵权行为，负责驰名商标、著名商标的培堉推荐保护工作。负责特殊标志、官方标志的保护。</w:t>
      </w:r>
    </w:p>
    <w:p>
      <w:pPr>
        <w:ind w:firstLine="660"/>
        <w:rPr>
          <w:rFonts w:ascii="仿宋" w:hAnsi="仿宋" w:eastAsia="仿宋"/>
          <w:sz w:val="32"/>
          <w:szCs w:val="32"/>
        </w:rPr>
      </w:pPr>
      <w:r>
        <w:rPr>
          <w:rFonts w:hint="eastAsia" w:ascii="仿宋" w:hAnsi="仿宋" w:eastAsia="仿宋"/>
          <w:sz w:val="32"/>
          <w:szCs w:val="32"/>
        </w:rPr>
        <w:t>11、组织指导企业、个体工商户、商品交易市场信用分类管理，研究分析并依法发布市场主体登记注册基础信息等相关信息，为政府决策和社会公众提供信息服务。</w:t>
      </w:r>
    </w:p>
    <w:p>
      <w:pPr>
        <w:ind w:firstLine="660"/>
        <w:rPr>
          <w:rFonts w:ascii="仿宋" w:hAnsi="仿宋" w:eastAsia="仿宋"/>
          <w:sz w:val="32"/>
          <w:szCs w:val="32"/>
        </w:rPr>
      </w:pPr>
      <w:r>
        <w:rPr>
          <w:rFonts w:hint="eastAsia" w:ascii="仿宋" w:hAnsi="仿宋" w:eastAsia="仿宋"/>
          <w:sz w:val="32"/>
          <w:szCs w:val="32"/>
        </w:rPr>
        <w:t>12、负责个体工商户、私营企业经营行为的服务和监督管理。</w:t>
      </w:r>
    </w:p>
    <w:p>
      <w:pPr>
        <w:ind w:firstLine="660"/>
        <w:rPr>
          <w:rFonts w:ascii="仿宋" w:hAnsi="仿宋" w:eastAsia="仿宋"/>
          <w:sz w:val="32"/>
          <w:szCs w:val="32"/>
        </w:rPr>
      </w:pPr>
      <w:r>
        <w:rPr>
          <w:rFonts w:hint="eastAsia" w:ascii="仿宋" w:hAnsi="仿宋" w:eastAsia="仿宋"/>
          <w:sz w:val="32"/>
          <w:szCs w:val="32"/>
        </w:rPr>
        <w:t>13、按照规定管理所辖机关及直属单位的人事、财务、审计、监察、离退休干部、基层队伍建设、培训工作。</w:t>
      </w:r>
    </w:p>
    <w:p>
      <w:pPr>
        <w:ind w:firstLine="660"/>
        <w:rPr>
          <w:rFonts w:ascii="仿宋" w:hAnsi="仿宋" w:eastAsia="仿宋"/>
          <w:sz w:val="32"/>
          <w:szCs w:val="32"/>
        </w:rPr>
      </w:pPr>
      <w:r>
        <w:rPr>
          <w:rFonts w:hint="eastAsia" w:ascii="仿宋" w:hAnsi="仿宋" w:eastAsia="仿宋"/>
          <w:sz w:val="32"/>
          <w:szCs w:val="32"/>
        </w:rPr>
        <w:t>14组织指导县消费者协会、私营企业协会、个体劳动者协会、无极县维修行业服务中心等直属社团的工作。</w:t>
      </w:r>
    </w:p>
    <w:p>
      <w:pPr>
        <w:ind w:firstLine="660"/>
        <w:rPr>
          <w:rFonts w:ascii="仿宋" w:hAnsi="仿宋" w:eastAsia="仿宋"/>
          <w:sz w:val="32"/>
          <w:szCs w:val="32"/>
        </w:rPr>
      </w:pPr>
      <w:r>
        <w:rPr>
          <w:rFonts w:hint="eastAsia" w:ascii="仿宋" w:hAnsi="仿宋" w:eastAsia="仿宋"/>
          <w:sz w:val="32"/>
          <w:szCs w:val="32"/>
        </w:rPr>
        <w:t>15、承办上级交办的其他事项。</w:t>
      </w:r>
    </w:p>
    <w:p>
      <w:pPr>
        <w:ind w:firstLine="660"/>
        <w:rPr>
          <w:rFonts w:ascii="楷体" w:hAnsi="楷体" w:eastAsia="楷体"/>
          <w:sz w:val="32"/>
          <w:szCs w:val="32"/>
        </w:rPr>
      </w:pPr>
      <w:r>
        <w:rPr>
          <w:rFonts w:hint="eastAsia" w:ascii="楷体" w:hAnsi="楷体" w:eastAsia="楷体"/>
          <w:sz w:val="32"/>
          <w:szCs w:val="32"/>
        </w:rPr>
        <w:t>（二）机构设置</w:t>
      </w:r>
    </w:p>
    <w:p>
      <w:pPr>
        <w:ind w:firstLine="660"/>
        <w:jc w:val="center"/>
        <w:rPr>
          <w:rFonts w:ascii="仿宋" w:hAnsi="仿宋" w:eastAsia="仿宋"/>
          <w:sz w:val="32"/>
          <w:szCs w:val="32"/>
        </w:rPr>
      </w:pPr>
      <w:r>
        <w:rPr>
          <w:rFonts w:hint="eastAsia" w:ascii="仿宋" w:hAnsi="仿宋" w:eastAsia="仿宋"/>
          <w:sz w:val="32"/>
          <w:szCs w:val="32"/>
        </w:rPr>
        <w:t>部门机构设置情况</w:t>
      </w:r>
    </w:p>
    <w:tbl>
      <w:tblPr>
        <w:tblStyle w:val="4"/>
        <w:tblW w:w="102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68"/>
        <w:gridCol w:w="2220"/>
        <w:gridCol w:w="1965"/>
        <w:gridCol w:w="19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tblHeader/>
          <w:jc w:val="center"/>
        </w:trPr>
        <w:tc>
          <w:tcPr>
            <w:tcW w:w="4068" w:type="dxa"/>
            <w:vAlign w:val="center"/>
          </w:tcPr>
          <w:p>
            <w:pPr>
              <w:tabs>
                <w:tab w:val="left" w:pos="1035"/>
                <w:tab w:val="center" w:pos="2173"/>
              </w:tabs>
              <w:spacing w:line="300" w:lineRule="exact"/>
              <w:jc w:val="left"/>
            </w:pPr>
            <w:r>
              <w:rPr>
                <w:rFonts w:hint="eastAsia" w:ascii="仿宋" w:hAnsi="仿宋" w:eastAsia="仿宋" w:cs="仿宋"/>
                <w:b/>
                <w:sz w:val="28"/>
                <w:szCs w:val="28"/>
              </w:rPr>
              <w:tab/>
            </w:r>
            <w:r>
              <w:rPr>
                <w:rFonts w:hint="eastAsia" w:ascii="仿宋" w:hAnsi="仿宋" w:eastAsia="仿宋" w:cs="仿宋"/>
                <w:b/>
                <w:sz w:val="28"/>
                <w:szCs w:val="28"/>
              </w:rPr>
              <w:tab/>
            </w:r>
            <w:r>
              <w:rPr>
                <w:rFonts w:hint="eastAsia" w:ascii="仿宋" w:hAnsi="仿宋" w:eastAsia="仿宋" w:cs="仿宋"/>
                <w:b/>
                <w:sz w:val="28"/>
                <w:szCs w:val="28"/>
              </w:rPr>
              <w:t>单位名称</w:t>
            </w:r>
          </w:p>
        </w:tc>
        <w:tc>
          <w:tcPr>
            <w:tcW w:w="2220" w:type="dxa"/>
            <w:vAlign w:val="center"/>
          </w:tcPr>
          <w:p>
            <w:pPr>
              <w:spacing w:line="300" w:lineRule="exact"/>
              <w:jc w:val="center"/>
              <w:rPr>
                <w:rFonts w:ascii="仿宋" w:hAnsi="仿宋" w:eastAsia="仿宋" w:cs="仿宋"/>
                <w:b/>
                <w:sz w:val="28"/>
                <w:szCs w:val="28"/>
              </w:rPr>
            </w:pPr>
            <w:r>
              <w:rPr>
                <w:rFonts w:hint="eastAsia" w:ascii="仿宋" w:hAnsi="仿宋" w:eastAsia="仿宋" w:cs="仿宋"/>
                <w:b/>
                <w:sz w:val="28"/>
                <w:szCs w:val="28"/>
              </w:rPr>
              <w:t>单位性质</w:t>
            </w:r>
          </w:p>
        </w:tc>
        <w:tc>
          <w:tcPr>
            <w:tcW w:w="1965" w:type="dxa"/>
            <w:vAlign w:val="center"/>
          </w:tcPr>
          <w:p>
            <w:pPr>
              <w:spacing w:line="300" w:lineRule="exact"/>
              <w:jc w:val="center"/>
              <w:rPr>
                <w:rFonts w:ascii="仿宋" w:hAnsi="仿宋" w:eastAsia="仿宋" w:cs="仿宋"/>
                <w:b/>
                <w:sz w:val="28"/>
                <w:szCs w:val="28"/>
              </w:rPr>
            </w:pPr>
            <w:r>
              <w:rPr>
                <w:rFonts w:hint="eastAsia" w:ascii="仿宋" w:hAnsi="仿宋" w:eastAsia="仿宋" w:cs="仿宋"/>
                <w:b/>
                <w:sz w:val="28"/>
                <w:szCs w:val="28"/>
              </w:rPr>
              <w:t>单位规格</w:t>
            </w:r>
          </w:p>
        </w:tc>
        <w:tc>
          <w:tcPr>
            <w:tcW w:w="1956" w:type="dxa"/>
            <w:vAlign w:val="center"/>
          </w:tcPr>
          <w:p>
            <w:pPr>
              <w:spacing w:line="300" w:lineRule="exact"/>
              <w:jc w:val="center"/>
              <w:rPr>
                <w:rFonts w:ascii="仿宋" w:hAnsi="仿宋" w:eastAsia="仿宋" w:cs="仿宋"/>
                <w:b/>
                <w:sz w:val="28"/>
                <w:szCs w:val="28"/>
              </w:rPr>
            </w:pPr>
            <w:r>
              <w:rPr>
                <w:rFonts w:hint="eastAsia" w:ascii="仿宋" w:hAnsi="仿宋" w:eastAsia="仿宋" w:cs="仿宋"/>
                <w:b/>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5" w:hRule="atLeast"/>
          <w:jc w:val="center"/>
        </w:trPr>
        <w:tc>
          <w:tcPr>
            <w:tcW w:w="4068" w:type="dxa"/>
            <w:vAlign w:val="center"/>
          </w:tcPr>
          <w:p>
            <w:pPr>
              <w:spacing w:line="300" w:lineRule="exact"/>
              <w:jc w:val="left"/>
            </w:pPr>
            <w:r>
              <w:rPr>
                <w:rFonts w:hint="eastAsia" w:ascii="仿宋" w:hAnsi="仿宋" w:eastAsia="仿宋" w:cs="仿宋"/>
                <w:sz w:val="32"/>
                <w:szCs w:val="32"/>
              </w:rPr>
              <w:t>无极县市场监督管理局</w:t>
            </w:r>
          </w:p>
        </w:tc>
        <w:tc>
          <w:tcPr>
            <w:tcW w:w="2220"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行政</w:t>
            </w:r>
          </w:p>
        </w:tc>
        <w:tc>
          <w:tcPr>
            <w:tcW w:w="1965"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正科级</w:t>
            </w:r>
          </w:p>
        </w:tc>
        <w:tc>
          <w:tcPr>
            <w:tcW w:w="195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财政拨款</w:t>
            </w:r>
          </w:p>
        </w:tc>
      </w:tr>
    </w:tbl>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ind w:firstLine="640" w:firstLineChars="200"/>
        <w:rPr>
          <w:rFonts w:ascii="楷体" w:hAnsi="楷体" w:eastAsia="楷体" w:cs="仿宋_GB2312"/>
          <w:sz w:val="32"/>
          <w:szCs w:val="32"/>
        </w:rPr>
      </w:pPr>
      <w:r>
        <w:rPr>
          <w:rFonts w:hint="eastAsia" w:ascii="楷体" w:hAnsi="楷体" w:eastAsia="楷体" w:cs="仿宋_GB2312"/>
          <w:sz w:val="32"/>
          <w:szCs w:val="32"/>
        </w:rPr>
        <w:t>（一）收入说明</w:t>
      </w:r>
    </w:p>
    <w:p>
      <w:pPr>
        <w:adjustRightInd w:val="0"/>
        <w:snapToGrid w:val="0"/>
        <w:spacing w:line="600" w:lineRule="exact"/>
        <w:ind w:firstLine="640" w:firstLineChars="200"/>
        <w:jc w:val="left"/>
        <w:rPr>
          <w:rFonts w:ascii="仿宋_GB2312" w:eastAsia="仿宋_GB2312" w:cs="仿宋_GB2312"/>
          <w:bCs/>
          <w:sz w:val="32"/>
          <w:szCs w:val="32"/>
        </w:rPr>
      </w:pPr>
      <w:r>
        <w:rPr>
          <w:rFonts w:hint="eastAsia" w:ascii="仿宋_GB2312" w:eastAsia="仿宋_GB2312" w:cs="仿宋_GB2312"/>
          <w:bCs/>
          <w:sz w:val="32"/>
          <w:szCs w:val="32"/>
        </w:rPr>
        <w:t>无极县市场监管局2019年预算收入总计1750.8万元，其中，一般公共预算收入1750.8万元、政府性基金收入0万元、财政专户核拨收入0万元，其他来源收入0万元。</w:t>
      </w:r>
    </w:p>
    <w:p>
      <w:pPr>
        <w:ind w:firstLine="645"/>
        <w:rPr>
          <w:rFonts w:ascii="楷体" w:hAnsi="楷体" w:eastAsia="楷体"/>
          <w:sz w:val="32"/>
          <w:szCs w:val="32"/>
        </w:rPr>
      </w:pPr>
      <w:r>
        <w:rPr>
          <w:rFonts w:hint="eastAsia" w:ascii="楷体" w:hAnsi="楷体" w:eastAsia="楷体"/>
          <w:sz w:val="32"/>
          <w:szCs w:val="32"/>
        </w:rPr>
        <w:t>（二）支出说明</w:t>
      </w:r>
    </w:p>
    <w:p>
      <w:pPr>
        <w:adjustRightInd w:val="0"/>
        <w:snapToGrid w:val="0"/>
        <w:spacing w:line="600" w:lineRule="exact"/>
        <w:ind w:firstLine="640" w:firstLineChars="200"/>
        <w:jc w:val="left"/>
        <w:rPr>
          <w:rFonts w:ascii="仿宋_GB2312" w:eastAsia="仿宋_GB2312" w:cs="仿宋_GB2312"/>
          <w:bCs/>
          <w:sz w:val="32"/>
          <w:szCs w:val="32"/>
        </w:rPr>
      </w:pPr>
      <w:r>
        <w:rPr>
          <w:rFonts w:hint="eastAsia" w:ascii="仿宋_GB2312" w:eastAsia="仿宋_GB2312" w:cs="仿宋_GB2312"/>
          <w:bCs/>
          <w:sz w:val="32"/>
          <w:szCs w:val="32"/>
        </w:rPr>
        <w:t>2018年预算支出1750.8万元。其中，人员经费支出1274.6万元，正常公用经费49万元，项目支出427.2万元。</w:t>
      </w:r>
    </w:p>
    <w:p>
      <w:pPr>
        <w:ind w:firstLine="645"/>
        <w:rPr>
          <w:rFonts w:ascii="楷体" w:hAnsi="楷体" w:eastAsia="楷体"/>
          <w:sz w:val="32"/>
          <w:szCs w:val="32"/>
        </w:rPr>
      </w:pPr>
      <w:r>
        <w:rPr>
          <w:rFonts w:hint="eastAsia" w:ascii="楷体" w:hAnsi="楷体" w:eastAsia="楷体"/>
          <w:sz w:val="32"/>
          <w:szCs w:val="32"/>
        </w:rPr>
        <w:t>（三）比上年增减情况</w:t>
      </w:r>
    </w:p>
    <w:p>
      <w:pPr>
        <w:ind w:firstLine="645"/>
        <w:rPr>
          <w:rFonts w:ascii="楷体" w:hAnsi="楷体" w:eastAsia="楷体"/>
          <w:sz w:val="32"/>
          <w:szCs w:val="32"/>
        </w:rPr>
      </w:pPr>
      <w:r>
        <w:rPr>
          <w:rFonts w:hint="eastAsia" w:ascii="仿宋_GB2312" w:eastAsia="仿宋_GB2312" w:cs="仿宋_GB2312"/>
          <w:bCs/>
          <w:sz w:val="32"/>
          <w:szCs w:val="32"/>
        </w:rPr>
        <w:t>收入、支出与2018年相比增加145.97万元，增加原因为人员经费调增91.87万元，项目经费增加62.52万元。</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201</w:t>
      </w:r>
      <w:r>
        <w:rPr>
          <w:rFonts w:hint="eastAsia" w:ascii="仿宋_GB2312" w:hAnsi="仿宋_GB2312" w:eastAsia="仿宋_GB2312" w:cs="仿宋_GB2312"/>
          <w:sz w:val="32"/>
          <w:szCs w:val="32"/>
        </w:rPr>
        <w:t>8年机关运行经费共计安排49万元，主要用于我部门行政人员公务交通补贴。</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autoSpaceDE w:val="0"/>
        <w:autoSpaceDN w:val="0"/>
        <w:adjustRightInd w:val="0"/>
        <w:ind w:firstLine="640" w:firstLineChars="200"/>
        <w:jc w:val="left"/>
        <w:rPr>
          <w:rFonts w:hint="eastAsia" w:ascii="仿宋" w:hAnsi="仿宋" w:eastAsia="仿宋"/>
          <w:sz w:val="32"/>
          <w:szCs w:val="32"/>
          <w:lang w:val="en-US" w:eastAsia="zh-CN"/>
        </w:rPr>
      </w:pPr>
      <w:r>
        <w:rPr>
          <w:rFonts w:hint="eastAsia" w:ascii="仿宋" w:hAnsi="仿宋" w:eastAsia="仿宋"/>
          <w:sz w:val="32"/>
          <w:szCs w:val="32"/>
        </w:rPr>
        <w:t>2019年，我部门财政拨款“三公”经费预算安排0.5元，其中：因公出国（境）费0万元；公务用车购置及运维费0万元（其中：公务用车购置费0万元，公务用车运行维护费0万元)；公务接待费0</w:t>
      </w:r>
      <w:r>
        <w:rPr>
          <w:rFonts w:hint="eastAsia" w:ascii="仿宋" w:hAnsi="仿宋" w:eastAsia="仿宋"/>
          <w:sz w:val="32"/>
          <w:szCs w:val="32"/>
          <w:lang w:val="en-US" w:eastAsia="zh-CN"/>
        </w:rPr>
        <w:t>.5</w:t>
      </w:r>
      <w:r>
        <w:rPr>
          <w:rFonts w:hint="eastAsia" w:ascii="仿宋" w:hAnsi="仿宋" w:eastAsia="仿宋"/>
          <w:sz w:val="32"/>
          <w:szCs w:val="32"/>
        </w:rPr>
        <w:t>万元。</w:t>
      </w:r>
      <w:r>
        <w:rPr>
          <w:rFonts w:hint="eastAsia" w:ascii="仿宋" w:hAnsi="仿宋" w:eastAsia="仿宋"/>
          <w:sz w:val="32"/>
          <w:szCs w:val="32"/>
          <w:lang w:val="en-US" w:eastAsia="zh-CN"/>
        </w:rPr>
        <w:t>均与上年持平。</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ind w:firstLine="560"/>
        <w:rPr>
          <w:rFonts w:ascii="楷体" w:hAnsi="楷体" w:eastAsia="楷体"/>
          <w:sz w:val="32"/>
          <w:szCs w:val="32"/>
        </w:rPr>
      </w:pPr>
      <w:r>
        <w:rPr>
          <w:rFonts w:ascii="楷体" w:hAnsi="楷体" w:eastAsia="楷体"/>
          <w:sz w:val="32"/>
          <w:szCs w:val="32"/>
        </w:rPr>
        <w:t xml:space="preserve"> 加强基层队伍建设、开展教育培训及法律服务工作，提高工商行政管理人员的业务能力、工作效率，加强科研和文化建设，提升保障能力及管理水平，完成各项工作任务。运用行政与法律手段，对市场经营主体及市场行为进行行政指导、监督管理，建立和维护市场秩序，服务地方经济发展。依法查处各类违法行为，组织开展专项执法行动，构建打击传销体系，促进社会和谐稳定，维护公平竞争的市场秩序。开展全县消费者权益保护工作，查处经营假冒伪劣商品等违法行为；建立健全消费者权益保护机制，保护消费者合法权益，维护经营者正当利益。</w:t>
      </w:r>
    </w:p>
    <w:p>
      <w:pPr>
        <w:ind w:firstLine="645"/>
        <w:rPr>
          <w:rFonts w:ascii="楷体" w:hAnsi="楷体" w:eastAsia="楷体"/>
          <w:sz w:val="32"/>
          <w:szCs w:val="32"/>
        </w:rPr>
      </w:pPr>
      <w:r>
        <w:rPr>
          <w:rFonts w:hint="eastAsia" w:ascii="楷体" w:hAnsi="楷体" w:eastAsia="楷体"/>
          <w:sz w:val="32"/>
          <w:szCs w:val="32"/>
        </w:rPr>
        <w:t>（二）职责分类绩效目标</w:t>
      </w:r>
    </w:p>
    <w:p>
      <w:pPr>
        <w:ind w:firstLine="560"/>
        <w:rPr>
          <w:rFonts w:ascii="楷体" w:hAnsi="楷体" w:eastAsia="楷体"/>
          <w:sz w:val="32"/>
          <w:szCs w:val="32"/>
        </w:rPr>
      </w:pPr>
      <w:r>
        <w:rPr>
          <w:rFonts w:ascii="楷体" w:hAnsi="楷体" w:eastAsia="楷体"/>
          <w:sz w:val="32"/>
          <w:szCs w:val="32"/>
        </w:rPr>
        <w:t>依据国务院三定方案，县工商行政管理局主要职责分为工商管理事务、工商执法、保护消费者权益和工商政务管理四个方面，分别细划了市场监督管理、市场主体登记与监管、流通领域商品质量监督管理、商标广告监督管理、执法办案、消费者权益保护、综合业务管理和综合事务管理八方面活动，按照优良中差四个等次来考核各项业务绩效。</w:t>
      </w:r>
    </w:p>
    <w:p>
      <w:pPr>
        <w:autoSpaceDE w:val="0"/>
        <w:autoSpaceDN w:val="0"/>
        <w:adjustRightInd w:val="0"/>
        <w:spacing w:line="360" w:lineRule="auto"/>
        <w:ind w:left="198" w:firstLine="560" w:firstLineChars="200"/>
        <w:jc w:val="left"/>
        <w:rPr>
          <w:rFonts w:hint="eastAsia" w:ascii="仿宋" w:hAnsi="仿宋" w:eastAsia="仿宋" w:cs="仿宋_GB2312"/>
          <w:sz w:val="32"/>
          <w:szCs w:val="32"/>
        </w:rPr>
      </w:pPr>
      <w:r>
        <w:rPr>
          <w:rFonts w:hint="eastAsia" w:ascii="方正楷体_GBK" w:eastAsia="方正楷体_GBK"/>
          <w:b/>
          <w:sz w:val="28"/>
        </w:rPr>
        <w:t xml:space="preserve"> 实现年度发展规划目标的保障措施</w:t>
      </w:r>
    </w:p>
    <w:p>
      <w:pPr>
        <w:ind w:firstLine="560"/>
        <w:rPr>
          <w:rFonts w:ascii="楷体" w:hAnsi="楷体" w:eastAsia="楷体"/>
          <w:sz w:val="32"/>
          <w:szCs w:val="32"/>
        </w:rPr>
      </w:pPr>
      <w:r>
        <w:rPr>
          <w:rFonts w:hint="eastAsia" w:ascii="仿宋" w:hAnsi="仿宋" w:eastAsia="仿宋" w:cs="仿宋_GB2312"/>
          <w:sz w:val="32"/>
          <w:szCs w:val="32"/>
        </w:rPr>
        <w:t>为了更好的实现本年度</w:t>
      </w:r>
      <w:r>
        <w:rPr>
          <w:rFonts w:hint="eastAsia" w:ascii="仿宋" w:hAnsi="仿宋" w:eastAsia="仿宋" w:cs="仿宋_GB2312"/>
          <w:sz w:val="32"/>
          <w:szCs w:val="32"/>
          <w:lang w:eastAsia="zh-CN"/>
        </w:rPr>
        <w:t>市场监管</w:t>
      </w:r>
      <w:r>
        <w:rPr>
          <w:rFonts w:hint="eastAsia" w:ascii="仿宋" w:hAnsi="仿宋" w:eastAsia="仿宋" w:cs="仿宋_GB2312"/>
          <w:sz w:val="32"/>
          <w:szCs w:val="32"/>
        </w:rPr>
        <w:t>工作规划目标，我</w:t>
      </w:r>
      <w:r>
        <w:rPr>
          <w:rFonts w:hint="eastAsia" w:ascii="仿宋" w:hAnsi="仿宋" w:eastAsia="仿宋" w:cs="仿宋_GB2312"/>
          <w:sz w:val="32"/>
          <w:szCs w:val="32"/>
          <w:lang w:eastAsia="zh-CN"/>
        </w:rPr>
        <w:t>单位</w:t>
      </w:r>
      <w:r>
        <w:rPr>
          <w:rFonts w:hint="eastAsia" w:ascii="仿宋" w:hAnsi="仿宋" w:eastAsia="仿宋" w:cs="仿宋_GB2312"/>
          <w:sz w:val="32"/>
          <w:szCs w:val="32"/>
        </w:rPr>
        <w:t>制定了严格的考核奖惩机制，从制度上约束</w:t>
      </w:r>
      <w:r>
        <w:rPr>
          <w:rFonts w:hint="eastAsia" w:ascii="仿宋" w:hAnsi="仿宋" w:eastAsia="仿宋" w:cs="仿宋_GB2312"/>
          <w:sz w:val="32"/>
          <w:szCs w:val="32"/>
          <w:lang w:eastAsia="zh-CN"/>
        </w:rPr>
        <w:t>所有工作人员</w:t>
      </w:r>
      <w:r>
        <w:rPr>
          <w:rFonts w:hint="eastAsia" w:ascii="仿宋" w:hAnsi="仿宋" w:eastAsia="仿宋" w:cs="仿宋_GB2312"/>
          <w:sz w:val="32"/>
          <w:szCs w:val="32"/>
        </w:rPr>
        <w:t>努力工作，一是加强政治思想教育学习，提高政治觉悟，坚定政治立场；二是要加强业务知识学习，增强工作能力。三是加强经费使用管理，尤其是上级转移支付资金的使用，做到专款专用，</w:t>
      </w:r>
      <w:r>
        <w:rPr>
          <w:rFonts w:hint="eastAsia" w:ascii="仿宋" w:hAnsi="仿宋" w:eastAsia="仿宋" w:cs="仿宋_GB2312"/>
          <w:sz w:val="32"/>
          <w:szCs w:val="32"/>
          <w:lang w:val="en-US" w:eastAsia="zh-CN"/>
        </w:rPr>
        <w:t xml:space="preserve">                                                                                                                                                                                                                                                                                                                                                                                                                                                                                                                                   </w:t>
      </w:r>
      <w:r>
        <w:rPr>
          <w:rFonts w:hint="eastAsia" w:ascii="仿宋" w:hAnsi="仿宋" w:eastAsia="仿宋" w:cs="仿宋_GB2312"/>
          <w:sz w:val="32"/>
          <w:szCs w:val="32"/>
        </w:rPr>
        <w:t>杜绝浪费和其他项目开支。</w:t>
      </w:r>
    </w:p>
    <w:p>
      <w:pPr>
        <w:ind w:firstLine="645"/>
        <w:rPr>
          <w:rFonts w:ascii="楷体" w:hAnsi="楷体" w:eastAsia="楷体"/>
          <w:sz w:val="32"/>
          <w:szCs w:val="32"/>
        </w:rPr>
      </w:pPr>
      <w:r>
        <w:rPr>
          <w:rFonts w:hint="eastAsia" w:ascii="楷体" w:hAnsi="楷体" w:eastAsia="楷体"/>
          <w:sz w:val="32"/>
          <w:szCs w:val="32"/>
        </w:rPr>
        <w:t>（三）部门职责</w:t>
      </w:r>
      <w:r>
        <w:rPr>
          <w:rFonts w:ascii="楷体" w:hAnsi="楷体" w:eastAsia="楷体"/>
          <w:sz w:val="32"/>
          <w:szCs w:val="32"/>
        </w:rPr>
        <w:t>-</w:t>
      </w:r>
      <w:r>
        <w:rPr>
          <w:rFonts w:hint="eastAsia" w:ascii="楷体" w:hAnsi="楷体" w:eastAsia="楷体"/>
          <w:sz w:val="32"/>
          <w:szCs w:val="32"/>
        </w:rPr>
        <w:t>工作活动绩效目标</w:t>
      </w:r>
    </w:p>
    <w:p>
      <w:pPr>
        <w:jc w:val="center"/>
        <w:outlineLvl w:val="0"/>
        <w:rPr>
          <w:rFonts w:ascii="方正小标宋_GBK" w:eastAsia="方正小标宋_GBK"/>
          <w:sz w:val="32"/>
        </w:rPr>
      </w:pPr>
      <w:bookmarkStart w:id="0" w:name="_Toc510541470"/>
      <w:r>
        <w:rPr>
          <w:rFonts w:hint="eastAsia" w:ascii="方正小标宋_GBK" w:eastAsia="方正小标宋_GBK"/>
          <w:sz w:val="32"/>
        </w:rPr>
        <w:t>部门职责-工作活动绩效目标</w:t>
      </w:r>
      <w:bookmarkEnd w:id="0"/>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414</w:t>
            </w:r>
            <w:r>
              <w:rPr>
                <w:rFonts w:hint="eastAsia" w:ascii="方正小标宋_GBK" w:eastAsia="方正小标宋_GBK"/>
                <w:sz w:val="24"/>
              </w:rPr>
              <w:t>市场监督管理局</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一、工商管理事务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186.6</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运用行政与法律手段，对市场经营主体及市场行为进行行政指导、监督管理。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建立和维护市场秩序，服务地方经济发展。</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、市场监督管理</w:t>
            </w:r>
          </w:p>
        </w:tc>
        <w:tc>
          <w:tcPr>
            <w:tcW w:w="1276" w:type="dxa"/>
            <w:vMerge w:val="restart"/>
            <w:vAlign w:val="center"/>
          </w:tcPr>
          <w:p>
            <w:pPr>
              <w:spacing w:line="300" w:lineRule="exact"/>
              <w:jc w:val="left"/>
              <w:rPr>
                <w:rFonts w:ascii="方正书宋_GBK" w:eastAsia="方正书宋_GBK"/>
              </w:rPr>
            </w:pPr>
            <w:r>
              <w:rPr>
                <w:rFonts w:hint="eastAsia" w:ascii="方正书宋_GBK" w:eastAsia="方正书宋_GBK"/>
              </w:rPr>
              <w:t>98</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依法规范和维护全县各类市场经营秩序，监督管理市场交易行为和网络商品交易及有关服务的行为。依法实施合同行政监督管理，负责管理动产抵押登记，组织监管管理拍卖行为，依法查处合同欺诈等违法行为。</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增强各类市场诚信经营意识和规范网络交易管理，维护市场秩序。</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监管执法计划完成率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网络市场交易监管开展率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市场监管执法案件办结率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、市场主体登记与监管</w:t>
            </w:r>
          </w:p>
        </w:tc>
        <w:tc>
          <w:tcPr>
            <w:tcW w:w="1276" w:type="dxa"/>
            <w:vMerge w:val="restart"/>
            <w:vAlign w:val="center"/>
          </w:tcPr>
          <w:p>
            <w:pPr>
              <w:spacing w:line="300" w:lineRule="exact"/>
              <w:jc w:val="left"/>
              <w:rPr>
                <w:rFonts w:ascii="方正书宋_GBK" w:eastAsia="方正书宋_GBK"/>
              </w:rPr>
            </w:pPr>
            <w:r>
              <w:rPr>
                <w:rFonts w:hint="eastAsia" w:ascii="方正书宋_GBK" w:eastAsia="方正书宋_GBK"/>
              </w:rPr>
              <w:t>83.6</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全县各类企业、农民专业合作社和从事经营活动的单位、个人等市场主体的登记注册和监督管理，依法查处取缔无照经营，组织指导全县企业、个体工商户、商品交易市场信用分类管理。开展非公党建与安全生产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促进市场主体的快速增长。强化信用体系建设，构建</w:t>
            </w:r>
            <w:r>
              <w:rPr>
                <w:rFonts w:hint="cs" w:ascii="方正书宋_GBK" w:eastAsia="方正书宋_GBK"/>
                <w:cs/>
              </w:rPr>
              <w:t>“</w:t>
            </w:r>
            <w:r>
              <w:rPr>
                <w:rFonts w:hint="eastAsia" w:ascii="方正书宋_GBK" w:eastAsia="方正书宋_GBK"/>
              </w:rPr>
              <w:t>一处违法、处处受限</w:t>
            </w:r>
            <w:r>
              <w:rPr>
                <w:rFonts w:hint="cs" w:ascii="方正书宋_GBK" w:eastAsia="方正书宋_GBK"/>
                <w:cs/>
              </w:rPr>
              <w:t>”</w:t>
            </w:r>
            <w:r>
              <w:rPr>
                <w:rFonts w:hint="eastAsia" w:ascii="方正书宋_GBK" w:eastAsia="方正书宋_GBK"/>
              </w:rPr>
              <w:t>监管局面，为政府决策和社会公众提供信息服务。</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市场主体抽查率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开展市场主体登记等工作的宣传活动次数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&lt;3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内资、外资企业登记率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市场主体违法案件受理办结率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、流通领域商品质量监督管理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依法对流通领域商品质量（不含食品、农资、成品油）进行抽查检验，开展对生产资料、农资、成品油等进行分批次抽检。</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通过开展抽检工作，不断提升我县流通领域商品质量水平。保护农民利益，更好的维护正常的市场经济秩序。</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对流通领域商品违法案件处罚率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商品抽检率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农资、成品油抽检率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、商标广告监督管理</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5.00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实施全县商标管理工作，依法保护商标专用权和查处商标侵权行为，推荐和保护驰名商标，管理和保护特殊标志、官方标志以及著名商标，指导全县广告业发展，监督管理广告活动。</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开展全县商标管理工作。指导广告业发展，负责广告活动的监督管理工作。</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广告监测覆盖率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广告案件查处率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推荐驰名商标工作完成率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商标案件查处率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03"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二、执法办案</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2</w:t>
            </w:r>
            <w:r>
              <w:rPr>
                <w:rFonts w:ascii="方正书宋_GBK" w:eastAsia="方正书宋_GBK"/>
              </w:rPr>
              <w:t>4.00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依法查处违法直销和传销行为，依法监督管理直销企业和直销员及其直销活动；根据授权负责垄断协议、滥用市场支配地位、滥用行政权力排除限制竞争方面的反垄断执法工作。依法查处经济违法行为。</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严厉打击各类违法行为，更好地维护市场经济和社会秩序。</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、执法办案</w:t>
            </w:r>
          </w:p>
        </w:tc>
        <w:tc>
          <w:tcPr>
            <w:tcW w:w="1276" w:type="dxa"/>
            <w:vMerge w:val="restart"/>
            <w:vAlign w:val="center"/>
          </w:tcPr>
          <w:p>
            <w:pPr>
              <w:spacing w:line="300" w:lineRule="exact"/>
              <w:jc w:val="left"/>
              <w:rPr>
                <w:rFonts w:ascii="方正书宋_GBK" w:eastAsia="方正书宋_GBK"/>
              </w:rPr>
            </w:pPr>
            <w:r>
              <w:rPr>
                <w:rFonts w:hint="eastAsia" w:ascii="方正书宋_GBK" w:eastAsia="方正书宋_GBK"/>
              </w:rPr>
              <w:t>2</w:t>
            </w:r>
            <w:r>
              <w:rPr>
                <w:rFonts w:ascii="方正书宋_GBK" w:eastAsia="方正书宋_GBK"/>
              </w:rPr>
              <w:t>4.00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依法查处各类违法行为，组织开展专项执法行动，查处性质恶劣、跨区域、社会影响大、严重损害群众利益和破坏市场秩序的大案要案，开展与执法办案有关的各项工作，维护公平竞争的市场秩序。</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构建打击传销体系，促进社会和谐稳定，维护公平竞争的市场秩序。</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对企业行政指导工作次数（次</w:t>
            </w:r>
            <w:r>
              <w:rPr>
                <w:rFonts w:ascii="方正书宋_GBK" w:eastAsia="方正书宋_GBK"/>
              </w:rPr>
              <w:t>)</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&lt;2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执法案件查处率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上级授权反垄断案件查处率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三、消费者权益保护</w:t>
            </w:r>
          </w:p>
        </w:tc>
        <w:tc>
          <w:tcPr>
            <w:tcW w:w="1276" w:type="dxa"/>
            <w:vAlign w:val="center"/>
          </w:tcPr>
          <w:p>
            <w:pPr>
              <w:spacing w:line="300" w:lineRule="exact"/>
              <w:jc w:val="left"/>
              <w:rPr>
                <w:rFonts w:ascii="方正书宋_GBK" w:eastAsia="方正书宋_GBK"/>
              </w:rPr>
            </w:pPr>
            <w:r>
              <w:rPr>
                <w:rFonts w:ascii="方正书宋_GBK" w:eastAsia="方正书宋_GBK"/>
              </w:rPr>
              <w:t>5.00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开展全县消费者权益保护工作，查处侵害消费者权益的行为</w:t>
            </w:r>
            <w:r>
              <w:rPr>
                <w:rFonts w:ascii="方正书宋_GBK" w:eastAsia="方正书宋_GBK"/>
              </w:rPr>
              <w:t>;</w:t>
            </w:r>
            <w:r>
              <w:rPr>
                <w:rFonts w:hint="eastAsia" w:ascii="方正书宋_GBK" w:eastAsia="方正书宋_GBK"/>
              </w:rPr>
              <w:t>处理消费者和经营者投诉举报工作；调解消费纠纷工作；保护消费者合法权益，维护经营者正当利益。</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通过调解处理消费纠纷，组织开展查处侵害消费者合法权益案件，稳定社会秩序，为构建</w:t>
            </w:r>
            <w:r>
              <w:rPr>
                <w:rFonts w:hint="cs" w:ascii="方正书宋_GBK" w:eastAsia="方正书宋_GBK"/>
                <w:cs/>
              </w:rPr>
              <w:t>“</w:t>
            </w:r>
            <w:r>
              <w:rPr>
                <w:rFonts w:hint="eastAsia" w:ascii="方正书宋_GBK" w:eastAsia="方正书宋_GBK"/>
              </w:rPr>
              <w:t>和谐社会</w:t>
            </w:r>
            <w:r>
              <w:rPr>
                <w:rFonts w:hint="cs" w:ascii="方正书宋_GBK" w:eastAsia="方正书宋_GBK"/>
                <w:cs/>
              </w:rPr>
              <w:t>”</w:t>
            </w:r>
            <w:r>
              <w:rPr>
                <w:rFonts w:hint="eastAsia" w:ascii="方正书宋_GBK" w:eastAsia="方正书宋_GBK"/>
              </w:rPr>
              <w:t>做出积极的贡献。</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、消费者权益保护</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5.00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开展全县消费者权益保护工作，查处经营假冒伪劣商品等违法行为；开展查处侵害消费者权益的行为，处理消费者和经营者投诉举报，指导调解消费纠纷工作，保护消费者合法权益，维护经营者正当利益。</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建立、健全消费者权益保护机制，增强群众自我保护的消费维权意识，构建</w:t>
            </w:r>
            <w:r>
              <w:rPr>
                <w:rFonts w:hint="cs" w:ascii="方正书宋_GBK" w:eastAsia="方正书宋_GBK"/>
                <w:cs/>
              </w:rPr>
              <w:t>“</w:t>
            </w:r>
            <w:r>
              <w:rPr>
                <w:rFonts w:hint="eastAsia" w:ascii="方正书宋_GBK" w:eastAsia="方正书宋_GBK"/>
              </w:rPr>
              <w:t>和谐社会</w:t>
            </w:r>
            <w:r>
              <w:rPr>
                <w:rFonts w:hint="cs" w:ascii="方正书宋_GBK" w:eastAsia="方正书宋_GBK"/>
                <w:cs/>
              </w:rPr>
              <w:t>”</w:t>
            </w:r>
            <w:r>
              <w:rPr>
                <w:rFonts w:hint="eastAsia" w:ascii="方正书宋_GBK" w:eastAsia="方正书宋_GBK"/>
              </w:rPr>
              <w:t>。</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消费者权益宣传活动</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&lt;3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消费投诉办结率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四、工商政务管理</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211.6</w:t>
            </w:r>
            <w:r>
              <w:rPr>
                <w:rFonts w:ascii="方正书宋_GBK" w:eastAsia="方正书宋_GBK"/>
              </w:rPr>
              <w:t>.00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贯彻落实工商行政管理地方性法规、政府规章，拟订全县工商行政管理办法、措施和制度，加强工商队伍建设</w:t>
            </w:r>
            <w:r>
              <w:rPr>
                <w:rFonts w:ascii="方正书宋_GBK" w:eastAsia="方正书宋_GBK"/>
              </w:rPr>
              <w:t>,</w:t>
            </w:r>
            <w:r>
              <w:rPr>
                <w:rFonts w:hint="eastAsia" w:ascii="方正书宋_GBK" w:eastAsia="方正书宋_GBK"/>
              </w:rPr>
              <w:t>开展教育培训及法律服务工作，做好机关后勤保障等其他工作。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加强工商管理能力建设，完成各项工作任务。</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Merge w:val="restart"/>
            <w:vAlign w:val="center"/>
          </w:tcPr>
          <w:p>
            <w:pPr>
              <w:spacing w:line="300" w:lineRule="exact"/>
              <w:jc w:val="left"/>
              <w:rPr>
                <w:rFonts w:ascii="方正书宋_GBK" w:eastAsia="方正书宋_GBK"/>
              </w:rPr>
            </w:pPr>
            <w:r>
              <w:rPr>
                <w:rFonts w:hint="eastAsia" w:ascii="方正书宋_GBK" w:eastAsia="方正书宋_GBK"/>
              </w:rPr>
              <w:t>98.6</w:t>
            </w:r>
            <w:r>
              <w:rPr>
                <w:rFonts w:ascii="方正书宋_GBK" w:eastAsia="方正书宋_GBK"/>
              </w:rPr>
              <w:t>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开展全县工商系统人员宣传、教育、培训工作。进行工商行政执法、消保维权报道和舆论监督，开展工商文化建设工作，承办县政府交办其他事项。</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提高工商行政管理人员的业务能力、工作效率，加强科研和文化建设。</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培训人员人次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vAlign w:val="center"/>
          </w:tcPr>
          <w:p>
            <w:pPr>
              <w:spacing w:line="300" w:lineRule="exact"/>
              <w:jc w:val="center"/>
              <w:rPr>
                <w:rFonts w:ascii="方正书宋_GBK" w:eastAsia="方正书宋_GBK"/>
              </w:rPr>
            </w:pPr>
            <w:r>
              <w:rPr>
                <w:rFonts w:ascii="方正书宋_GBK" w:eastAsia="方正书宋_GBK"/>
              </w:rPr>
              <w:t>&lt;30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媒体稿件篇数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450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400</w:t>
            </w:r>
          </w:p>
        </w:tc>
        <w:tc>
          <w:tcPr>
            <w:tcW w:w="737" w:type="dxa"/>
            <w:vAlign w:val="center"/>
          </w:tcPr>
          <w:p>
            <w:pPr>
              <w:spacing w:line="300" w:lineRule="exact"/>
              <w:jc w:val="center"/>
              <w:rPr>
                <w:rFonts w:ascii="方正书宋_GBK" w:eastAsia="方正书宋_GBK"/>
              </w:rPr>
            </w:pPr>
            <w:r>
              <w:rPr>
                <w:rFonts w:ascii="方正书宋_GBK" w:eastAsia="方正书宋_GBK"/>
              </w:rPr>
              <w:t>&lt;400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vMerge w:val="restart"/>
            <w:vAlign w:val="center"/>
          </w:tcPr>
          <w:p>
            <w:pPr>
              <w:spacing w:line="300" w:lineRule="exact"/>
              <w:jc w:val="left"/>
              <w:rPr>
                <w:rFonts w:ascii="方正书宋_GBK" w:eastAsia="方正书宋_GBK"/>
              </w:rPr>
            </w:pPr>
            <w:r>
              <w:rPr>
                <w:rFonts w:hint="eastAsia" w:ascii="方正书宋_GBK" w:eastAsia="方正书宋_GBK"/>
              </w:rPr>
              <w:t>113</w:t>
            </w:r>
            <w:r>
              <w:rPr>
                <w:rFonts w:ascii="方正书宋_GBK" w:eastAsia="方正书宋_GBK"/>
              </w:rPr>
              <w:t>.00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对办公场所等设施进行运行维护，开展综合业务平台建设与维护工作，配发工商制服，进行设备购置，组织节能减排、车辆运行与管理、设备购置和管理、机关保安、保洁和环境绿化及养护等后勤服务。</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提升保障能力及管理水平，完成各项工作任务。</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信息平台建设达标率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办公场所、设备检修维护</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c>
          <w:tcPr>
            <w:tcW w:w="737" w:type="dxa"/>
            <w:vAlign w:val="center"/>
          </w:tcPr>
          <w:p>
            <w:pPr>
              <w:spacing w:line="300" w:lineRule="exact"/>
              <w:jc w:val="center"/>
              <w:rPr>
                <w:rFonts w:ascii="方正书宋_GBK" w:eastAsia="方正书宋_GBK"/>
              </w:rPr>
            </w:pP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&lt;4</w:t>
            </w:r>
          </w:p>
        </w:tc>
      </w:tr>
    </w:tbl>
    <w:p>
      <w:pPr>
        <w:ind w:firstLine="645"/>
        <w:jc w:val="center"/>
        <w:rPr>
          <w:rFonts w:ascii="仿宋" w:hAnsi="仿宋" w:eastAsia="仿宋"/>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88" w:firstLineChars="215"/>
        <w:rPr>
          <w:rFonts w:hint="eastAsia" w:ascii="仿宋" w:hAnsi="仿宋" w:eastAsia="仿宋"/>
          <w:sz w:val="32"/>
          <w:szCs w:val="32"/>
        </w:rPr>
      </w:pPr>
      <w:r>
        <w:rPr>
          <w:rFonts w:hint="eastAsia" w:ascii="仿宋" w:hAnsi="仿宋" w:eastAsia="仿宋"/>
          <w:sz w:val="32"/>
          <w:szCs w:val="32"/>
        </w:rPr>
        <w:t>2019年我部门安排政府采购预算</w:t>
      </w:r>
      <w:r>
        <w:rPr>
          <w:rFonts w:ascii="仿宋" w:hAnsi="仿宋" w:eastAsia="仿宋"/>
          <w:sz w:val="32"/>
          <w:szCs w:val="32"/>
        </w:rPr>
        <w:t>0</w:t>
      </w:r>
      <w:r>
        <w:rPr>
          <w:rFonts w:hint="eastAsia" w:ascii="仿宋" w:hAnsi="仿宋" w:eastAsia="仿宋"/>
          <w:sz w:val="32"/>
          <w:szCs w:val="32"/>
        </w:rPr>
        <w:t>万元。</w:t>
      </w:r>
    </w:p>
    <w:p>
      <w:pPr>
        <w:ind w:left="0" w:leftChars="0" w:right="0" w:rightChars="0" w:firstLine="0" w:firstLineChars="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部门政府采购预算</w:t>
      </w:r>
    </w:p>
    <w:p>
      <w:pPr>
        <w:ind w:left="0" w:leftChars="0" w:right="0" w:rightChars="0" w:firstLine="0" w:firstLineChars="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414  无极县市场监督管理局                                                     单位：万元</w:t>
      </w:r>
    </w:p>
    <w:tbl>
      <w:tblPr>
        <w:tblStyle w:val="4"/>
        <w:tblW w:w="1415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9"/>
        <w:gridCol w:w="1019"/>
        <w:gridCol w:w="1019"/>
        <w:gridCol w:w="1019"/>
        <w:gridCol w:w="1019"/>
        <w:gridCol w:w="1019"/>
        <w:gridCol w:w="1020"/>
        <w:gridCol w:w="1020"/>
        <w:gridCol w:w="1020"/>
        <w:gridCol w:w="1020"/>
        <w:gridCol w:w="1007"/>
        <w:gridCol w:w="998"/>
        <w:gridCol w:w="950"/>
        <w:gridCol w:w="10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38" w:type="dxa"/>
            <w:gridSpan w:val="2"/>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政府采购项目来源</w:t>
            </w:r>
          </w:p>
        </w:tc>
        <w:tc>
          <w:tcPr>
            <w:tcW w:w="1019" w:type="dxa"/>
            <w:vMerge w:val="restart"/>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采购物品名称</w:t>
            </w:r>
          </w:p>
        </w:tc>
        <w:tc>
          <w:tcPr>
            <w:tcW w:w="1019" w:type="dxa"/>
            <w:vMerge w:val="restart"/>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政府采购目录序号</w:t>
            </w:r>
          </w:p>
        </w:tc>
        <w:tc>
          <w:tcPr>
            <w:tcW w:w="1019" w:type="dxa"/>
            <w:vMerge w:val="restart"/>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数量单位</w:t>
            </w:r>
          </w:p>
        </w:tc>
        <w:tc>
          <w:tcPr>
            <w:tcW w:w="1019" w:type="dxa"/>
            <w:vMerge w:val="restart"/>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数量</w:t>
            </w:r>
          </w:p>
        </w:tc>
        <w:tc>
          <w:tcPr>
            <w:tcW w:w="1020" w:type="dxa"/>
            <w:vMerge w:val="restart"/>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单价</w:t>
            </w:r>
          </w:p>
        </w:tc>
        <w:tc>
          <w:tcPr>
            <w:tcW w:w="7017" w:type="dxa"/>
            <w:gridSpan w:val="7"/>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政府采购金额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Merge w:val="restart"/>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项目名称</w:t>
            </w:r>
          </w:p>
        </w:tc>
        <w:tc>
          <w:tcPr>
            <w:tcW w:w="1019" w:type="dxa"/>
            <w:vMerge w:val="restart"/>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预算资金</w:t>
            </w:r>
          </w:p>
        </w:tc>
        <w:tc>
          <w:tcPr>
            <w:tcW w:w="1019"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Merge w:val="restart"/>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总计</w:t>
            </w:r>
          </w:p>
        </w:tc>
        <w:tc>
          <w:tcPr>
            <w:tcW w:w="4995" w:type="dxa"/>
            <w:gridSpan w:val="5"/>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当年部门预算安排资金</w:t>
            </w:r>
          </w:p>
        </w:tc>
        <w:tc>
          <w:tcPr>
            <w:tcW w:w="1002" w:type="dxa"/>
            <w:vMerge w:val="restart"/>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其他渠道资金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5" w:hRule="atLeast"/>
        </w:trPr>
        <w:tc>
          <w:tcPr>
            <w:tcW w:w="1019"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合计</w:t>
            </w:r>
          </w:p>
        </w:tc>
        <w:tc>
          <w:tcPr>
            <w:tcW w:w="102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一般公共预算拨款</w:t>
            </w:r>
          </w:p>
        </w:tc>
        <w:tc>
          <w:tcPr>
            <w:tcW w:w="1007"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基金预算拨款</w:t>
            </w:r>
          </w:p>
        </w:tc>
        <w:tc>
          <w:tcPr>
            <w:tcW w:w="998"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财政专户核拨</w:t>
            </w:r>
          </w:p>
        </w:tc>
        <w:tc>
          <w:tcPr>
            <w:tcW w:w="95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其他来源收入</w:t>
            </w:r>
          </w:p>
        </w:tc>
        <w:tc>
          <w:tcPr>
            <w:tcW w:w="1002"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07"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998"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95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02"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07"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998"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95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02"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r>
    </w:tbl>
    <w:p>
      <w:pPr>
        <w:ind w:left="0" w:leftChars="0" w:right="0" w:rightChars="0" w:firstLine="0" w:firstLineChars="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注：我单位无政府采购，空表列示。</w:t>
      </w:r>
    </w:p>
    <w:p>
      <w:pPr>
        <w:ind w:firstLine="688" w:firstLineChars="215"/>
        <w:rPr>
          <w:rFonts w:hint="eastAsia" w:ascii="仿宋" w:hAnsi="仿宋" w:eastAsia="仿宋"/>
          <w:sz w:val="32"/>
          <w:szCs w:val="32"/>
        </w:rPr>
      </w:pPr>
    </w:p>
    <w:p>
      <w:pPr>
        <w:ind w:firstLine="645"/>
        <w:rPr>
          <w:rFonts w:ascii="黑体" w:hAnsi="黑体" w:eastAsia="黑体"/>
          <w:sz w:val="32"/>
          <w:szCs w:val="32"/>
        </w:rPr>
      </w:pPr>
      <w:r>
        <w:rPr>
          <w:rFonts w:hint="eastAsia" w:ascii="黑体" w:hAnsi="黑体" w:eastAsia="黑体"/>
          <w:sz w:val="32"/>
          <w:szCs w:val="32"/>
        </w:rPr>
        <w:t>七、国有资产信息</w:t>
      </w:r>
    </w:p>
    <w:p>
      <w:pPr>
        <w:pStyle w:val="7"/>
        <w:ind w:firstLine="640" w:firstLineChars="200"/>
        <w:rPr>
          <w:rFonts w:ascii="仿宋" w:hAnsi="仿宋" w:eastAsia="仿宋"/>
          <w:bCs/>
          <w:sz w:val="32"/>
          <w:szCs w:val="32"/>
          <w:lang w:eastAsia="zh-CN"/>
        </w:rPr>
      </w:pPr>
      <w:r>
        <w:rPr>
          <w:rFonts w:hint="eastAsia" w:ascii="仿宋" w:hAnsi="仿宋" w:eastAsia="仿宋"/>
          <w:sz w:val="32"/>
          <w:szCs w:val="32"/>
          <w:lang w:eastAsia="zh-CN"/>
        </w:rPr>
        <w:t>上年末单位固定资产8</w:t>
      </w:r>
      <w:r>
        <w:rPr>
          <w:rFonts w:hint="eastAsia" w:ascii="仿宋" w:hAnsi="仿宋" w:eastAsia="仿宋"/>
          <w:sz w:val="32"/>
          <w:szCs w:val="32"/>
          <w:lang w:val="en-US" w:eastAsia="zh-CN"/>
        </w:rPr>
        <w:t>64.2</w:t>
      </w:r>
      <w:r>
        <w:rPr>
          <w:rFonts w:hint="eastAsia" w:ascii="仿宋" w:hAnsi="仿宋" w:eastAsia="仿宋"/>
          <w:sz w:val="32"/>
          <w:szCs w:val="32"/>
          <w:lang w:eastAsia="zh-CN"/>
        </w:rPr>
        <w:t>万元（详见下表）。</w:t>
      </w:r>
    </w:p>
    <w:tbl>
      <w:tblPr>
        <w:tblStyle w:val="4"/>
        <w:tblW w:w="7563" w:type="dxa"/>
        <w:tblInd w:w="104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048"/>
        <w:gridCol w:w="1785"/>
        <w:gridCol w:w="27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7563"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rPr>
              <w:t>无极县县部门固定资产占用情况表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833" w:type="dxa"/>
            <w:gridSpan w:val="2"/>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编制部门：</w:t>
            </w:r>
            <w:r>
              <w:rPr>
                <w:rFonts w:hint="eastAsia"/>
              </w:rPr>
              <w:t>无极县市场监督管理局</w:t>
            </w:r>
          </w:p>
        </w:tc>
        <w:tc>
          <w:tcPr>
            <w:tcW w:w="2730" w:type="dxa"/>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201</w:t>
            </w:r>
            <w:r>
              <w:rPr>
                <w:rFonts w:hint="eastAsia" w:ascii="宋体" w:hAnsi="宋体" w:cs="宋体"/>
                <w:kern w:val="0"/>
                <w:sz w:val="22"/>
                <w:lang w:val="en-US" w:eastAsia="zh-CN"/>
              </w:rPr>
              <w:t>8</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04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178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2730"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048" w:type="dxa"/>
            <w:tcBorders>
              <w:top w:val="nil"/>
              <w:left w:val="single" w:color="auto" w:sz="4" w:space="0"/>
              <w:bottom w:val="single" w:color="auto" w:sz="4" w:space="0"/>
              <w:right w:val="single" w:color="auto" w:sz="4" w:space="0"/>
            </w:tcBorders>
            <w:vAlign w:val="center"/>
          </w:tcPr>
          <w:p>
            <w:pPr>
              <w:widowControl/>
              <w:jc w:val="center"/>
              <w:rPr>
                <w:rFonts w:ascii="宋体" w:cs="宋体"/>
                <w:kern w:val="0"/>
                <w:sz w:val="22"/>
              </w:rPr>
            </w:pPr>
            <w:r>
              <w:rPr>
                <w:rFonts w:hint="eastAsia" w:ascii="宋体" w:hAnsi="宋体" w:cs="宋体"/>
                <w:kern w:val="0"/>
                <w:sz w:val="22"/>
              </w:rPr>
              <w:t>资产总额</w:t>
            </w:r>
          </w:p>
        </w:tc>
        <w:tc>
          <w:tcPr>
            <w:tcW w:w="178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hAnsi="宋体" w:cs="宋体"/>
                <w:kern w:val="0"/>
                <w:sz w:val="22"/>
              </w:rPr>
              <w:t>——</w:t>
            </w:r>
          </w:p>
        </w:tc>
        <w:tc>
          <w:tcPr>
            <w:tcW w:w="2730"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864.2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048"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178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7363.83</w:t>
            </w:r>
          </w:p>
        </w:tc>
        <w:tc>
          <w:tcPr>
            <w:tcW w:w="2730"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518.6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048"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hint="eastAsia" w:ascii="宋体" w:hAnsi="宋体" w:cs="宋体"/>
                <w:kern w:val="0"/>
                <w:sz w:val="22"/>
              </w:rPr>
              <w:t>其中：办公用房（平方米）</w:t>
            </w:r>
          </w:p>
        </w:tc>
        <w:tc>
          <w:tcPr>
            <w:tcW w:w="178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3018.9</w:t>
            </w:r>
          </w:p>
        </w:tc>
        <w:tc>
          <w:tcPr>
            <w:tcW w:w="2730"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135.3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048"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178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7</w:t>
            </w:r>
          </w:p>
        </w:tc>
        <w:tc>
          <w:tcPr>
            <w:tcW w:w="2730"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67.3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048"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万元以上设备</w:t>
            </w:r>
          </w:p>
        </w:tc>
        <w:tc>
          <w:tcPr>
            <w:tcW w:w="178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hAnsi="宋体" w:cs="宋体"/>
                <w:kern w:val="0"/>
                <w:sz w:val="22"/>
              </w:rPr>
              <w:t>——</w:t>
            </w:r>
          </w:p>
        </w:tc>
        <w:tc>
          <w:tcPr>
            <w:tcW w:w="2730"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048"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178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hAnsi="宋体" w:cs="宋体"/>
                <w:kern w:val="0"/>
                <w:sz w:val="22"/>
              </w:rPr>
              <w:t>——</w:t>
            </w:r>
          </w:p>
        </w:tc>
        <w:tc>
          <w:tcPr>
            <w:tcW w:w="2730"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277.9</w:t>
            </w:r>
          </w:p>
          <w:p>
            <w:pPr>
              <w:widowControl/>
              <w:jc w:val="center"/>
              <w:rPr>
                <w:rFonts w:ascii="宋体" w:cs="宋体"/>
                <w:kern w:val="0"/>
                <w:sz w:val="22"/>
              </w:rPr>
            </w:pPr>
          </w:p>
        </w:tc>
      </w:tr>
    </w:tbl>
    <w:p>
      <w:pPr>
        <w:pStyle w:val="7"/>
        <w:ind w:firstLine="640" w:firstLineChars="200"/>
        <w:rPr>
          <w:rFonts w:ascii="仿宋" w:hAnsi="仿宋" w:eastAsia="仿宋"/>
          <w:sz w:val="32"/>
          <w:szCs w:val="32"/>
          <w:lang w:eastAsia="zh-CN"/>
        </w:rPr>
      </w:pPr>
      <w:r>
        <w:rPr>
          <w:rFonts w:hint="eastAsia" w:ascii="仿宋" w:hAnsi="仿宋" w:eastAsia="仿宋"/>
          <w:sz w:val="32"/>
          <w:szCs w:val="32"/>
          <w:lang w:eastAsia="zh-CN"/>
        </w:rPr>
        <w:t>本年度拟购置固定资产金额0万元。购置固定资产计划无。</w:t>
      </w:r>
    </w:p>
    <w:p/>
    <w:p>
      <w:pPr>
        <w:pStyle w:val="7"/>
        <w:ind w:firstLine="640" w:firstLineChars="200"/>
        <w:rPr>
          <w:rFonts w:ascii="黑体" w:hAnsi="黑体" w:eastAsia="黑体"/>
          <w:sz w:val="32"/>
          <w:szCs w:val="32"/>
          <w:lang w:eastAsia="zh-CN"/>
        </w:rPr>
      </w:pPr>
      <w:r>
        <w:rPr>
          <w:rFonts w:hint="eastAsia" w:ascii="黑体" w:hAnsi="黑体" w:eastAsia="黑体"/>
          <w:sz w:val="32"/>
          <w:szCs w:val="32"/>
          <w:lang w:eastAsia="zh-CN"/>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hint="eastAsia"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ind w:firstLine="720"/>
        <w:rPr>
          <w:rFonts w:hint="eastAsia" w:ascii="仿宋" w:hAnsi="仿宋" w:eastAsia="仿宋"/>
          <w:sz w:val="32"/>
          <w:szCs w:val="32"/>
        </w:rPr>
      </w:pPr>
      <w:r>
        <w:rPr>
          <w:rFonts w:hint="eastAsia" w:ascii="仿宋" w:hAnsi="仿宋" w:eastAsia="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720"/>
        <w:rPr>
          <w:rFonts w:hint="eastAsia" w:ascii="仿宋" w:hAnsi="仿宋" w:eastAsia="仿宋"/>
          <w:sz w:val="32"/>
          <w:szCs w:val="32"/>
        </w:rPr>
      </w:pPr>
      <w:r>
        <w:rPr>
          <w:rFonts w:hint="eastAsia" w:ascii="仿宋" w:hAnsi="仿宋" w:eastAsia="仿宋"/>
          <w:sz w:val="32"/>
          <w:szCs w:val="32"/>
        </w:rPr>
        <w:t>9、上年结转：指以前年度尚未完成、结转到本年仍按原规定用途继续使用的资金。</w:t>
      </w:r>
    </w:p>
    <w:p>
      <w:pPr>
        <w:ind w:firstLine="720"/>
        <w:rPr>
          <w:rFonts w:hint="eastAsia" w:ascii="仿宋" w:hAnsi="仿宋" w:eastAsia="仿宋"/>
          <w:sz w:val="32"/>
          <w:szCs w:val="32"/>
        </w:rPr>
      </w:pPr>
      <w:r>
        <w:rPr>
          <w:rFonts w:hint="eastAsia" w:ascii="仿宋" w:hAnsi="仿宋" w:eastAsia="仿宋"/>
          <w:sz w:val="32"/>
          <w:szCs w:val="32"/>
        </w:rPr>
        <w:t>10、事业单位经营支出：指事业单位在专业业务活动及其辅助活动之外开展非独立核算经营活动发生的支出。</w:t>
      </w:r>
      <w:bookmarkStart w:id="1" w:name="_GoBack"/>
      <w:bookmarkEnd w:id="1"/>
    </w:p>
    <w:p>
      <w:pPr>
        <w:ind w:firstLine="627" w:firstLineChars="196"/>
        <w:rPr>
          <w:rFonts w:ascii="黑体" w:hAnsi="黑体" w:eastAsia="黑体"/>
          <w:sz w:val="32"/>
          <w:szCs w:val="32"/>
        </w:rPr>
      </w:pPr>
      <w:r>
        <w:rPr>
          <w:rFonts w:hint="eastAsia" w:ascii="黑体" w:hAnsi="黑体" w:eastAsia="黑体"/>
          <w:sz w:val="32"/>
          <w:szCs w:val="32"/>
        </w:rPr>
        <w:t>九、其他需说明的事项</w:t>
      </w:r>
    </w:p>
    <w:p>
      <w:pPr>
        <w:ind w:firstLine="640" w:firstLineChars="200"/>
        <w:jc w:val="left"/>
        <w:rPr>
          <w:rFonts w:hint="default" w:ascii="仿宋" w:hAnsi="仿宋" w:eastAsia="仿宋"/>
          <w:sz w:val="32"/>
          <w:szCs w:val="32"/>
          <w:lang w:val="en-US" w:eastAsia="zh-CN"/>
        </w:rPr>
      </w:pPr>
      <w:r>
        <w:rPr>
          <w:rFonts w:hint="eastAsia" w:ascii="仿宋" w:hAnsi="仿宋" w:eastAsia="仿宋"/>
          <w:sz w:val="32"/>
          <w:szCs w:val="32"/>
          <w:lang w:val="en-US" w:eastAsia="zh-CN"/>
        </w:rPr>
        <w:t>本部门无其他需说明事项。</w:t>
      </w:r>
    </w:p>
    <w:p>
      <w:pPr>
        <w:outlineLvl w:val="0"/>
      </w:pPr>
    </w:p>
    <w:p/>
    <w:sectPr>
      <w:headerReference r:id="rId3" w:type="default"/>
      <w:pgSz w:w="16839" w:h="11907" w:orient="landscape"/>
      <w:pgMar w:top="1134" w:right="1021" w:bottom="1134" w:left="102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楷体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_GBK">
    <w:altName w:val="宋体"/>
    <w:panose1 w:val="00000000000000000000"/>
    <w:charset w:val="86"/>
    <w:family w:val="auto"/>
    <w:pitch w:val="default"/>
    <w:sig w:usb0="00000000" w:usb1="00000000" w:usb2="00000010" w:usb3="00000000" w:csb0="00040000" w:csb1="00000000"/>
  </w:font>
  <w:font w:name="方正书宋_GBK">
    <w:altName w:val="宋体"/>
    <w:panose1 w:val="00000000000000000000"/>
    <w:charset w:val="86"/>
    <w:family w:val="auto"/>
    <w:pitch w:val="default"/>
    <w:sig w:usb0="00000000" w:usb1="00000000" w:usb2="00000000"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1E8B091E"/>
    <w:rsid w:val="311E1D98"/>
    <w:rsid w:val="4114002E"/>
    <w:rsid w:val="49B15BA8"/>
    <w:rsid w:val="769F5EF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link w:val="6"/>
    <w:qFormat/>
    <w:uiPriority w:val="0"/>
    <w:pPr>
      <w:tabs>
        <w:tab w:val="center" w:pos="4153"/>
        <w:tab w:val="right" w:pos="8306"/>
      </w:tabs>
      <w:snapToGrid w:val="0"/>
      <w:jc w:val="left"/>
    </w:pPr>
    <w:rPr>
      <w:kern w:val="2"/>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脚 Char"/>
    <w:basedOn w:val="5"/>
    <w:link w:val="2"/>
    <w:semiHidden/>
    <w:qFormat/>
    <w:uiPriority w:val="0"/>
    <w:rPr>
      <w:kern w:val="2"/>
      <w:sz w:val="18"/>
      <w:szCs w:val="18"/>
    </w:rPr>
  </w:style>
  <w:style w:type="paragraph" w:customStyle="1" w:styleId="7">
    <w:name w:val="[Normal]"/>
    <w:qFormat/>
    <w:uiPriority w:val="0"/>
    <w:rPr>
      <w:rFonts w:ascii="宋体" w:hAnsi="Times New Roman" w:eastAsia="宋体" w:cs="Calibri"/>
      <w:sz w:val="24"/>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12</Pages>
  <Words>815</Words>
  <Characters>4646</Characters>
  <Lines>38</Lines>
  <Paragraphs>10</Paragraphs>
  <TotalTime>2</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2019-03-03T07:29:00Z</dcterms:created>
  <dc:creator>wh</dc:creator>
  <cp:lastModifiedBy>李润泽</cp:lastModifiedBy>
  <dcterms:modified xsi:type="dcterms:W3CDTF">2021-05-21T13:40:41Z</dcterms:modified>
  <dc:title>Windows User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D62ADAE13BF944DF9FB2CB25CC5C4C8C</vt:lpwstr>
  </property>
</Properties>
</file>