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p>
    <w:p>
      <w:pPr>
        <w:ind w:firstLine="4996" w:firstLineChars="1131"/>
        <w:rPr>
          <w:rFonts w:ascii="宋体" w:cs="宋体"/>
          <w:b/>
          <w:bCs/>
          <w:sz w:val="44"/>
          <w:szCs w:val="44"/>
        </w:rPr>
      </w:pPr>
      <w:r>
        <w:rPr>
          <w:rFonts w:hint="eastAsia" w:ascii="宋体" w:hAnsi="宋体" w:cs="宋体"/>
          <w:b/>
          <w:bCs/>
          <w:sz w:val="44"/>
          <w:szCs w:val="44"/>
        </w:rPr>
        <w:t>无极县人民法院</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9年部门预算信息公开说明目录</w:t>
      </w:r>
    </w:p>
    <w:p/>
    <w:p/>
    <w:p>
      <w:pPr>
        <w:ind w:firstLine="640" w:firstLineChars="200"/>
        <w:rPr>
          <w:rFonts w:ascii="宋体" w:hAnsi="宋体" w:eastAsia="宋体" w:cs="仿宋_GB2312"/>
          <w:sz w:val="32"/>
          <w:szCs w:val="32"/>
        </w:rPr>
      </w:pPr>
      <w:r>
        <w:rPr>
          <w:rFonts w:hint="eastAsia" w:ascii="宋体" w:hAnsi="宋体" w:eastAsia="宋体" w:cs="仿宋_GB2312"/>
          <w:sz w:val="32"/>
          <w:szCs w:val="32"/>
        </w:rPr>
        <w:t>一、部门职责及机构设置情况</w:t>
      </w:r>
    </w:p>
    <w:p>
      <w:pPr>
        <w:ind w:firstLine="640" w:firstLineChars="200"/>
        <w:rPr>
          <w:rFonts w:ascii="宋体" w:hAnsi="宋体" w:eastAsia="宋体" w:cs="仿宋_GB2312"/>
          <w:sz w:val="32"/>
          <w:szCs w:val="32"/>
        </w:rPr>
      </w:pPr>
      <w:r>
        <w:rPr>
          <w:rFonts w:hint="eastAsia" w:ascii="宋体" w:hAnsi="宋体" w:eastAsia="宋体" w:cs="仿宋_GB2312"/>
          <w:sz w:val="32"/>
          <w:szCs w:val="32"/>
        </w:rPr>
        <w:t>二、部门预算安排的总体情况</w:t>
      </w:r>
    </w:p>
    <w:p>
      <w:pPr>
        <w:ind w:firstLine="640" w:firstLineChars="200"/>
        <w:rPr>
          <w:rFonts w:ascii="宋体" w:hAnsi="宋体" w:eastAsia="宋体" w:cs="仿宋_GB2312"/>
          <w:sz w:val="32"/>
          <w:szCs w:val="32"/>
        </w:rPr>
      </w:pPr>
      <w:r>
        <w:rPr>
          <w:rFonts w:hint="eastAsia" w:ascii="宋体" w:hAnsi="宋体" w:eastAsia="宋体" w:cs="仿宋_GB2312"/>
          <w:sz w:val="32"/>
          <w:szCs w:val="32"/>
        </w:rPr>
        <w:t>三、机关运行经费安排情况</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五、绩效预算信息</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六、政府采购预算情况</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七、国有资产信息</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八、名词解释</w:t>
      </w:r>
    </w:p>
    <w:p>
      <w:pPr>
        <w:autoSpaceDE w:val="0"/>
        <w:autoSpaceDN w:val="0"/>
        <w:adjustRightInd w:val="0"/>
        <w:ind w:firstLine="640" w:firstLineChars="200"/>
        <w:jc w:val="left"/>
        <w:rPr>
          <w:rFonts w:ascii="宋体" w:hAnsi="宋体" w:eastAsia="宋体" w:cs="仿宋_GB2312"/>
          <w:sz w:val="32"/>
          <w:szCs w:val="32"/>
        </w:rPr>
      </w:pPr>
      <w:r>
        <w:rPr>
          <w:rFonts w:hint="eastAsia" w:ascii="宋体" w:hAnsi="宋体" w:eastAsia="宋体" w:cs="仿宋_GB2312"/>
          <w:sz w:val="32"/>
          <w:szCs w:val="32"/>
        </w:rPr>
        <w:t>九、其他需要说明的事项</w:t>
      </w:r>
    </w:p>
    <w:p>
      <w:pPr>
        <w:autoSpaceDE w:val="0"/>
        <w:autoSpaceDN w:val="0"/>
        <w:adjustRightInd w:val="0"/>
        <w:ind w:firstLine="640" w:firstLineChars="200"/>
        <w:jc w:val="left"/>
        <w:rPr>
          <w:rFonts w:ascii="宋体" w:hAnsi="宋体" w:cs="仿宋_GB2312"/>
          <w:sz w:val="32"/>
          <w:szCs w:val="32"/>
        </w:rPr>
      </w:pPr>
    </w:p>
    <w:p>
      <w:pPr>
        <w:autoSpaceDE w:val="0"/>
        <w:autoSpaceDN w:val="0"/>
        <w:adjustRightInd w:val="0"/>
        <w:ind w:firstLine="640" w:firstLineChars="200"/>
        <w:jc w:val="left"/>
        <w:rPr>
          <w:rFonts w:ascii="宋体" w:hAnsi="宋体" w:cs="仿宋_GB2312"/>
          <w:sz w:val="32"/>
          <w:szCs w:val="32"/>
        </w:rPr>
      </w:pP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按照《预算法》、《地方预决算公开操作规程》和《河北省省级预算公开办法》规定，现将无极县人民法院</w:t>
      </w:r>
      <w:r>
        <w:rPr>
          <w:rFonts w:ascii="仿宋_GB2312" w:hAnsi="仿宋" w:eastAsia="仿宋_GB2312" w:cs="仿宋"/>
          <w:sz w:val="32"/>
          <w:szCs w:val="32"/>
        </w:rPr>
        <w:t>201</w:t>
      </w:r>
      <w:r>
        <w:rPr>
          <w:rFonts w:hint="eastAsia" w:ascii="仿宋_GB2312" w:hAnsi="仿宋" w:eastAsia="仿宋_GB2312" w:cs="仿宋"/>
          <w:sz w:val="32"/>
          <w:szCs w:val="32"/>
        </w:rPr>
        <w:t>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pPr>
        <w:ind w:firstLine="645"/>
        <w:rPr>
          <w:rFonts w:ascii="仿宋" w:hAnsi="仿宋" w:eastAsia="仿宋" w:cs="仿宋_GB2312"/>
          <w:sz w:val="32"/>
          <w:szCs w:val="32"/>
        </w:rPr>
      </w:pP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部门机构设置情况</w:t>
      </w:r>
    </w:p>
    <w:tbl>
      <w:tblPr>
        <w:tblStyle w:val="4"/>
        <w:tblW w:w="9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639"/>
        <w:gridCol w:w="1485"/>
        <w:gridCol w:w="23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宋体" w:hAnsi="宋体" w:cs="宋体"/>
                <w:b/>
                <w:sz w:val="24"/>
              </w:rPr>
            </w:pPr>
            <w:r>
              <w:rPr>
                <w:rFonts w:hint="eastAsia" w:ascii="宋体" w:hAnsi="宋体" w:cs="宋体"/>
                <w:b/>
                <w:sz w:val="24"/>
              </w:rPr>
              <w:t>单位名称</w:t>
            </w:r>
          </w:p>
        </w:tc>
        <w:tc>
          <w:tcPr>
            <w:tcW w:w="1639" w:type="dxa"/>
            <w:vMerge w:val="restart"/>
            <w:vAlign w:val="center"/>
          </w:tcPr>
          <w:p>
            <w:pPr>
              <w:spacing w:line="300" w:lineRule="exact"/>
              <w:jc w:val="center"/>
              <w:rPr>
                <w:rFonts w:ascii="宋体" w:hAnsi="宋体" w:cs="宋体"/>
                <w:b/>
                <w:sz w:val="24"/>
              </w:rPr>
            </w:pPr>
            <w:r>
              <w:rPr>
                <w:rFonts w:hint="eastAsia" w:ascii="宋体" w:hAnsi="宋体" w:cs="宋体"/>
                <w:b/>
                <w:sz w:val="24"/>
              </w:rPr>
              <w:t>单位性质</w:t>
            </w:r>
          </w:p>
        </w:tc>
        <w:tc>
          <w:tcPr>
            <w:tcW w:w="1485" w:type="dxa"/>
            <w:vMerge w:val="restart"/>
            <w:vAlign w:val="center"/>
          </w:tcPr>
          <w:p>
            <w:pPr>
              <w:spacing w:line="300" w:lineRule="exact"/>
              <w:jc w:val="center"/>
              <w:rPr>
                <w:rFonts w:ascii="宋体" w:hAnsi="宋体" w:cs="宋体"/>
                <w:b/>
                <w:sz w:val="24"/>
              </w:rPr>
            </w:pPr>
            <w:r>
              <w:rPr>
                <w:rFonts w:hint="eastAsia" w:ascii="宋体" w:hAnsi="宋体" w:cs="宋体"/>
                <w:b/>
                <w:sz w:val="24"/>
              </w:rPr>
              <w:t>单位规格</w:t>
            </w:r>
          </w:p>
        </w:tc>
        <w:tc>
          <w:tcPr>
            <w:tcW w:w="2300" w:type="dxa"/>
            <w:vMerge w:val="restart"/>
            <w:vAlign w:val="center"/>
          </w:tcPr>
          <w:p>
            <w:pPr>
              <w:spacing w:line="300" w:lineRule="exact"/>
              <w:jc w:val="center"/>
              <w:rPr>
                <w:rFonts w:ascii="宋体" w:hAnsi="宋体" w:cs="宋体"/>
                <w:b/>
                <w:sz w:val="24"/>
              </w:rPr>
            </w:pPr>
            <w:r>
              <w:rPr>
                <w:rFonts w:hint="eastAsia" w:ascii="宋体" w:hAnsi="宋体" w:cs="宋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3827" w:type="dxa"/>
            <w:vMerge w:val="continue"/>
            <w:vAlign w:val="center"/>
          </w:tcPr>
          <w:p>
            <w:pPr>
              <w:spacing w:line="300" w:lineRule="exact"/>
              <w:jc w:val="left"/>
              <w:outlineLvl w:val="0"/>
              <w:rPr>
                <w:rFonts w:ascii="宋体" w:hAnsi="宋体" w:cs="宋体"/>
                <w:sz w:val="24"/>
              </w:rPr>
            </w:pPr>
          </w:p>
        </w:tc>
        <w:tc>
          <w:tcPr>
            <w:tcW w:w="1639" w:type="dxa"/>
            <w:vMerge w:val="continue"/>
            <w:vAlign w:val="center"/>
          </w:tcPr>
          <w:p>
            <w:pPr>
              <w:spacing w:line="300" w:lineRule="exact"/>
              <w:jc w:val="left"/>
              <w:outlineLvl w:val="0"/>
              <w:rPr>
                <w:rFonts w:ascii="宋体" w:hAnsi="宋体" w:cs="宋体"/>
                <w:sz w:val="24"/>
              </w:rPr>
            </w:pPr>
          </w:p>
        </w:tc>
        <w:tc>
          <w:tcPr>
            <w:tcW w:w="1485" w:type="dxa"/>
            <w:vMerge w:val="continue"/>
            <w:vAlign w:val="center"/>
          </w:tcPr>
          <w:p>
            <w:pPr>
              <w:spacing w:line="300" w:lineRule="exact"/>
              <w:jc w:val="left"/>
              <w:outlineLvl w:val="0"/>
              <w:rPr>
                <w:rFonts w:ascii="宋体" w:hAnsi="宋体" w:cs="宋体"/>
                <w:sz w:val="24"/>
              </w:rPr>
            </w:pPr>
          </w:p>
        </w:tc>
        <w:tc>
          <w:tcPr>
            <w:tcW w:w="2300" w:type="dxa"/>
            <w:vMerge w:val="continue"/>
            <w:vAlign w:val="center"/>
          </w:tcPr>
          <w:p>
            <w:pPr>
              <w:spacing w:line="300" w:lineRule="exact"/>
              <w:jc w:val="left"/>
              <w:outlineLvl w:val="0"/>
              <w:rPr>
                <w:rFonts w:ascii="宋体" w:hAnsi="宋体" w:cs="宋体"/>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3827" w:type="dxa"/>
            <w:vAlign w:val="center"/>
          </w:tcPr>
          <w:p>
            <w:pPr>
              <w:spacing w:line="300" w:lineRule="exact"/>
              <w:jc w:val="left"/>
              <w:rPr>
                <w:rFonts w:ascii="宋体" w:hAnsi="宋体" w:cs="宋体"/>
                <w:sz w:val="24"/>
              </w:rPr>
            </w:pPr>
            <w:r>
              <w:rPr>
                <w:rFonts w:hint="eastAsia" w:ascii="宋体" w:hAnsi="宋体" w:cs="宋体"/>
                <w:sz w:val="24"/>
              </w:rPr>
              <w:t>无极县人民法院</w:t>
            </w:r>
          </w:p>
        </w:tc>
        <w:tc>
          <w:tcPr>
            <w:tcW w:w="1639" w:type="dxa"/>
            <w:vAlign w:val="center"/>
          </w:tcPr>
          <w:p>
            <w:pPr>
              <w:spacing w:line="300" w:lineRule="exact"/>
              <w:jc w:val="center"/>
              <w:rPr>
                <w:rFonts w:ascii="宋体" w:hAnsi="宋体" w:cs="宋体"/>
                <w:sz w:val="24"/>
              </w:rPr>
            </w:pPr>
            <w:r>
              <w:rPr>
                <w:rFonts w:hint="eastAsia" w:ascii="宋体" w:hAnsi="宋体" w:cs="宋体"/>
                <w:sz w:val="24"/>
              </w:rPr>
              <w:t>行政</w:t>
            </w:r>
          </w:p>
        </w:tc>
        <w:tc>
          <w:tcPr>
            <w:tcW w:w="1485" w:type="dxa"/>
            <w:vAlign w:val="center"/>
          </w:tcPr>
          <w:p>
            <w:pPr>
              <w:spacing w:line="300" w:lineRule="exact"/>
              <w:jc w:val="center"/>
              <w:rPr>
                <w:rFonts w:ascii="宋体" w:hAnsi="宋体" w:cs="宋体"/>
                <w:sz w:val="24"/>
              </w:rPr>
            </w:pPr>
            <w:r>
              <w:rPr>
                <w:rFonts w:hint="eastAsia" w:ascii="宋体" w:hAnsi="宋体" w:cs="宋体"/>
                <w:sz w:val="24"/>
              </w:rPr>
              <w:t>副处级</w:t>
            </w:r>
          </w:p>
        </w:tc>
        <w:tc>
          <w:tcPr>
            <w:tcW w:w="2300" w:type="dxa"/>
            <w:vAlign w:val="center"/>
          </w:tcPr>
          <w:p>
            <w:pPr>
              <w:spacing w:line="300" w:lineRule="exact"/>
              <w:jc w:val="center"/>
              <w:rPr>
                <w:rFonts w:ascii="宋体" w:hAnsi="宋体" w:cs="宋体"/>
                <w:sz w:val="24"/>
              </w:rPr>
            </w:pPr>
            <w:r>
              <w:rPr>
                <w:rFonts w:hint="eastAsia" w:ascii="宋体" w:hAnsi="宋体" w:cs="宋体"/>
                <w:sz w:val="24"/>
              </w:rPr>
              <w:t>财政拨款</w:t>
            </w:r>
          </w:p>
        </w:tc>
      </w:tr>
    </w:tbl>
    <w:p>
      <w:pPr>
        <w:tabs>
          <w:tab w:val="left" w:pos="649"/>
          <w:tab w:val="center" w:pos="7039"/>
        </w:tabs>
        <w:jc w:val="left"/>
        <w:rPr>
          <w:rFonts w:ascii="仿宋_GB2312" w:hAnsi="仿宋_GB2312" w:eastAsia="仿宋_GB2312" w:cs="仿宋_GB2312"/>
          <w:sz w:val="32"/>
          <w:szCs w:val="32"/>
        </w:rPr>
      </w:pPr>
    </w:p>
    <w:p>
      <w:pPr>
        <w:tabs>
          <w:tab w:val="left" w:pos="649"/>
          <w:tab w:val="center" w:pos="7039"/>
        </w:tabs>
        <w:jc w:val="left"/>
        <w:rPr>
          <w:rFonts w:ascii="仿宋_GB2312" w:hAnsi="仿宋_GB2312" w:eastAsia="仿宋_GB2312"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_GB2312" w:hAnsi="仿宋_GB2312" w:eastAsia="仿宋_GB2312" w:cs="仿宋_GB2312"/>
          <w:sz w:val="30"/>
          <w:szCs w:val="30"/>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0"/>
          <w:szCs w:val="30"/>
        </w:rPr>
        <w:t>。</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无极县法院2019年预算收入总计1852.89万元，与2018年相比增加436.02万元，增加原因为项目支出增加。其中，一般公共预算收入1852.89万元、政府性基金收入0万元、财政专户核拨收入0万元，其他来源收入0万元。</w:t>
      </w:r>
    </w:p>
    <w:p>
      <w:pPr>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2019年预算支出1852.89万元。其中，人员经费支出1129.89万元，</w:t>
      </w:r>
      <w:r>
        <w:rPr>
          <w:rFonts w:hint="eastAsia" w:ascii="仿宋_GB2312" w:eastAsia="仿宋_GB2312" w:cs="仿宋_GB2312"/>
          <w:bCs/>
          <w:sz w:val="32"/>
          <w:szCs w:val="32"/>
          <w:lang w:val="en-US" w:eastAsia="zh-CN"/>
        </w:rPr>
        <w:t>日</w:t>
      </w:r>
      <w:r>
        <w:rPr>
          <w:rFonts w:hint="eastAsia" w:ascii="仿宋_GB2312" w:eastAsia="仿宋_GB2312" w:cs="仿宋_GB2312"/>
          <w:bCs/>
          <w:sz w:val="32"/>
          <w:szCs w:val="32"/>
        </w:rPr>
        <w:t>常公用经费38万元，项目支出685万元。</w:t>
      </w:r>
    </w:p>
    <w:p>
      <w:pPr>
        <w:numPr>
          <w:ilvl w:val="0"/>
          <w:numId w:val="2"/>
        </w:numPr>
        <w:ind w:firstLine="645"/>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_GB2312" w:eastAsia="仿宋_GB2312" w:cs="仿宋_GB2312"/>
          <w:bCs/>
          <w:sz w:val="32"/>
          <w:szCs w:val="32"/>
        </w:rPr>
      </w:pPr>
      <w:r>
        <w:rPr>
          <w:rFonts w:hint="eastAsia" w:ascii="仿宋_GB2312" w:eastAsia="仿宋_GB2312" w:cs="仿宋_GB2312"/>
          <w:bCs/>
          <w:sz w:val="32"/>
          <w:szCs w:val="32"/>
        </w:rPr>
        <w:t>2019年与2018年相比增加436.02万元，增加原因为项目支出增加、办公经费增加。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 w:hAnsi="仿宋" w:eastAsia="仿宋" w:cs="仿宋_GB2312"/>
          <w:sz w:val="32"/>
          <w:szCs w:val="32"/>
        </w:rPr>
        <w:t>201</w:t>
      </w:r>
      <w:r>
        <w:rPr>
          <w:rFonts w:hint="eastAsia" w:ascii="仿宋" w:hAnsi="仿宋" w:eastAsia="仿宋" w:cs="仿宋_GB2312"/>
          <w:sz w:val="32"/>
          <w:szCs w:val="32"/>
        </w:rPr>
        <w:t>9年机关运行经费共计安排</w:t>
      </w:r>
      <w:r>
        <w:rPr>
          <w:rFonts w:hint="eastAsia" w:ascii="仿宋" w:hAnsi="仿宋" w:eastAsia="仿宋" w:cs="仿宋_GB2312"/>
          <w:sz w:val="32"/>
          <w:szCs w:val="32"/>
          <w:lang w:val="en-US" w:eastAsia="zh-CN"/>
        </w:rPr>
        <w:t>38</w:t>
      </w:r>
      <w:r>
        <w:rPr>
          <w:rFonts w:hint="eastAsia" w:ascii="仿宋" w:hAnsi="仿宋" w:eastAsia="仿宋" w:cs="仿宋_GB2312"/>
          <w:sz w:val="32"/>
          <w:szCs w:val="32"/>
        </w:rPr>
        <w:t>万元，主要用于我部门日常办公、办公区水电费、日常维修、办公用房取暖费。</w:t>
      </w:r>
    </w:p>
    <w:p>
      <w:pPr>
        <w:numPr>
          <w:ilvl w:val="0"/>
          <w:numId w:val="3"/>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2019年，我部门财政拨款“三公”经费预算安排</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元，其中：因公出国（境）费0万元；公务用车购置及运维费</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万元（其中：公务用车购置费0万元，公务用车运行维护费</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万元)；公务接待费0万元。</w:t>
      </w:r>
      <w:bookmarkStart w:id="2" w:name="_GoBack"/>
      <w:r>
        <w:rPr>
          <w:rFonts w:hint="eastAsia" w:ascii="仿宋_GB2312" w:hAnsi="仿宋_GB2312" w:eastAsia="仿宋_GB2312" w:cs="仿宋_GB2312"/>
          <w:sz w:val="32"/>
          <w:szCs w:val="32"/>
        </w:rPr>
        <w:t>均与上年持平无增减变化。</w:t>
      </w:r>
      <w:bookmarkEnd w:id="2"/>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1、妥善审理经济转型过程中引发的各类矛盾纠纷，依法维护国家安全和社会稳定，严惩各类严重刑事犯罪，积极推进平安我县建设，营造良好的法治环境。</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2、改革涉诉信访工作，推动涉诉信访问题在法治轨道内解决；落实司法为民措施，保护被侵权人合法利益，促进国家机关依法行使职权。</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3、提高队伍素质和执法能力，高质高效完成各项工作。</w:t>
      </w:r>
    </w:p>
    <w:p>
      <w:pPr>
        <w:numPr>
          <w:ilvl w:val="0"/>
          <w:numId w:val="4"/>
        </w:numPr>
        <w:ind w:firstLine="645"/>
        <w:rPr>
          <w:rFonts w:ascii="楷体" w:hAnsi="楷体" w:eastAsia="楷体"/>
          <w:sz w:val="32"/>
          <w:szCs w:val="32"/>
        </w:rPr>
      </w:pPr>
      <w:r>
        <w:rPr>
          <w:rFonts w:hint="eastAsia" w:ascii="楷体" w:hAnsi="楷体" w:eastAsia="楷体"/>
          <w:sz w:val="32"/>
          <w:szCs w:val="32"/>
        </w:rPr>
        <w:t>职责分类绩效目标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1、依法惩治刑事犯罪，监督行政机关依法行政，促进社会和谐，维护社会稳定，服务全县工作大局，发挥服务保障职能。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2、积极推进执行工作，切实保障群众合法权益，维护社会公平正义。</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3、完善审判质效评估体系，促进审判质效、健全司法权力运行机制，提升司法公信力。</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4、为案件审判提供技术支撑，提高办案质量。</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5、保障信访工作正常进行，提高信访案件结案率、信访受理满意度，维护国家机关的正常工作秩序，做好稳控工作。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6、不断完善司法救助，切实保护民生，让人民群众感受到司法以人为本，享受到司法人文关怀。</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7、保护被侵害人的合法权益，促进行政机关依法行政。</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8、不断提高队伍素质和执法能力，推进信息公开，提升审判质效，改进司法工作作风，树立法院良好形象。</w:t>
      </w:r>
    </w:p>
    <w:p>
      <w:pPr>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9、高质高效完成年度各项工作。</w:t>
      </w:r>
    </w:p>
    <w:p>
      <w:pPr>
        <w:numPr>
          <w:ilvl w:val="0"/>
          <w:numId w:val="5"/>
        </w:numPr>
        <w:ind w:firstLine="645"/>
        <w:rPr>
          <w:rFonts w:hint="eastAsia" w:ascii="楷体" w:hAnsi="楷体" w:eastAsia="楷体"/>
          <w:sz w:val="32"/>
          <w:szCs w:val="32"/>
          <w:lang w:val="en-US" w:eastAsia="zh-CN"/>
        </w:rPr>
      </w:pPr>
      <w:r>
        <w:rPr>
          <w:rFonts w:hint="eastAsia" w:ascii="楷体" w:hAnsi="楷体" w:eastAsia="楷体"/>
          <w:sz w:val="32"/>
          <w:szCs w:val="32"/>
          <w:lang w:val="en-US" w:eastAsia="zh-CN"/>
        </w:rPr>
        <w:t>实现年度规划发展目标的保障措施</w:t>
      </w:r>
    </w:p>
    <w:p>
      <w:pPr>
        <w:autoSpaceDE w:val="0"/>
        <w:autoSpaceDN w:val="0"/>
        <w:adjustRightInd w:val="0"/>
        <w:ind w:firstLine="6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0"/>
          <w:szCs w:val="30"/>
          <w:lang w:val="en-US" w:eastAsia="zh-CN"/>
        </w:rPr>
        <w:t>为了更好的实现法院工作规划目标，我院制定了严格的考核机制，从制度上约束干警努力工作，为全院争先创优作出贡献。一是加强干警思想政治学习，提高政治站位、坚定政治立场；二是要加强业务知识学习，增强工作能力，防止冤假错案发生。三是加强经费使用管理，尤其是上级转移支付资金的使用，做到专款专用，严格把钱用到办案上。</w:t>
      </w:r>
    </w:p>
    <w:p>
      <w:pPr>
        <w:numPr>
          <w:ilvl w:val="0"/>
          <w:numId w:val="5"/>
        </w:numPr>
        <w:ind w:firstLine="645"/>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楷体_GB2312" w:hAnsi="楷体_GB2312" w:eastAsia="楷体_GB2312" w:cs="楷体_GB2312"/>
          <w:sz w:val="32"/>
        </w:rPr>
      </w:pPr>
      <w:bookmarkStart w:id="0" w:name="_Toc478456579"/>
      <w:r>
        <w:rPr>
          <w:rFonts w:hint="eastAsia" w:ascii="楷体_GB2312" w:hAnsi="楷体_GB2312" w:eastAsia="楷体_GB2312" w:cs="楷体_GB2312"/>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法院</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一、案件审判管理和执行</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依法审判法律规定由县级人民法院管辖的刑事、民事、行政等一审案件，依法办理发生法律效力判决、其他法律文书的执行，做好审判管理工作。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妥善审理经济转型过程中引发的各类矛盾纠纷，依法维护国家安全和社会稳定，严惩各类严重刑事犯罪，积极推进平安</w:t>
            </w:r>
            <w:r>
              <w:rPr>
                <w:rFonts w:ascii="方正书宋_GBK" w:eastAsia="方正书宋_GBK"/>
              </w:rPr>
              <w:t>XX</w:t>
            </w:r>
            <w:r>
              <w:rPr>
                <w:rFonts w:hint="eastAsia" w:ascii="方正书宋_GBK" w:eastAsia="方正书宋_GBK"/>
              </w:rPr>
              <w:t>建设，营造良好的法治环境。</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、案件审判</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依法审判一审刑事、民事、行政案件。</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依法惩治刑事犯罪，监督行政机关依法行政，促进社会和谐，维护社会稳定，服务全县工作大局，发挥服务保障职能。</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审限结案率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92%</w:t>
            </w:r>
          </w:p>
        </w:tc>
        <w:tc>
          <w:tcPr>
            <w:tcW w:w="737" w:type="dxa"/>
            <w:vAlign w:val="center"/>
          </w:tcPr>
          <w:p>
            <w:pPr>
              <w:spacing w:line="300" w:lineRule="exact"/>
              <w:jc w:val="center"/>
              <w:rPr>
                <w:rFonts w:ascii="方正书宋_GBK" w:eastAsia="方正书宋_GBK"/>
              </w:rPr>
            </w:pPr>
            <w:r>
              <w:rPr>
                <w:rFonts w:ascii="方正书宋_GBK" w:eastAsia="方正书宋_GBK"/>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平均审理天数（天）</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&gt;60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案件结案率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、案件判决执行</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执行本院已经发生法律效力的法律文书和法律规定由本院执行的其他生效法律文书及委托执行案件。</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积极推进执行工作，切实保障群众合法权益，维护社会公平正义。</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执行公开率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提前执结率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正常</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超出规定时间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执行案件结案率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、审判管理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规范、保障、促进审判执行工作，包括：案件信息管理、案件质量评估、案件质量评查、审判流程管理、审判运势分析等。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完善审判质效评估体系，促进审判质效、健全司法权力运行机制，提升司法公信力。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审判流程公开率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案件信息合格率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审判流程合规率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、司法技术辅助</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开展司法技术辅助工作。对审判工作技术咨询、技术审核服务，主要工作包括：对外委托鉴定、评估、审计、拍卖、组织专家审核等。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为案件审判提供技术支撑，提高办案质量。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司法鉴定工作办结率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&lt;60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司法技术辅助工作完成率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二、司法救助和国家赔偿</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完成涉法涉诉类案件的息诉罢访工作，依法办理国家赔偿案件。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改革涉诉信访工作，推动涉诉信访问题在法治轨道内解决；落实司法为民措施，保护被侵权人合法利益，促进国家机关依法行使职权。</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、涉法涉诉</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完成涉法涉诉类上访案件的息诉罢访工作，做好</w:t>
            </w:r>
            <w:r>
              <w:rPr>
                <w:rFonts w:hint="cs" w:ascii="方正书宋_GBK" w:eastAsia="方正书宋_GBK"/>
              </w:rPr>
              <w:t>“</w:t>
            </w:r>
            <w:r>
              <w:rPr>
                <w:rFonts w:hint="eastAsia" w:ascii="方正书宋_GBK" w:eastAsia="方正书宋_GBK"/>
              </w:rPr>
              <w:t>两会</w:t>
            </w:r>
            <w:r>
              <w:rPr>
                <w:rFonts w:hint="cs" w:ascii="方正书宋_GBK" w:eastAsia="方正书宋_GBK"/>
              </w:rPr>
              <w:t>”</w:t>
            </w:r>
            <w:r>
              <w:rPr>
                <w:rFonts w:hint="eastAsia" w:ascii="方正书宋_GBK" w:eastAsia="方正书宋_GBK"/>
              </w:rPr>
              <w:t>、重大活动期间的维稳工作，接待分流越级上访人员、协助处理到上级法院的集体访和闹访人员的稳控遣返工作。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保障信访工作正常进行，提高信访案件结案率、信访受理满意度，维护国家机关的正常工作秩序，做好稳控工作。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信访处理满意度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&lt;60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信访案件结案率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&lt;60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、司法救助</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对受到侵害但无法获得有效赔偿的当事人给予资助。</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不断完善司法救助，切实保护民生，让人民群众感受到司法以人为本，享受到司法人文关怀。</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化解矛盾率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&lt;60</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司法救助资金发放到位率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、国家赔偿</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依法办理国家赔偿案件，执行赔偿委员会决定事项，审查处理赔偿告诉申诉案件。主要工作包括调查、取证，审理。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保护被侵害人的合法权益，促进行政机关、司法机关依法履行职责。</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国家赔偿案件结案率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结案时间提前率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正常</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超出规定时间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国家赔偿案件办理工作完成率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三、法院事务管理</w:t>
            </w:r>
          </w:p>
        </w:tc>
        <w:tc>
          <w:tcPr>
            <w:tcW w:w="1276" w:type="dxa"/>
            <w:vAlign w:val="center"/>
          </w:tcPr>
          <w:p>
            <w:pPr>
              <w:spacing w:line="300" w:lineRule="exact"/>
              <w:jc w:val="left"/>
              <w:rPr>
                <w:rFonts w:ascii="方正书宋_GBK" w:eastAsia="方正书宋_GBK"/>
              </w:rPr>
            </w:pPr>
            <w:r>
              <w:rPr>
                <w:rFonts w:ascii="方正书宋_GBK" w:eastAsia="方正书宋_GBK"/>
              </w:rPr>
              <w:t>685.00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系统综合业务管理和综合事务管理。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提高队伍素质和执法能力，高质高效完成各项工作。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674.00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加强法院系统队伍建设，加强法院基础设施及信息化建设，加强培训及法院文化建设；总结人民法院审判业务工作经验，建立绩效考核制度，加强对外宣传以及舆论引导，树立法院良好形象。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不断提高队伍素质和执法能力，推进信息公开，提升审判质效，改进司法工作作风，树立法院良好形象。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11.00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领导全县人民法庭的监察工作；管理全县法庭司法行政工作；承办其它应由县级人民法院负责的工作。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高质高效完成年度各项工作。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各项保障工作完成率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2019年我部门安排政府采购预算60万元。</w:t>
      </w:r>
    </w:p>
    <w:p>
      <w:pPr>
        <w:jc w:val="center"/>
        <w:outlineLvl w:val="0"/>
        <w:rPr>
          <w:rFonts w:hint="eastAsia" w:ascii="方正小标宋_GBK" w:eastAsia="方正小标宋_GBK"/>
          <w:sz w:val="32"/>
        </w:rPr>
      </w:pPr>
      <w:bookmarkStart w:id="1" w:name="_Toc2533930"/>
      <w:r>
        <w:rPr>
          <w:rFonts w:hint="eastAsia" w:ascii="方正小标宋_GBK" w:eastAsia="方正小标宋_GBK"/>
          <w:sz w:val="32"/>
        </w:rPr>
        <w:t>部门政府采购预算</w:t>
      </w:r>
      <w:bookmarkEnd w:id="1"/>
    </w:p>
    <w:tbl>
      <w:tblPr>
        <w:tblStyle w:val="4"/>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法院</w:t>
            </w:r>
          </w:p>
        </w:tc>
        <w:tc>
          <w:tcPr>
            <w:tcW w:w="6693"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74"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8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6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6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8"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93"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99"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74" w:type="dxa"/>
            <w:vMerge w:val="continue"/>
            <w:vAlign w:val="center"/>
          </w:tcPr>
          <w:p>
            <w:pPr>
              <w:spacing w:line="300" w:lineRule="exact"/>
              <w:jc w:val="left"/>
              <w:outlineLvl w:val="0"/>
            </w:pPr>
          </w:p>
        </w:tc>
        <w:tc>
          <w:tcPr>
            <w:tcW w:w="986" w:type="dxa"/>
            <w:vMerge w:val="continue"/>
            <w:vAlign w:val="center"/>
          </w:tcPr>
          <w:p>
            <w:pPr>
              <w:spacing w:line="300" w:lineRule="exact"/>
              <w:jc w:val="left"/>
              <w:outlineLvl w:val="0"/>
            </w:pPr>
          </w:p>
        </w:tc>
        <w:tc>
          <w:tcPr>
            <w:tcW w:w="760" w:type="dxa"/>
            <w:vMerge w:val="continue"/>
            <w:vAlign w:val="center"/>
          </w:tcPr>
          <w:p>
            <w:pPr>
              <w:spacing w:line="300" w:lineRule="exact"/>
              <w:jc w:val="left"/>
              <w:outlineLvl w:val="0"/>
            </w:pPr>
          </w:p>
        </w:tc>
        <w:tc>
          <w:tcPr>
            <w:tcW w:w="760" w:type="dxa"/>
            <w:vMerge w:val="continue"/>
            <w:vAlign w:val="center"/>
          </w:tcPr>
          <w:p>
            <w:pPr>
              <w:spacing w:line="300" w:lineRule="exact"/>
              <w:jc w:val="left"/>
              <w:outlineLvl w:val="0"/>
            </w:pPr>
          </w:p>
        </w:tc>
        <w:tc>
          <w:tcPr>
            <w:tcW w:w="848" w:type="dxa"/>
            <w:vMerge w:val="continue"/>
            <w:vAlign w:val="center"/>
          </w:tcPr>
          <w:p>
            <w:pPr>
              <w:spacing w:line="300" w:lineRule="exact"/>
              <w:jc w:val="left"/>
              <w:outlineLvl w:val="0"/>
            </w:pPr>
          </w:p>
        </w:tc>
        <w:tc>
          <w:tcPr>
            <w:tcW w:w="961"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11"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21"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vAlign w:val="center"/>
          </w:tcPr>
          <w:p>
            <w:pPr>
              <w:spacing w:line="300" w:lineRule="exact"/>
              <w:jc w:val="left"/>
              <w:outlineLvl w:val="0"/>
            </w:pPr>
          </w:p>
        </w:tc>
        <w:tc>
          <w:tcPr>
            <w:tcW w:w="1099" w:type="dxa"/>
            <w:vMerge w:val="continue"/>
            <w:vAlign w:val="center"/>
          </w:tcPr>
          <w:p>
            <w:pPr>
              <w:spacing w:line="300" w:lineRule="exact"/>
              <w:jc w:val="left"/>
              <w:outlineLvl w:val="0"/>
            </w:pPr>
          </w:p>
        </w:tc>
        <w:tc>
          <w:tcPr>
            <w:tcW w:w="974" w:type="dxa"/>
            <w:vMerge w:val="continue"/>
            <w:vAlign w:val="center"/>
          </w:tcPr>
          <w:p>
            <w:pPr>
              <w:spacing w:line="300" w:lineRule="exact"/>
              <w:jc w:val="left"/>
              <w:outlineLvl w:val="0"/>
            </w:pPr>
          </w:p>
        </w:tc>
        <w:tc>
          <w:tcPr>
            <w:tcW w:w="986" w:type="dxa"/>
            <w:vMerge w:val="continue"/>
            <w:vAlign w:val="center"/>
          </w:tcPr>
          <w:p>
            <w:pPr>
              <w:spacing w:line="300" w:lineRule="exact"/>
              <w:jc w:val="left"/>
              <w:outlineLvl w:val="0"/>
            </w:pPr>
          </w:p>
        </w:tc>
        <w:tc>
          <w:tcPr>
            <w:tcW w:w="760" w:type="dxa"/>
            <w:vMerge w:val="continue"/>
            <w:vAlign w:val="center"/>
          </w:tcPr>
          <w:p>
            <w:pPr>
              <w:spacing w:line="300" w:lineRule="exact"/>
              <w:jc w:val="left"/>
              <w:outlineLvl w:val="0"/>
            </w:pPr>
          </w:p>
        </w:tc>
        <w:tc>
          <w:tcPr>
            <w:tcW w:w="760" w:type="dxa"/>
            <w:vMerge w:val="continue"/>
            <w:vAlign w:val="center"/>
          </w:tcPr>
          <w:p>
            <w:pPr>
              <w:spacing w:line="300" w:lineRule="exact"/>
              <w:jc w:val="left"/>
              <w:outlineLvl w:val="0"/>
            </w:pPr>
          </w:p>
        </w:tc>
        <w:tc>
          <w:tcPr>
            <w:tcW w:w="848" w:type="dxa"/>
            <w:vMerge w:val="continue"/>
            <w:vAlign w:val="center"/>
          </w:tcPr>
          <w:p>
            <w:pPr>
              <w:spacing w:line="300" w:lineRule="exact"/>
              <w:jc w:val="left"/>
              <w:outlineLvl w:val="0"/>
            </w:pPr>
          </w:p>
        </w:tc>
        <w:tc>
          <w:tcPr>
            <w:tcW w:w="961" w:type="dxa"/>
            <w:vMerge w:val="continue"/>
            <w:vAlign w:val="center"/>
          </w:tcPr>
          <w:p>
            <w:pPr>
              <w:spacing w:line="300" w:lineRule="exact"/>
              <w:jc w:val="left"/>
              <w:outlineLvl w:val="0"/>
            </w:pPr>
          </w:p>
        </w:tc>
        <w:tc>
          <w:tcPr>
            <w:tcW w:w="96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1"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1"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21"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99" w:type="dxa"/>
            <w:vAlign w:val="center"/>
          </w:tcPr>
          <w:p>
            <w:pPr>
              <w:spacing w:line="300" w:lineRule="exact"/>
              <w:jc w:val="right"/>
              <w:rPr>
                <w:rFonts w:ascii="方正书宋_GBK" w:eastAsia="方正书宋_GBK"/>
                <w:b/>
              </w:rPr>
            </w:pPr>
          </w:p>
        </w:tc>
        <w:tc>
          <w:tcPr>
            <w:tcW w:w="974" w:type="dxa"/>
            <w:vAlign w:val="center"/>
          </w:tcPr>
          <w:p>
            <w:pPr>
              <w:spacing w:line="300" w:lineRule="exact"/>
              <w:jc w:val="left"/>
              <w:rPr>
                <w:rFonts w:ascii="方正书宋_GBK" w:eastAsia="方正书宋_GBK"/>
                <w:b/>
              </w:rPr>
            </w:pPr>
          </w:p>
        </w:tc>
        <w:tc>
          <w:tcPr>
            <w:tcW w:w="986" w:type="dxa"/>
            <w:vAlign w:val="center"/>
          </w:tcPr>
          <w:p>
            <w:pPr>
              <w:spacing w:line="300" w:lineRule="exact"/>
              <w:jc w:val="left"/>
              <w:rPr>
                <w:rFonts w:ascii="方正书宋_GBK" w:eastAsia="方正书宋_GBK"/>
                <w:b/>
              </w:rPr>
            </w:pPr>
          </w:p>
        </w:tc>
        <w:tc>
          <w:tcPr>
            <w:tcW w:w="760" w:type="dxa"/>
            <w:vAlign w:val="center"/>
          </w:tcPr>
          <w:p>
            <w:pPr>
              <w:spacing w:line="300" w:lineRule="exact"/>
              <w:jc w:val="left"/>
              <w:rPr>
                <w:rFonts w:ascii="方正书宋_GBK" w:eastAsia="方正书宋_GBK"/>
                <w:b/>
              </w:rPr>
            </w:pPr>
          </w:p>
        </w:tc>
        <w:tc>
          <w:tcPr>
            <w:tcW w:w="760"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2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hint="eastAsia" w:ascii="方正书宋_GBK" w:eastAsia="方正书宋_GBK"/>
                <w:b/>
              </w:rPr>
            </w:pPr>
            <w:r>
              <w:rPr>
                <w:rFonts w:hint="eastAsia" w:ascii="方正书宋_GBK" w:eastAsia="方正书宋_GBK"/>
                <w:b/>
              </w:rPr>
              <w:t>无极县人民法院小计</w:t>
            </w:r>
          </w:p>
        </w:tc>
        <w:tc>
          <w:tcPr>
            <w:tcW w:w="1099" w:type="dxa"/>
            <w:vAlign w:val="center"/>
          </w:tcPr>
          <w:p>
            <w:pPr>
              <w:spacing w:line="300" w:lineRule="exact"/>
              <w:jc w:val="right"/>
              <w:rPr>
                <w:rFonts w:ascii="方正书宋_GBK" w:eastAsia="方正书宋_GBK"/>
                <w:b/>
              </w:rPr>
            </w:pPr>
          </w:p>
        </w:tc>
        <w:tc>
          <w:tcPr>
            <w:tcW w:w="974" w:type="dxa"/>
            <w:vAlign w:val="center"/>
          </w:tcPr>
          <w:p>
            <w:pPr>
              <w:spacing w:line="300" w:lineRule="exact"/>
              <w:jc w:val="left"/>
              <w:rPr>
                <w:rFonts w:ascii="方正书宋_GBK" w:eastAsia="方正书宋_GBK"/>
                <w:b/>
              </w:rPr>
            </w:pPr>
          </w:p>
        </w:tc>
        <w:tc>
          <w:tcPr>
            <w:tcW w:w="986" w:type="dxa"/>
            <w:vAlign w:val="center"/>
          </w:tcPr>
          <w:p>
            <w:pPr>
              <w:spacing w:line="300" w:lineRule="exact"/>
              <w:jc w:val="left"/>
              <w:rPr>
                <w:rFonts w:ascii="方正书宋_GBK" w:eastAsia="方正书宋_GBK"/>
                <w:b/>
              </w:rPr>
            </w:pPr>
          </w:p>
        </w:tc>
        <w:tc>
          <w:tcPr>
            <w:tcW w:w="760" w:type="dxa"/>
            <w:vAlign w:val="center"/>
          </w:tcPr>
          <w:p>
            <w:pPr>
              <w:spacing w:line="300" w:lineRule="exact"/>
              <w:jc w:val="left"/>
              <w:rPr>
                <w:rFonts w:ascii="方正书宋_GBK" w:eastAsia="方正书宋_GBK"/>
                <w:b/>
              </w:rPr>
            </w:pPr>
          </w:p>
        </w:tc>
        <w:tc>
          <w:tcPr>
            <w:tcW w:w="760" w:type="dxa"/>
            <w:vAlign w:val="center"/>
          </w:tcPr>
          <w:p>
            <w:pPr>
              <w:spacing w:line="300" w:lineRule="exact"/>
              <w:jc w:val="right"/>
              <w:rPr>
                <w:rFonts w:ascii="方正书宋_GBK" w:eastAsia="方正书宋_GBK"/>
                <w:b/>
              </w:rPr>
            </w:pPr>
          </w:p>
        </w:tc>
        <w:tc>
          <w:tcPr>
            <w:tcW w:w="848" w:type="dxa"/>
            <w:vAlign w:val="center"/>
          </w:tcPr>
          <w:p>
            <w:pPr>
              <w:spacing w:line="300" w:lineRule="exact"/>
              <w:jc w:val="right"/>
              <w:rPr>
                <w:rFonts w:ascii="方正书宋_GBK" w:eastAsia="方正书宋_GBK"/>
                <w:b/>
              </w:rPr>
            </w:pP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r>
              <w:rPr>
                <w:rFonts w:ascii="方正书宋_GBK" w:eastAsia="方正书宋_GBK"/>
                <w:b/>
              </w:rPr>
              <w:t>60.00</w:t>
            </w:r>
          </w:p>
        </w:tc>
        <w:tc>
          <w:tcPr>
            <w:tcW w:w="961"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2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hint="eastAsia" w:ascii="方正书宋_GBK" w:eastAsia="方正书宋_GBK"/>
              </w:rPr>
            </w:pPr>
            <w:r>
              <w:rPr>
                <w:rFonts w:hint="eastAsia" w:ascii="方正书宋_GBK" w:eastAsia="方正书宋_GBK"/>
              </w:rPr>
              <w:t>提前下达</w:t>
            </w:r>
            <w:r>
              <w:rPr>
                <w:rFonts w:ascii="方正书宋_GBK" w:eastAsia="方正书宋_GBK"/>
              </w:rPr>
              <w:t>2019</w:t>
            </w:r>
            <w:r>
              <w:rPr>
                <w:rFonts w:hint="eastAsia" w:ascii="方正书宋_GBK" w:eastAsia="方正书宋_GBK"/>
              </w:rPr>
              <w:t>年省级基层公检法司转移支付资金的通知</w:t>
            </w:r>
          </w:p>
        </w:tc>
        <w:tc>
          <w:tcPr>
            <w:tcW w:w="1099" w:type="dxa"/>
            <w:vAlign w:val="center"/>
          </w:tcPr>
          <w:p>
            <w:pPr>
              <w:spacing w:line="300" w:lineRule="exact"/>
              <w:jc w:val="right"/>
              <w:rPr>
                <w:rFonts w:ascii="方正书宋_GBK" w:eastAsia="方正书宋_GBK"/>
              </w:rPr>
            </w:pPr>
            <w:r>
              <w:rPr>
                <w:rFonts w:ascii="方正书宋_GBK" w:eastAsia="方正书宋_GBK"/>
              </w:rPr>
              <w:t>70.00</w:t>
            </w:r>
          </w:p>
        </w:tc>
        <w:tc>
          <w:tcPr>
            <w:tcW w:w="974" w:type="dxa"/>
            <w:vAlign w:val="center"/>
          </w:tcPr>
          <w:p>
            <w:pPr>
              <w:spacing w:line="300" w:lineRule="exact"/>
              <w:jc w:val="left"/>
              <w:rPr>
                <w:rFonts w:ascii="方正书宋_GBK" w:eastAsia="方正书宋_GBK"/>
              </w:rPr>
            </w:pPr>
            <w:r>
              <w:rPr>
                <w:rFonts w:hint="eastAsia" w:ascii="方正书宋_GBK" w:eastAsia="方正书宋_GBK"/>
              </w:rPr>
              <w:t>信息安全设备</w:t>
            </w:r>
          </w:p>
        </w:tc>
        <w:tc>
          <w:tcPr>
            <w:tcW w:w="986" w:type="dxa"/>
            <w:vAlign w:val="center"/>
          </w:tcPr>
          <w:p>
            <w:pPr>
              <w:spacing w:line="300" w:lineRule="exact"/>
              <w:jc w:val="left"/>
              <w:rPr>
                <w:rFonts w:ascii="方正书宋_GBK" w:eastAsia="方正书宋_GBK"/>
              </w:rPr>
            </w:pPr>
            <w:r>
              <w:rPr>
                <w:rFonts w:ascii="方正书宋_GBK" w:eastAsia="方正书宋_GBK"/>
              </w:rPr>
              <w:t>A020103</w:t>
            </w:r>
          </w:p>
        </w:tc>
        <w:tc>
          <w:tcPr>
            <w:tcW w:w="760" w:type="dxa"/>
            <w:vAlign w:val="center"/>
          </w:tcPr>
          <w:p>
            <w:pPr>
              <w:spacing w:line="300" w:lineRule="exact"/>
              <w:jc w:val="left"/>
              <w:rPr>
                <w:rFonts w:ascii="方正书宋_GBK" w:eastAsia="方正书宋_GBK"/>
              </w:rPr>
            </w:pPr>
          </w:p>
        </w:tc>
        <w:tc>
          <w:tcPr>
            <w:tcW w:w="760" w:type="dxa"/>
            <w:vAlign w:val="center"/>
          </w:tcPr>
          <w:p>
            <w:pPr>
              <w:spacing w:line="300" w:lineRule="exact"/>
              <w:jc w:val="right"/>
              <w:rPr>
                <w:rFonts w:ascii="方正书宋_GBK" w:eastAsia="方正书宋_GBK"/>
              </w:rPr>
            </w:pPr>
            <w:r>
              <w:rPr>
                <w:rFonts w:ascii="方正书宋_GBK" w:eastAsia="方正书宋_GBK"/>
              </w:rPr>
              <w:t>1.00</w:t>
            </w:r>
          </w:p>
        </w:tc>
        <w:tc>
          <w:tcPr>
            <w:tcW w:w="848" w:type="dxa"/>
            <w:vAlign w:val="center"/>
          </w:tcPr>
          <w:p>
            <w:pPr>
              <w:spacing w:line="300" w:lineRule="exact"/>
              <w:jc w:val="right"/>
              <w:rPr>
                <w:rFonts w:ascii="方正书宋_GBK" w:eastAsia="方正书宋_GBK"/>
              </w:rPr>
            </w:pPr>
            <w:r>
              <w:rPr>
                <w:rFonts w:ascii="方正书宋_GBK" w:eastAsia="方正书宋_GBK"/>
              </w:rPr>
              <w:t>35.00</w:t>
            </w:r>
          </w:p>
        </w:tc>
        <w:tc>
          <w:tcPr>
            <w:tcW w:w="961" w:type="dxa"/>
            <w:vAlign w:val="center"/>
          </w:tcPr>
          <w:p>
            <w:pPr>
              <w:spacing w:line="300" w:lineRule="exact"/>
              <w:jc w:val="right"/>
              <w:rPr>
                <w:rFonts w:ascii="方正书宋_GBK" w:eastAsia="方正书宋_GBK"/>
              </w:rPr>
            </w:pPr>
            <w:r>
              <w:rPr>
                <w:rFonts w:ascii="方正书宋_GBK" w:eastAsia="方正书宋_GBK"/>
              </w:rPr>
              <w:t>35.00</w:t>
            </w:r>
          </w:p>
        </w:tc>
        <w:tc>
          <w:tcPr>
            <w:tcW w:w="961" w:type="dxa"/>
            <w:vAlign w:val="center"/>
          </w:tcPr>
          <w:p>
            <w:pPr>
              <w:spacing w:line="300" w:lineRule="exact"/>
              <w:jc w:val="right"/>
              <w:rPr>
                <w:rFonts w:ascii="方正书宋_GBK" w:eastAsia="方正书宋_GBK"/>
              </w:rPr>
            </w:pPr>
            <w:r>
              <w:rPr>
                <w:rFonts w:ascii="方正书宋_GBK" w:eastAsia="方正书宋_GBK"/>
              </w:rPr>
              <w:t>35.00</w:t>
            </w:r>
          </w:p>
        </w:tc>
        <w:tc>
          <w:tcPr>
            <w:tcW w:w="961" w:type="dxa"/>
            <w:vAlign w:val="center"/>
          </w:tcPr>
          <w:p>
            <w:pPr>
              <w:spacing w:line="300" w:lineRule="exact"/>
              <w:jc w:val="right"/>
              <w:rPr>
                <w:rFonts w:ascii="方正书宋_GBK" w:eastAsia="方正书宋_GBK"/>
              </w:rPr>
            </w:pPr>
            <w:r>
              <w:rPr>
                <w:rFonts w:ascii="方正书宋_GBK" w:eastAsia="方正书宋_GBK"/>
              </w:rPr>
              <w:t>35.00</w:t>
            </w:r>
          </w:p>
        </w:tc>
        <w:tc>
          <w:tcPr>
            <w:tcW w:w="961" w:type="dxa"/>
            <w:vAlign w:val="center"/>
          </w:tcPr>
          <w:p>
            <w:pPr>
              <w:spacing w:line="300" w:lineRule="exact"/>
              <w:jc w:val="right"/>
              <w:rPr>
                <w:rFonts w:ascii="方正书宋_GBK" w:eastAsia="方正书宋_GBK"/>
              </w:rPr>
            </w:pPr>
          </w:p>
        </w:tc>
        <w:tc>
          <w:tcPr>
            <w:tcW w:w="964" w:type="dxa"/>
            <w:vAlign w:val="center"/>
          </w:tcPr>
          <w:p>
            <w:pPr>
              <w:spacing w:line="300" w:lineRule="exact"/>
              <w:jc w:val="right"/>
              <w:rPr>
                <w:rFonts w:ascii="方正书宋_GBK" w:eastAsia="方正书宋_GBK"/>
              </w:rPr>
            </w:pPr>
          </w:p>
        </w:tc>
        <w:tc>
          <w:tcPr>
            <w:tcW w:w="964" w:type="dxa"/>
            <w:vAlign w:val="center"/>
          </w:tcPr>
          <w:p>
            <w:pPr>
              <w:spacing w:line="300" w:lineRule="exact"/>
              <w:jc w:val="right"/>
              <w:rPr>
                <w:rFonts w:ascii="方正书宋_GBK" w:eastAsia="方正书宋_GBK"/>
              </w:rPr>
            </w:pPr>
          </w:p>
        </w:tc>
        <w:tc>
          <w:tcPr>
            <w:tcW w:w="92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hint="eastAsia" w:ascii="方正书宋_GBK" w:eastAsia="方正书宋_GBK"/>
              </w:rPr>
            </w:pPr>
            <w:r>
              <w:rPr>
                <w:rFonts w:hint="eastAsia" w:ascii="方正书宋_GBK" w:eastAsia="方正书宋_GBK"/>
              </w:rPr>
              <w:t>提前下达</w:t>
            </w:r>
            <w:r>
              <w:rPr>
                <w:rFonts w:ascii="方正书宋_GBK" w:eastAsia="方正书宋_GBK"/>
              </w:rPr>
              <w:t>2019</w:t>
            </w:r>
            <w:r>
              <w:rPr>
                <w:rFonts w:hint="eastAsia" w:ascii="方正书宋_GBK" w:eastAsia="方正书宋_GBK"/>
              </w:rPr>
              <w:t>年中央政法转移支付资金的通知</w:t>
            </w:r>
          </w:p>
        </w:tc>
        <w:tc>
          <w:tcPr>
            <w:tcW w:w="1099" w:type="dxa"/>
            <w:vAlign w:val="center"/>
          </w:tcPr>
          <w:p>
            <w:pPr>
              <w:spacing w:line="300" w:lineRule="exact"/>
              <w:jc w:val="right"/>
              <w:rPr>
                <w:rFonts w:ascii="方正书宋_GBK" w:eastAsia="方正书宋_GBK"/>
              </w:rPr>
            </w:pPr>
            <w:r>
              <w:rPr>
                <w:rFonts w:ascii="方正书宋_GBK" w:eastAsia="方正书宋_GBK"/>
              </w:rPr>
              <w:t>130.00</w:t>
            </w:r>
          </w:p>
        </w:tc>
        <w:tc>
          <w:tcPr>
            <w:tcW w:w="974" w:type="dxa"/>
            <w:vAlign w:val="center"/>
          </w:tcPr>
          <w:p>
            <w:pPr>
              <w:spacing w:line="300" w:lineRule="exact"/>
              <w:jc w:val="left"/>
              <w:rPr>
                <w:rFonts w:hint="eastAsia" w:ascii="方正书宋_GBK" w:eastAsia="方正书宋_GBK"/>
              </w:rPr>
            </w:pPr>
            <w:r>
              <w:rPr>
                <w:rFonts w:hint="eastAsia" w:ascii="方正书宋_GBK" w:eastAsia="方正书宋_GBK"/>
              </w:rPr>
              <w:t>计算机网络设备</w:t>
            </w:r>
          </w:p>
        </w:tc>
        <w:tc>
          <w:tcPr>
            <w:tcW w:w="986" w:type="dxa"/>
            <w:vAlign w:val="center"/>
          </w:tcPr>
          <w:p>
            <w:pPr>
              <w:spacing w:line="300" w:lineRule="exact"/>
              <w:jc w:val="left"/>
              <w:rPr>
                <w:rFonts w:ascii="方正书宋_GBK" w:eastAsia="方正书宋_GBK"/>
              </w:rPr>
            </w:pPr>
            <w:r>
              <w:rPr>
                <w:rFonts w:ascii="方正书宋_GBK" w:eastAsia="方正书宋_GBK"/>
              </w:rPr>
              <w:t>A020102</w:t>
            </w:r>
          </w:p>
        </w:tc>
        <w:tc>
          <w:tcPr>
            <w:tcW w:w="760" w:type="dxa"/>
            <w:vAlign w:val="center"/>
          </w:tcPr>
          <w:p>
            <w:pPr>
              <w:spacing w:line="300" w:lineRule="exact"/>
              <w:jc w:val="left"/>
              <w:rPr>
                <w:rFonts w:ascii="方正书宋_GBK" w:eastAsia="方正书宋_GBK"/>
              </w:rPr>
            </w:pPr>
          </w:p>
        </w:tc>
        <w:tc>
          <w:tcPr>
            <w:tcW w:w="760" w:type="dxa"/>
            <w:vAlign w:val="center"/>
          </w:tcPr>
          <w:p>
            <w:pPr>
              <w:spacing w:line="300" w:lineRule="exact"/>
              <w:jc w:val="right"/>
              <w:rPr>
                <w:rFonts w:ascii="方正书宋_GBK" w:eastAsia="方正书宋_GBK"/>
              </w:rPr>
            </w:pPr>
            <w:r>
              <w:rPr>
                <w:rFonts w:ascii="方正书宋_GBK" w:eastAsia="方正书宋_GBK"/>
              </w:rPr>
              <w:t>1.00</w:t>
            </w:r>
          </w:p>
        </w:tc>
        <w:tc>
          <w:tcPr>
            <w:tcW w:w="848" w:type="dxa"/>
            <w:vAlign w:val="center"/>
          </w:tcPr>
          <w:p>
            <w:pPr>
              <w:spacing w:line="300" w:lineRule="exact"/>
              <w:jc w:val="right"/>
              <w:rPr>
                <w:rFonts w:ascii="方正书宋_GBK" w:eastAsia="方正书宋_GBK"/>
              </w:rPr>
            </w:pPr>
            <w:r>
              <w:rPr>
                <w:rFonts w:ascii="方正书宋_GBK" w:eastAsia="方正书宋_GBK"/>
              </w:rPr>
              <w:t>25.00</w:t>
            </w:r>
          </w:p>
        </w:tc>
        <w:tc>
          <w:tcPr>
            <w:tcW w:w="961" w:type="dxa"/>
            <w:vAlign w:val="center"/>
          </w:tcPr>
          <w:p>
            <w:pPr>
              <w:spacing w:line="300" w:lineRule="exact"/>
              <w:jc w:val="right"/>
              <w:rPr>
                <w:rFonts w:ascii="方正书宋_GBK" w:eastAsia="方正书宋_GBK"/>
              </w:rPr>
            </w:pPr>
            <w:r>
              <w:rPr>
                <w:rFonts w:ascii="方正书宋_GBK" w:eastAsia="方正书宋_GBK"/>
              </w:rPr>
              <w:t>25.00</w:t>
            </w:r>
          </w:p>
        </w:tc>
        <w:tc>
          <w:tcPr>
            <w:tcW w:w="961" w:type="dxa"/>
            <w:vAlign w:val="center"/>
          </w:tcPr>
          <w:p>
            <w:pPr>
              <w:spacing w:line="300" w:lineRule="exact"/>
              <w:jc w:val="right"/>
              <w:rPr>
                <w:rFonts w:ascii="方正书宋_GBK" w:eastAsia="方正书宋_GBK"/>
              </w:rPr>
            </w:pPr>
            <w:r>
              <w:rPr>
                <w:rFonts w:ascii="方正书宋_GBK" w:eastAsia="方正书宋_GBK"/>
              </w:rPr>
              <w:t>25.00</w:t>
            </w:r>
          </w:p>
        </w:tc>
        <w:tc>
          <w:tcPr>
            <w:tcW w:w="961" w:type="dxa"/>
            <w:vAlign w:val="center"/>
          </w:tcPr>
          <w:p>
            <w:pPr>
              <w:spacing w:line="300" w:lineRule="exact"/>
              <w:jc w:val="right"/>
              <w:rPr>
                <w:rFonts w:ascii="方正书宋_GBK" w:eastAsia="方正书宋_GBK"/>
              </w:rPr>
            </w:pPr>
            <w:r>
              <w:rPr>
                <w:rFonts w:ascii="方正书宋_GBK" w:eastAsia="方正书宋_GBK"/>
              </w:rPr>
              <w:t>25.00</w:t>
            </w:r>
          </w:p>
        </w:tc>
        <w:tc>
          <w:tcPr>
            <w:tcW w:w="961" w:type="dxa"/>
            <w:vAlign w:val="center"/>
          </w:tcPr>
          <w:p>
            <w:pPr>
              <w:spacing w:line="300" w:lineRule="exact"/>
              <w:jc w:val="right"/>
              <w:rPr>
                <w:rFonts w:ascii="方正书宋_GBK" w:eastAsia="方正书宋_GBK"/>
              </w:rPr>
            </w:pPr>
          </w:p>
        </w:tc>
        <w:tc>
          <w:tcPr>
            <w:tcW w:w="964" w:type="dxa"/>
            <w:vAlign w:val="center"/>
          </w:tcPr>
          <w:p>
            <w:pPr>
              <w:spacing w:line="300" w:lineRule="exact"/>
              <w:jc w:val="right"/>
              <w:rPr>
                <w:rFonts w:ascii="方正书宋_GBK" w:eastAsia="方正书宋_GBK"/>
              </w:rPr>
            </w:pPr>
          </w:p>
        </w:tc>
        <w:tc>
          <w:tcPr>
            <w:tcW w:w="964" w:type="dxa"/>
            <w:vAlign w:val="center"/>
          </w:tcPr>
          <w:p>
            <w:pPr>
              <w:spacing w:line="300" w:lineRule="exact"/>
              <w:jc w:val="right"/>
              <w:rPr>
                <w:rFonts w:ascii="方正书宋_GBK" w:eastAsia="方正书宋_GBK"/>
              </w:rPr>
            </w:pPr>
          </w:p>
        </w:tc>
        <w:tc>
          <w:tcPr>
            <w:tcW w:w="921" w:type="dxa"/>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ind w:firstLine="645" w:firstLineChars="215"/>
        <w:rPr>
          <w:rFonts w:ascii="仿宋_GB2312" w:hAnsi="仿宋_GB2312" w:eastAsia="仿宋_GB2312" w:cs="仿宋_GB2312"/>
          <w:sz w:val="30"/>
          <w:szCs w:val="30"/>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9"/>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无极县审计局上年末固定资产为1612.998937万元（详见下表）。本年度拟购置固定资产为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0万元。</w:t>
      </w:r>
    </w:p>
    <w:p>
      <w:pPr>
        <w:pStyle w:val="9"/>
        <w:ind w:firstLine="640" w:firstLineChars="200"/>
        <w:rPr>
          <w:rFonts w:ascii="仿宋_GB2312" w:hAnsi="仿宋_GB2312" w:eastAsia="仿宋_GB2312" w:cs="仿宋_GB2312"/>
          <w:sz w:val="32"/>
          <w:szCs w:val="32"/>
          <w:lang w:eastAsia="zh-CN"/>
        </w:rPr>
      </w:pPr>
    </w:p>
    <w:p>
      <w:pPr>
        <w:pStyle w:val="9"/>
        <w:ind w:firstLine="640" w:firstLineChars="200"/>
        <w:rPr>
          <w:rFonts w:ascii="仿宋_GB2312" w:hAnsi="仿宋_GB2312" w:eastAsia="仿宋_GB2312" w:cs="仿宋_GB2312"/>
          <w:sz w:val="32"/>
          <w:szCs w:val="32"/>
          <w:lang w:eastAsia="zh-CN"/>
        </w:rPr>
      </w:pPr>
    </w:p>
    <w:p>
      <w:pPr>
        <w:pStyle w:val="9"/>
        <w:ind w:firstLine="640" w:firstLineChars="200"/>
        <w:rPr>
          <w:rFonts w:ascii="仿宋_GB2312" w:hAnsi="仿宋_GB2312" w:eastAsia="仿宋_GB2312" w:cs="仿宋_GB2312"/>
          <w:sz w:val="32"/>
          <w:szCs w:val="32"/>
          <w:lang w:eastAsia="zh-CN"/>
        </w:rPr>
      </w:pPr>
    </w:p>
    <w:p>
      <w:pPr>
        <w:pStyle w:val="9"/>
        <w:ind w:firstLine="643" w:firstLineChars="200"/>
        <w:jc w:val="center"/>
        <w:rPr>
          <w:rFonts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无极县人民法院固定资产占用情况表</w:t>
      </w:r>
    </w:p>
    <w:p>
      <w:pPr>
        <w:ind w:firstLine="640"/>
        <w:rPr>
          <w:rFonts w:ascii="仿宋_GB2312" w:hAnsi="黑体" w:eastAsia="仿宋_GB2312"/>
          <w:color w:val="FF0000"/>
          <w:sz w:val="32"/>
          <w:szCs w:val="32"/>
        </w:rPr>
      </w:pPr>
    </w:p>
    <w:tbl>
      <w:tblPr>
        <w:tblStyle w:val="4"/>
        <w:tblW w:w="10395" w:type="dxa"/>
        <w:tblInd w:w="186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615"/>
        <w:gridCol w:w="2955"/>
        <w:gridCol w:w="3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570" w:type="dxa"/>
            <w:gridSpan w:val="2"/>
            <w:tcBorders>
              <w:top w:val="nil"/>
              <w:left w:val="nil"/>
              <w:bottom w:val="nil"/>
              <w:right w:val="nil"/>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编制部门：</w:t>
            </w:r>
            <w:r>
              <w:rPr>
                <w:rFonts w:hint="eastAsia" w:ascii="仿宋_GB2312" w:hAnsi="仿宋_GB2312" w:eastAsia="仿宋_GB2312" w:cs="仿宋_GB2312"/>
              </w:rPr>
              <w:t>无极县人民法院</w:t>
            </w:r>
          </w:p>
        </w:tc>
        <w:tc>
          <w:tcPr>
            <w:tcW w:w="3825" w:type="dxa"/>
            <w:tcBorders>
              <w:top w:val="nil"/>
              <w:left w:val="nil"/>
              <w:bottom w:val="nil"/>
              <w:right w:val="nil"/>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截止时间：201</w:t>
            </w:r>
            <w:r>
              <w:rPr>
                <w:rFonts w:hint="eastAsia" w:ascii="仿宋_GB2312" w:hAnsi="仿宋_GB2312" w:eastAsia="仿宋_GB2312" w:cs="仿宋_GB2312"/>
                <w:kern w:val="0"/>
                <w:sz w:val="22"/>
                <w:lang w:val="en-US" w:eastAsia="zh-CN"/>
              </w:rPr>
              <w:t>8</w:t>
            </w:r>
            <w:r>
              <w:rPr>
                <w:rFonts w:hint="eastAsia" w:ascii="仿宋_GB2312" w:hAnsi="仿宋_GB2312" w:eastAsia="仿宋_GB2312" w:cs="仿宋_GB2312"/>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6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b/>
                <w:bCs/>
                <w:kern w:val="0"/>
                <w:sz w:val="22"/>
              </w:rPr>
            </w:pPr>
            <w:r>
              <w:rPr>
                <w:rFonts w:hint="eastAsia" w:ascii="仿宋_GB2312" w:hAnsi="仿宋_GB2312" w:eastAsia="仿宋_GB2312" w:cs="仿宋_GB2312"/>
                <w:b/>
                <w:bCs/>
                <w:kern w:val="0"/>
                <w:sz w:val="22"/>
              </w:rPr>
              <w:t>项目</w:t>
            </w:r>
          </w:p>
        </w:tc>
        <w:tc>
          <w:tcPr>
            <w:tcW w:w="2955"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b/>
                <w:bCs/>
                <w:kern w:val="0"/>
                <w:sz w:val="22"/>
              </w:rPr>
            </w:pPr>
            <w:r>
              <w:rPr>
                <w:rFonts w:hint="eastAsia" w:ascii="仿宋_GB2312" w:hAnsi="仿宋_GB2312" w:eastAsia="仿宋_GB2312" w:cs="仿宋_GB2312"/>
                <w:b/>
                <w:bCs/>
                <w:kern w:val="0"/>
                <w:sz w:val="22"/>
              </w:rPr>
              <w:t>数量</w:t>
            </w:r>
          </w:p>
        </w:tc>
        <w:tc>
          <w:tcPr>
            <w:tcW w:w="3825"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b/>
                <w:bCs/>
                <w:kern w:val="0"/>
                <w:sz w:val="22"/>
              </w:rPr>
            </w:pPr>
            <w:r>
              <w:rPr>
                <w:rFonts w:hint="eastAsia" w:ascii="仿宋_GB2312" w:hAnsi="仿宋_GB2312" w:eastAsia="仿宋_GB2312" w:cs="仿宋_GB2312"/>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615" w:type="dxa"/>
            <w:tcBorders>
              <w:top w:val="nil"/>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资产总额</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1612.998937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61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1、房屋（平方米）</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3676</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319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61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其中：办公用房（平方米）</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3676</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319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361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2、车辆（台、辆）</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33</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257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61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3、单价在20万元以上设备</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0" w:hRule="atLeast"/>
        </w:trPr>
        <w:tc>
          <w:tcPr>
            <w:tcW w:w="361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22"/>
              </w:rPr>
            </w:pPr>
            <w:r>
              <w:rPr>
                <w:rFonts w:hint="eastAsia" w:ascii="仿宋_GB2312" w:hAnsi="仿宋_GB2312" w:eastAsia="仿宋_GB2312" w:cs="仿宋_GB2312"/>
                <w:kern w:val="0"/>
                <w:sz w:val="22"/>
              </w:rPr>
              <w:t>4、其他固定资产</w:t>
            </w:r>
          </w:p>
        </w:tc>
        <w:tc>
          <w:tcPr>
            <w:tcW w:w="295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w:t>
            </w:r>
          </w:p>
        </w:tc>
        <w:tc>
          <w:tcPr>
            <w:tcW w:w="3825"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22"/>
              </w:rPr>
            </w:pPr>
            <w:r>
              <w:rPr>
                <w:rFonts w:hint="eastAsia" w:ascii="仿宋_GB2312" w:hAnsi="仿宋_GB2312" w:eastAsia="仿宋_GB2312" w:cs="仿宋_GB2312"/>
                <w:kern w:val="0"/>
                <w:sz w:val="22"/>
              </w:rPr>
              <w:t>717.998937</w:t>
            </w:r>
          </w:p>
        </w:tc>
      </w:tr>
    </w:tbl>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 w:hAnsi="仿宋" w:eastAsia="仿宋"/>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 w:hAnsi="仿宋" w:eastAsia="仿宋"/>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ind w:firstLine="7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7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3"/>
      <w:numFmt w:val="chineseCounting"/>
      <w:suff w:val="nothing"/>
      <w:lvlText w:val="（%1）"/>
      <w:lvlJc w:val="left"/>
    </w:lvl>
  </w:abstractNum>
  <w:abstractNum w:abstractNumId="1">
    <w:nsid w:val="00000007"/>
    <w:multiLevelType w:val="singleLevel"/>
    <w:tmpl w:val="00000007"/>
    <w:lvl w:ilvl="0" w:tentative="0">
      <w:start w:val="4"/>
      <w:numFmt w:val="chineseCounting"/>
      <w:suff w:val="nothing"/>
      <w:lvlText w:val="%1、"/>
      <w:lvlJc w:val="left"/>
    </w:lvl>
  </w:abstractNum>
  <w:abstractNum w:abstractNumId="2">
    <w:nsid w:val="0000000C"/>
    <w:multiLevelType w:val="singleLevel"/>
    <w:tmpl w:val="0000000C"/>
    <w:lvl w:ilvl="0" w:tentative="0">
      <w:start w:val="2"/>
      <w:numFmt w:val="chineseCounting"/>
      <w:suff w:val="nothing"/>
      <w:lvlText w:val="（%1）"/>
      <w:lvlJc w:val="left"/>
    </w:lvl>
  </w:abstractNum>
  <w:abstractNum w:abstractNumId="3">
    <w:nsid w:val="0000000D"/>
    <w:multiLevelType w:val="singleLevel"/>
    <w:tmpl w:val="0000000D"/>
    <w:lvl w:ilvl="0" w:tentative="0">
      <w:start w:val="3"/>
      <w:numFmt w:val="chineseCounting"/>
      <w:suff w:val="nothing"/>
      <w:lvlText w:val="（%1）"/>
      <w:lvlJc w:val="left"/>
    </w:lvl>
  </w:abstractNum>
  <w:abstractNum w:abstractNumId="4">
    <w:nsid w:val="0000000E"/>
    <w:multiLevelType w:val="singleLevel"/>
    <w:tmpl w:val="0000000E"/>
    <w:lvl w:ilvl="0" w:tentative="0">
      <w:start w:val="2"/>
      <w:numFmt w:val="chineseCounting"/>
      <w:suff w:val="nothing"/>
      <w:lvlText w:val="（%1）"/>
      <w:lvlJc w:val="left"/>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06182"/>
    <w:rsid w:val="3AA246D1"/>
    <w:rsid w:val="4CD77B39"/>
    <w:rsid w:val="60B63B2C"/>
    <w:rsid w:val="7F4A120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6">
    <w:name w:val="页脚 Char"/>
    <w:link w:val="2"/>
    <w:semiHidden/>
    <w:uiPriority w:val="0"/>
    <w:rPr>
      <w:rFonts w:ascii="Times New Roman" w:hAnsi="Times New Roman" w:eastAsia="宋体" w:cs="Times New Roman"/>
      <w:sz w:val="18"/>
      <w:szCs w:val="18"/>
    </w:rPr>
  </w:style>
  <w:style w:type="character" w:customStyle="1" w:styleId="7">
    <w:name w:val="页眉 Char"/>
    <w:link w:val="3"/>
    <w:semiHidden/>
    <w:uiPriority w:val="0"/>
    <w:rPr>
      <w:rFonts w:ascii="Times New Roman" w:hAnsi="Times New Roman" w:eastAsia="宋体" w:cs="Times New Roman"/>
      <w:sz w:val="18"/>
      <w:szCs w:val="18"/>
    </w:rPr>
  </w:style>
  <w:style w:type="paragraph" w:customStyle="1" w:styleId="8">
    <w:name w:val="列出段落1"/>
    <w:basedOn w:val="1"/>
    <w:qFormat/>
    <w:uiPriority w:val="0"/>
    <w:pPr>
      <w:ind w:firstLine="420" w:firstLineChars="200"/>
    </w:pPr>
  </w:style>
  <w:style w:type="paragraph" w:customStyle="1" w:styleId="9">
    <w:name w:val="[Normal]"/>
    <w:qFormat/>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12</Pages>
  <Words>713</Words>
  <Characters>4069</Characters>
  <Lines>33</Lines>
  <Paragraphs>9</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2017-08-23T09:42:00Z</dcterms:created>
  <dc:creator>微软用户</dc:creator>
  <cp:lastModifiedBy>李润泽</cp:lastModifiedBy>
  <dcterms:modified xsi:type="dcterms:W3CDTF">2021-05-21T13:36:17Z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0C2AE3D3E32F40EAB7F809F17433C33D</vt:lpwstr>
  </property>
</Properties>
</file>