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仿宋" w:hAnsi="仿宋" w:eastAsia="仿宋" w:cs="仿宋"/>
          <w:b/>
          <w:bCs/>
          <w:sz w:val="44"/>
          <w:szCs w:val="44"/>
        </w:rPr>
      </w:pPr>
      <w:r>
        <w:rPr>
          <w:rFonts w:hint="eastAsia" w:ascii="仿宋" w:hAnsi="仿宋" w:eastAsia="仿宋" w:cs="仿宋"/>
          <w:b/>
          <w:bCs/>
          <w:sz w:val="44"/>
          <w:szCs w:val="44"/>
        </w:rPr>
        <w:t>无极县财政局2020年预算信息公开情况说明</w:t>
      </w:r>
    </w:p>
    <w:p>
      <w:pPr>
        <w:ind w:firstLine="640"/>
        <w:rPr>
          <w:rFonts w:ascii="仿宋" w:hAnsi="仿宋" w:eastAsia="仿宋" w:cs="仿宋"/>
          <w:sz w:val="32"/>
          <w:szCs w:val="32"/>
        </w:rPr>
      </w:pPr>
    </w:p>
    <w:p>
      <w:pPr>
        <w:ind w:firstLine="640"/>
        <w:rPr>
          <w:rFonts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按照《预算法》、《地方预决算公开操作规程》和《河北省省级预算公开办法》规定，现将无极县财政局2020年部门预算公开如下：</w:t>
      </w:r>
    </w:p>
    <w:p>
      <w:pPr>
        <w:ind w:firstLine="640"/>
        <w:rPr>
          <w:rFonts w:ascii="黑体" w:hAnsi="黑体" w:eastAsia="黑体" w:cs="仿宋"/>
          <w:b/>
          <w:bCs/>
          <w:sz w:val="32"/>
          <w:szCs w:val="32"/>
        </w:rPr>
      </w:pPr>
      <w:r>
        <w:rPr>
          <w:rFonts w:hint="eastAsia" w:ascii="黑体" w:hAnsi="黑体" w:eastAsia="黑体" w:cs="仿宋"/>
          <w:b/>
          <w:bCs/>
          <w:sz w:val="32"/>
          <w:szCs w:val="32"/>
        </w:rPr>
        <w:t>一、部门职责及机构设置情况</w:t>
      </w:r>
    </w:p>
    <w:p>
      <w:pPr>
        <w:spacing w:line="500" w:lineRule="exact"/>
        <w:ind w:firstLine="643" w:firstLineChars="200"/>
        <w:jc w:val="left"/>
        <w:rPr>
          <w:rFonts w:ascii="仿宋" w:hAnsi="仿宋" w:eastAsia="仿宋" w:cs="仿宋"/>
          <w:sz w:val="32"/>
          <w:szCs w:val="32"/>
        </w:rPr>
      </w:pPr>
      <w:r>
        <w:rPr>
          <w:rFonts w:hint="eastAsia" w:ascii="仿宋" w:hAnsi="仿宋" w:eastAsia="仿宋" w:cs="仿宋"/>
          <w:b/>
          <w:bCs/>
          <w:sz w:val="32"/>
          <w:szCs w:val="32"/>
        </w:rPr>
        <w:t>部门职责：</w:t>
      </w:r>
      <w:r>
        <w:rPr>
          <w:rFonts w:hint="eastAsia" w:ascii="仿宋" w:hAnsi="仿宋" w:eastAsia="仿宋" w:cs="仿宋"/>
          <w:sz w:val="32"/>
          <w:szCs w:val="32"/>
        </w:rPr>
        <w:t>根据《财政局职能配置、内设机构和人员编制规定》， 财政局的主要职责是：</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（二）贯彻执行关于财政、税收、财务、会计管理方面的法律、法规、规章。</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（四）提出上级授权税目税率调整、减免和地方税收政策等重大事项的建议。组织推进税收制度改革。</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（五）按分工负责政府非税收入管理。负责政府性基金管理，按规定管理行政事业性收费。管理财政票据。贯彻实施彩票管理政策和有关办法，参与管理彩票市场，按规定管理彩票资金。</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（六）研究制定国库管理制度、国库集中收付制度，按规定开展国库资金现金管理工作。制定政府财务报告编制办法并组织实施。制定政府采购制度并监督管理。</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（七）拟订政府债务管理制度和办法并组织实施。负责政府债务限额管理，按规定组织政府债券申报、转贷和还本付息等工作。执行国家外债管理政策，管理县政府国外债务。开展对外财经交流。</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pPr>
        <w:spacing w:line="500" w:lineRule="exact"/>
        <w:ind w:firstLine="640" w:firstLineChars="200"/>
        <w:jc w:val="left"/>
        <w:rPr>
          <w:rFonts w:ascii="仿宋" w:hAnsi="仿宋" w:eastAsia="仿宋" w:cs="仿宋"/>
          <w:sz w:val="32"/>
          <w:szCs w:val="32"/>
        </w:rPr>
      </w:pPr>
    </w:p>
    <w:p>
      <w:pPr>
        <w:ind w:firstLine="643" w:firstLineChars="200"/>
        <w:rPr>
          <w:rFonts w:ascii="仿宋" w:hAnsi="仿宋" w:eastAsia="仿宋" w:cs="仿宋"/>
          <w:b/>
          <w:bCs/>
          <w:sz w:val="32"/>
          <w:szCs w:val="32"/>
        </w:rPr>
      </w:pPr>
      <w:r>
        <w:rPr>
          <w:rFonts w:hint="eastAsia" w:ascii="仿宋" w:hAnsi="仿宋" w:eastAsia="仿宋" w:cs="仿宋"/>
          <w:b/>
          <w:bCs/>
          <w:sz w:val="32"/>
          <w:szCs w:val="32"/>
        </w:rPr>
        <w:t>机构设置：</w:t>
      </w:r>
    </w:p>
    <w:p>
      <w:pPr>
        <w:jc w:val="center"/>
        <w:outlineLvl w:val="0"/>
        <w:rPr>
          <w:rFonts w:ascii="仿宋" w:hAnsi="仿宋" w:eastAsia="仿宋" w:cs="仿宋"/>
          <w:sz w:val="32"/>
          <w:szCs w:val="32"/>
        </w:rPr>
      </w:pPr>
      <w:r>
        <w:rPr>
          <w:rFonts w:hint="eastAsia" w:ascii="仿宋" w:hAnsi="仿宋" w:eastAsia="仿宋" w:cs="仿宋"/>
          <w:sz w:val="32"/>
          <w:szCs w:val="32"/>
        </w:rPr>
        <w:t>部门机构设置情况</w:t>
      </w:r>
    </w:p>
    <w:tbl>
      <w:tblPr>
        <w:tblStyle w:val="7"/>
        <w:tblpPr w:leftFromText="180" w:rightFromText="180" w:vertAnchor="text" w:horzAnchor="margin" w:tblpXSpec="left" w:tblpY="380"/>
        <w:tblOverlap w:val="never"/>
        <w:tblW w:w="934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97"/>
        <w:gridCol w:w="1849"/>
        <w:gridCol w:w="1638"/>
        <w:gridCol w:w="29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9" w:hRule="atLeast"/>
          <w:tblHeader/>
        </w:trPr>
        <w:tc>
          <w:tcPr>
            <w:tcW w:w="2897" w:type="dxa"/>
            <w:vAlign w:val="center"/>
          </w:tcPr>
          <w:p>
            <w:pPr>
              <w:tabs>
                <w:tab w:val="left" w:pos="1035"/>
                <w:tab w:val="center" w:pos="2173"/>
              </w:tabs>
              <w:spacing w:line="300" w:lineRule="exact"/>
              <w:jc w:val="center"/>
              <w:rPr>
                <w:rFonts w:ascii="仿宋" w:hAnsi="仿宋" w:eastAsia="仿宋" w:cs="仿宋"/>
                <w:sz w:val="24"/>
                <w:szCs w:val="24"/>
              </w:rPr>
            </w:pPr>
            <w:r>
              <w:rPr>
                <w:rFonts w:hint="eastAsia" w:ascii="仿宋" w:hAnsi="仿宋" w:eastAsia="仿宋" w:cs="仿宋"/>
                <w:b/>
                <w:sz w:val="24"/>
                <w:szCs w:val="24"/>
              </w:rPr>
              <w:t>单位名称</w:t>
            </w:r>
          </w:p>
        </w:tc>
        <w:tc>
          <w:tcPr>
            <w:tcW w:w="1849"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单位性质</w:t>
            </w:r>
          </w:p>
        </w:tc>
        <w:tc>
          <w:tcPr>
            <w:tcW w:w="1638"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单位规格</w:t>
            </w:r>
          </w:p>
        </w:tc>
        <w:tc>
          <w:tcPr>
            <w:tcW w:w="2956"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6" w:hRule="atLeast"/>
        </w:trPr>
        <w:tc>
          <w:tcPr>
            <w:tcW w:w="289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无极县财政局</w:t>
            </w:r>
          </w:p>
        </w:tc>
        <w:tc>
          <w:tcPr>
            <w:tcW w:w="1849"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行政</w:t>
            </w:r>
          </w:p>
        </w:tc>
        <w:tc>
          <w:tcPr>
            <w:tcW w:w="1638"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正科级</w:t>
            </w:r>
          </w:p>
        </w:tc>
        <w:tc>
          <w:tcPr>
            <w:tcW w:w="2956"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trPr>
        <w:tc>
          <w:tcPr>
            <w:tcW w:w="289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无极县农财服务中心</w:t>
            </w:r>
          </w:p>
        </w:tc>
        <w:tc>
          <w:tcPr>
            <w:tcW w:w="1849"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事业</w:t>
            </w:r>
          </w:p>
        </w:tc>
        <w:tc>
          <w:tcPr>
            <w:tcW w:w="1638"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正科级</w:t>
            </w:r>
          </w:p>
        </w:tc>
        <w:tc>
          <w:tcPr>
            <w:tcW w:w="2956"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89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无极县财政集中支付中心</w:t>
            </w:r>
          </w:p>
        </w:tc>
        <w:tc>
          <w:tcPr>
            <w:tcW w:w="1849"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事业</w:t>
            </w:r>
          </w:p>
        </w:tc>
        <w:tc>
          <w:tcPr>
            <w:tcW w:w="1638"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副科级</w:t>
            </w:r>
          </w:p>
        </w:tc>
        <w:tc>
          <w:tcPr>
            <w:tcW w:w="2956"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4" w:hRule="atLeast"/>
        </w:trPr>
        <w:tc>
          <w:tcPr>
            <w:tcW w:w="289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无极县财政稽查所</w:t>
            </w:r>
          </w:p>
        </w:tc>
        <w:tc>
          <w:tcPr>
            <w:tcW w:w="1849"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事业</w:t>
            </w:r>
          </w:p>
        </w:tc>
        <w:tc>
          <w:tcPr>
            <w:tcW w:w="1638"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副科级</w:t>
            </w:r>
          </w:p>
        </w:tc>
        <w:tc>
          <w:tcPr>
            <w:tcW w:w="2956"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trPr>
        <w:tc>
          <w:tcPr>
            <w:tcW w:w="289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无极县综合治税领导小组办公室</w:t>
            </w:r>
          </w:p>
        </w:tc>
        <w:tc>
          <w:tcPr>
            <w:tcW w:w="1849"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事业</w:t>
            </w:r>
          </w:p>
        </w:tc>
        <w:tc>
          <w:tcPr>
            <w:tcW w:w="1638"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副科级</w:t>
            </w:r>
          </w:p>
        </w:tc>
        <w:tc>
          <w:tcPr>
            <w:tcW w:w="2956"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财政性资金基本保证</w:t>
            </w:r>
          </w:p>
        </w:tc>
      </w:tr>
    </w:tbl>
    <w:p>
      <w:pPr>
        <w:ind w:firstLine="640"/>
        <w:rPr>
          <w:rFonts w:ascii="仿宋" w:hAnsi="仿宋" w:eastAsia="仿宋" w:cs="仿宋"/>
          <w:sz w:val="32"/>
          <w:szCs w:val="32"/>
        </w:rPr>
      </w:pPr>
    </w:p>
    <w:p>
      <w:pPr>
        <w:ind w:firstLine="640"/>
        <w:rPr>
          <w:rFonts w:ascii="黑体" w:hAnsi="黑体" w:eastAsia="黑体" w:cs="仿宋"/>
          <w:b/>
          <w:bCs/>
          <w:sz w:val="32"/>
          <w:szCs w:val="32"/>
        </w:rPr>
      </w:pPr>
      <w:r>
        <w:rPr>
          <w:rFonts w:hint="eastAsia" w:ascii="黑体" w:hAnsi="黑体" w:eastAsia="黑体" w:cs="仿宋"/>
          <w:b/>
          <w:bCs/>
          <w:sz w:val="32"/>
          <w:szCs w:val="32"/>
        </w:rPr>
        <w:t>二</w:t>
      </w:r>
      <w:r>
        <w:rPr>
          <w:rFonts w:hint="eastAsia" w:ascii="黑体" w:hAnsi="黑体" w:eastAsia="黑体" w:cs="仿宋"/>
          <w:bCs/>
          <w:sz w:val="32"/>
          <w:szCs w:val="32"/>
        </w:rPr>
        <w:t>、</w:t>
      </w:r>
      <w:r>
        <w:rPr>
          <w:rFonts w:hint="eastAsia" w:ascii="黑体" w:hAnsi="黑体" w:eastAsia="黑体" w:cs="仿宋"/>
          <w:b/>
          <w:bCs/>
          <w:sz w:val="32"/>
          <w:szCs w:val="32"/>
        </w:rPr>
        <w:t>部门预算安排的总体情况</w:t>
      </w:r>
    </w:p>
    <w:p>
      <w:pPr>
        <w:ind w:firstLine="640"/>
        <w:rPr>
          <w:rFonts w:ascii="仿宋" w:hAnsi="仿宋" w:eastAsia="仿宋" w:cs="仿宋"/>
          <w:sz w:val="32"/>
          <w:szCs w:val="32"/>
        </w:rPr>
      </w:pPr>
      <w:r>
        <w:rPr>
          <w:rFonts w:hint="eastAsia" w:ascii="仿宋" w:hAnsi="仿宋" w:eastAsia="仿宋" w:cs="仿宋"/>
          <w:sz w:val="32"/>
          <w:szCs w:val="32"/>
        </w:rPr>
        <w:t>按照预算管理有关规定，目前我单位预算的编制实行综合预算管理，即全部收入和支出都反映的预算中。无极县财政局的收支包含在部门预算中。</w:t>
      </w:r>
    </w:p>
    <w:p>
      <w:pPr>
        <w:ind w:firstLine="640"/>
        <w:rPr>
          <w:rFonts w:ascii="仿宋" w:hAnsi="仿宋" w:eastAsia="仿宋" w:cs="仿宋"/>
          <w:sz w:val="32"/>
          <w:szCs w:val="32"/>
        </w:rPr>
      </w:pPr>
      <w:r>
        <w:rPr>
          <w:rFonts w:hint="eastAsia" w:ascii="仿宋" w:hAnsi="仿宋" w:eastAsia="仿宋" w:cs="仿宋"/>
          <w:sz w:val="32"/>
          <w:szCs w:val="32"/>
        </w:rPr>
        <w:t>1、收入说明</w:t>
      </w:r>
    </w:p>
    <w:p>
      <w:pPr>
        <w:ind w:firstLine="640"/>
        <w:rPr>
          <w:rFonts w:ascii="仿宋" w:hAnsi="仿宋" w:eastAsia="仿宋" w:cs="仿宋"/>
          <w:sz w:val="32"/>
          <w:szCs w:val="32"/>
        </w:rPr>
      </w:pPr>
      <w:r>
        <w:rPr>
          <w:rFonts w:hint="eastAsia" w:ascii="仿宋" w:hAnsi="仿宋" w:eastAsia="仿宋" w:cs="仿宋"/>
          <w:sz w:val="32"/>
          <w:szCs w:val="32"/>
        </w:rPr>
        <w:t>反映本部门当年全部收入。2020年预算收入1540.5万元，其中：一般公共预算收入1540.5万元，基金预算收入0万元，财政专户核拨收入0万元，其他来源收入0万元。</w:t>
      </w:r>
    </w:p>
    <w:p>
      <w:pPr>
        <w:ind w:firstLine="640"/>
        <w:rPr>
          <w:rFonts w:ascii="仿宋" w:hAnsi="仿宋" w:eastAsia="仿宋" w:cs="仿宋"/>
          <w:sz w:val="32"/>
          <w:szCs w:val="32"/>
        </w:rPr>
      </w:pPr>
      <w:r>
        <w:rPr>
          <w:rFonts w:hint="eastAsia" w:ascii="仿宋" w:hAnsi="仿宋" w:eastAsia="仿宋" w:cs="仿宋"/>
          <w:sz w:val="32"/>
          <w:szCs w:val="32"/>
        </w:rPr>
        <w:t>2、支出说明</w:t>
      </w:r>
    </w:p>
    <w:p>
      <w:pPr>
        <w:ind w:firstLine="64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无极县财政局年度部门预算中支出预算的总体情况。2020年部门支出预算为1540.5万元，其中基本支出1087.5万元，包括人员经费975.7万元和日常公用经费111.8万元；项目支出453万元。主要为财政信息化建设支出160万元，电子票据改革支出20万元，省级农村财会人员培训支出8万元，两会材料支出25万元，政府工程项目地上附着物评估费50万元；政府工程项目预算评审费150万元，综合治税经费40万。</w:t>
      </w:r>
    </w:p>
    <w:p>
      <w:pPr>
        <w:ind w:firstLine="640"/>
        <w:rPr>
          <w:rFonts w:ascii="仿宋" w:hAnsi="仿宋" w:eastAsia="仿宋" w:cs="仿宋"/>
          <w:sz w:val="32"/>
          <w:szCs w:val="32"/>
        </w:rPr>
      </w:pPr>
      <w:r>
        <w:rPr>
          <w:rFonts w:hint="eastAsia" w:ascii="仿宋" w:hAnsi="仿宋" w:eastAsia="仿宋" w:cs="仿宋"/>
          <w:sz w:val="32"/>
          <w:szCs w:val="32"/>
        </w:rPr>
        <w:t>3、比上年增减情况</w:t>
      </w:r>
    </w:p>
    <w:p>
      <w:pPr>
        <w:ind w:firstLine="640"/>
        <w:rPr>
          <w:rFonts w:ascii="仿宋" w:hAnsi="仿宋" w:eastAsia="仿宋" w:cs="仿宋"/>
          <w:sz w:val="32"/>
          <w:szCs w:val="32"/>
        </w:rPr>
      </w:pPr>
      <w:r>
        <w:rPr>
          <w:rFonts w:hint="eastAsia" w:ascii="仿宋" w:hAnsi="仿宋" w:eastAsia="仿宋" w:cs="仿宋"/>
          <w:color w:val="000000"/>
          <w:sz w:val="32"/>
          <w:szCs w:val="32"/>
        </w:rPr>
        <w:t>2020年部门预算收支安排1540.5万元，</w:t>
      </w:r>
      <w:r>
        <w:rPr>
          <w:rFonts w:hint="eastAsia" w:ascii="仿宋" w:hAnsi="仿宋" w:eastAsia="仿宋" w:cs="仿宋"/>
          <w:sz w:val="32"/>
          <w:szCs w:val="32"/>
        </w:rPr>
        <w:t>较2019年增加235.15万元，其中：基本支出增加205.33万元，主要是人员增加，相应增加人员经费和日常公用经费；项目支出增加29.82万元，主要是增加委托业务；其他支出无增减变化。</w:t>
      </w:r>
    </w:p>
    <w:p>
      <w:pPr>
        <w:autoSpaceDE w:val="0"/>
        <w:autoSpaceDN w:val="0"/>
        <w:adjustRightInd w:val="0"/>
        <w:ind w:left="198" w:firstLine="643" w:firstLineChars="200"/>
        <w:jc w:val="left"/>
        <w:rPr>
          <w:rFonts w:ascii="黑体" w:hAnsi="黑体" w:eastAsia="黑体" w:cs="仿宋"/>
          <w:b/>
          <w:bCs/>
          <w:sz w:val="32"/>
          <w:szCs w:val="32"/>
        </w:rPr>
      </w:pPr>
      <w:r>
        <w:rPr>
          <w:rFonts w:hint="eastAsia" w:ascii="黑体" w:hAnsi="黑体" w:eastAsia="黑体" w:cs="仿宋"/>
          <w:b/>
          <w:bCs/>
          <w:sz w:val="32"/>
          <w:szCs w:val="32"/>
        </w:rPr>
        <w:t>三、机关运行经费安排情况</w:t>
      </w:r>
    </w:p>
    <w:p>
      <w:pPr>
        <w:autoSpaceDE w:val="0"/>
        <w:autoSpaceDN w:val="0"/>
        <w:adjustRightInd w:val="0"/>
        <w:ind w:left="198" w:firstLine="640" w:firstLineChars="200"/>
        <w:jc w:val="left"/>
        <w:rPr>
          <w:rFonts w:ascii="仿宋" w:hAnsi="仿宋" w:eastAsia="仿宋" w:cs="仿宋"/>
          <w:b/>
          <w:bCs/>
          <w:sz w:val="32"/>
          <w:szCs w:val="32"/>
        </w:rPr>
      </w:pPr>
      <w:r>
        <w:rPr>
          <w:rFonts w:hint="eastAsia" w:ascii="仿宋" w:hAnsi="仿宋" w:eastAsia="仿宋" w:cs="仿宋"/>
          <w:sz w:val="32"/>
          <w:szCs w:val="32"/>
        </w:rPr>
        <w:t>2020年，我部门机关运行经费共计安排111.8万元，主要用于保证机关正常运转的办公及印刷费、邮电费、差旅费、会议费、福利费、办公用房取暖费、日常维修费、公务车运行维护费等支出。</w:t>
      </w:r>
    </w:p>
    <w:p>
      <w:pPr>
        <w:autoSpaceDE w:val="0"/>
        <w:autoSpaceDN w:val="0"/>
        <w:adjustRightInd w:val="0"/>
        <w:ind w:left="198" w:firstLine="640" w:firstLineChars="200"/>
        <w:jc w:val="left"/>
        <w:rPr>
          <w:rFonts w:ascii="黑体" w:hAnsi="黑体" w:eastAsia="黑体" w:cs="仿宋"/>
          <w:bCs/>
          <w:sz w:val="32"/>
          <w:szCs w:val="32"/>
        </w:rPr>
      </w:pPr>
      <w:r>
        <w:rPr>
          <w:rFonts w:hint="eastAsia" w:ascii="黑体" w:hAnsi="黑体" w:eastAsia="黑体" w:cs="仿宋"/>
          <w:bCs/>
          <w:sz w:val="32"/>
          <w:szCs w:val="32"/>
        </w:rPr>
        <w:t>四、财政拨款“三公”经费预算情况及增减变化原因</w:t>
      </w:r>
    </w:p>
    <w:p>
      <w:pPr>
        <w:autoSpaceDE w:val="0"/>
        <w:autoSpaceDN w:val="0"/>
        <w:adjustRightInd w:val="0"/>
        <w:ind w:left="198" w:firstLine="640" w:firstLineChars="200"/>
        <w:jc w:val="left"/>
        <w:rPr>
          <w:rFonts w:ascii="仿宋" w:hAnsi="仿宋" w:eastAsia="仿宋" w:cs="仿宋"/>
          <w:sz w:val="32"/>
          <w:szCs w:val="32"/>
        </w:rPr>
      </w:pPr>
      <w:r>
        <w:rPr>
          <w:rFonts w:hint="eastAsia" w:ascii="仿宋" w:hAnsi="仿宋" w:eastAsia="仿宋" w:cs="仿宋"/>
          <w:sz w:val="32"/>
          <w:szCs w:val="32"/>
        </w:rPr>
        <w:t>2020年，我部门财政拨款“三公”经费预算安排3.2万元，其中：因公出国（境）费0万元；公务用车购置及运维费3万元（其中：公务用车购置费0万元，公务用车运行维护费3万元)；公务接待费0.2万元。“三公”经费与上年持平，无增减变化。</w:t>
      </w:r>
    </w:p>
    <w:p>
      <w:pPr>
        <w:autoSpaceDE w:val="0"/>
        <w:autoSpaceDN w:val="0"/>
        <w:adjustRightInd w:val="0"/>
        <w:ind w:firstLine="643" w:firstLineChars="200"/>
        <w:jc w:val="left"/>
        <w:rPr>
          <w:rFonts w:ascii="黑体" w:hAnsi="黑体" w:eastAsia="黑体" w:cs="仿宋"/>
          <w:b/>
          <w:bCs/>
          <w:sz w:val="32"/>
          <w:szCs w:val="32"/>
        </w:rPr>
      </w:pPr>
      <w:r>
        <w:rPr>
          <w:rFonts w:hint="eastAsia" w:ascii="黑体" w:hAnsi="黑体" w:eastAsia="黑体" w:cs="仿宋"/>
          <w:b/>
          <w:bCs/>
          <w:sz w:val="32"/>
          <w:szCs w:val="32"/>
        </w:rPr>
        <w:t>五、预算绩效信息</w:t>
      </w:r>
    </w:p>
    <w:p>
      <w:pPr>
        <w:ind w:firstLine="562" w:firstLineChars="200"/>
        <w:jc w:val="left"/>
        <w:rPr>
          <w:rFonts w:ascii="仿宋" w:hAnsi="仿宋" w:eastAsia="仿宋" w:cs="仿宋"/>
          <w:b/>
          <w:sz w:val="32"/>
          <w:szCs w:val="32"/>
        </w:rPr>
      </w:pPr>
      <w:r>
        <w:rPr>
          <w:rFonts w:hint="eastAsia" w:ascii="仿宋" w:hAnsi="仿宋" w:eastAsia="仿宋" w:cs="仿宋"/>
          <w:b/>
          <w:bCs/>
          <w:sz w:val="28"/>
          <w:szCs w:val="28"/>
        </w:rPr>
        <w:t>第一部分部门整体绩效目标</w:t>
      </w:r>
    </w:p>
    <w:p>
      <w:pPr>
        <w:ind w:firstLine="643" w:firstLineChars="200"/>
        <w:rPr>
          <w:rFonts w:ascii="仿宋" w:hAnsi="仿宋" w:eastAsia="仿宋" w:cs="仿宋"/>
          <w:b/>
          <w:bCs/>
          <w:sz w:val="32"/>
          <w:szCs w:val="32"/>
        </w:rPr>
      </w:pPr>
      <w:r>
        <w:rPr>
          <w:rFonts w:hint="eastAsia" w:ascii="仿宋" w:hAnsi="仿宋" w:eastAsia="仿宋" w:cs="仿宋"/>
          <w:b/>
          <w:bCs/>
          <w:sz w:val="32"/>
          <w:szCs w:val="32"/>
        </w:rPr>
        <w:t>(</w:t>
      </w:r>
      <w:r>
        <w:rPr>
          <w:rFonts w:hint="eastAsia" w:ascii="仿宋" w:hAnsi="仿宋" w:eastAsia="仿宋" w:cs="仿宋"/>
          <w:b/>
          <w:bCs/>
          <w:sz w:val="32"/>
          <w:szCs w:val="32"/>
        </w:rPr>
        <w:fldChar w:fldCharType="begin"/>
      </w:r>
      <w:r>
        <w:rPr>
          <w:rFonts w:hint="eastAsia" w:ascii="仿宋" w:hAnsi="仿宋" w:eastAsia="仿宋" w:cs="仿宋"/>
          <w:b/>
          <w:bCs/>
          <w:sz w:val="32"/>
          <w:szCs w:val="32"/>
        </w:rPr>
        <w:instrText xml:space="preserve">TC </w:instrText>
      </w:r>
      <w:bookmarkStart w:id="0" w:name="_Toc34951368"/>
      <w:r>
        <w:rPr>
          <w:rFonts w:hint="eastAsia" w:ascii="仿宋" w:hAnsi="仿宋" w:eastAsia="仿宋" w:cs="仿宋"/>
          <w:b/>
          <w:bCs/>
          <w:sz w:val="32"/>
          <w:szCs w:val="32"/>
        </w:rPr>
        <w:instrText xml:space="preserve">总体绩效目标</w:instrText>
      </w:r>
      <w:bookmarkEnd w:id="0"/>
      <w:r>
        <w:rPr>
          <w:rFonts w:hint="eastAsia" w:ascii="仿宋" w:hAnsi="仿宋" w:eastAsia="仿宋" w:cs="仿宋"/>
          <w:b/>
          <w:bCs/>
          <w:sz w:val="32"/>
          <w:szCs w:val="32"/>
        </w:rPr>
        <w:instrText xml:space="preserve"> \f A \l 1</w:instrText>
      </w:r>
      <w:r>
        <w:rPr>
          <w:rFonts w:hint="eastAsia" w:ascii="仿宋" w:hAnsi="仿宋" w:eastAsia="仿宋" w:cs="仿宋"/>
          <w:b/>
          <w:bCs/>
          <w:sz w:val="32"/>
          <w:szCs w:val="32"/>
        </w:rPr>
        <w:fldChar w:fldCharType="end"/>
      </w:r>
      <w:r>
        <w:rPr>
          <w:rFonts w:hint="eastAsia" w:ascii="仿宋" w:hAnsi="仿宋" w:eastAsia="仿宋" w:cs="仿宋"/>
          <w:b/>
          <w:bCs/>
          <w:sz w:val="32"/>
          <w:szCs w:val="32"/>
        </w:rPr>
        <w:t>一)、总体绩效目标</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财政管理目标：构建财政事权清晰、服务社会公共需要、管理科学规范的公共财政体系，继续加大对农业、社保、科技、教育、卫生、环保等公共民生领域的投入。逐步改善税源结构，使财政收入形成稳定增长机制，提高支持经济社会发展能力。围绕建立现代财政制度，深入推进财政改革，稳步提高财政资金使用效率。以充实的财力保障全市“十三五”各项规划全面落实。</w:t>
      </w:r>
    </w:p>
    <w:p>
      <w:pPr>
        <w:spacing w:line="500" w:lineRule="exact"/>
        <w:jc w:val="left"/>
        <w:outlineLvl w:val="1"/>
        <w:rPr>
          <w:rFonts w:ascii="仿宋" w:hAnsi="仿宋" w:eastAsia="仿宋" w:cs="仿宋"/>
          <w:sz w:val="32"/>
          <w:szCs w:val="32"/>
        </w:rPr>
      </w:pP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TC </w:instrText>
      </w:r>
      <w:bookmarkStart w:id="1" w:name="_Toc34951369"/>
      <w:r>
        <w:rPr>
          <w:rFonts w:hint="eastAsia" w:ascii="仿宋" w:hAnsi="仿宋" w:eastAsia="仿宋" w:cs="仿宋"/>
          <w:sz w:val="32"/>
          <w:szCs w:val="32"/>
        </w:rPr>
        <w:instrText xml:space="preserve">分项绩效目标</w:instrText>
      </w:r>
      <w:bookmarkEnd w:id="1"/>
      <w:r>
        <w:rPr>
          <w:rFonts w:hint="eastAsia" w:ascii="仿宋" w:hAnsi="仿宋" w:eastAsia="仿宋" w:cs="仿宋"/>
          <w:sz w:val="32"/>
          <w:szCs w:val="32"/>
        </w:rPr>
        <w:instrText xml:space="preserve"> \f A \l 1</w:instrText>
      </w:r>
      <w:r>
        <w:rPr>
          <w:rFonts w:hint="eastAsia" w:ascii="仿宋" w:hAnsi="仿宋" w:eastAsia="仿宋" w:cs="仿宋"/>
          <w:sz w:val="32"/>
          <w:szCs w:val="32"/>
        </w:rPr>
        <w:fldChar w:fldCharType="end"/>
      </w:r>
    </w:p>
    <w:p>
      <w:pPr>
        <w:spacing w:line="500" w:lineRule="exact"/>
        <w:ind w:firstLine="643" w:firstLineChars="200"/>
        <w:jc w:val="left"/>
        <w:rPr>
          <w:rFonts w:ascii="仿宋" w:hAnsi="仿宋" w:eastAsia="仿宋" w:cs="仿宋"/>
          <w:b/>
          <w:bCs/>
          <w:sz w:val="32"/>
          <w:szCs w:val="32"/>
        </w:rPr>
      </w:pPr>
      <w:r>
        <w:rPr>
          <w:rFonts w:hint="eastAsia" w:ascii="仿宋" w:hAnsi="仿宋" w:eastAsia="仿宋" w:cs="仿宋"/>
          <w:b/>
          <w:bCs/>
          <w:sz w:val="32"/>
          <w:szCs w:val="32"/>
        </w:rPr>
        <w:t xml:space="preserve">(二)、分项绩效目标 </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财政收入</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绩效目标：拟订财税发展规划、政策和改革方案并组织实施。分析预测宏观经济形势，参与制定各项宏观经济政策，提出运用财税政策实施宏观调控和综合平衡社会财力的建议；完善鼓励公益事业发展的财税政策</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绩效指标：财政政策制定完成率达到100%；财政政策部署落实及时性达到95%以上。</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预算管理</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绩效目标：负责管理市级各项财政收支。按规定编制年度市级预决算草案并组织执行，汇编全市预决算草案。及时公开县级财政预决算。</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绩效指标：编制预决算草案完成情况达到100%；预决算公开及时性和完成性达到100%。</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国库管理</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绩效目标：研究制定国库管理制度、国库集中收付制度。</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确保国库现金增值运作收益逐年提高；确保国库支出进度；确保总预算会计核算信息真实准确。</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绩效指标：国库现金增值运作收益较上年提高至少一个百分点；国库支出进度达到考核序时要求；总预算会计核算信息准确率达到95%以上。</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政府专项工作服务与管理</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绩效目标：拟订政府债务管理制度和办法并组织实施。</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对政府债务进行限额管理，按规定组织政府债券申报、转贷和还本付息。</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 xml:space="preserve">   绩效指标：新增政府债务限额分配下达完成率达到100%；组织代发政府债券成功率达到100%；资金筹集任务完成率达到95%以上。</w:t>
      </w:r>
    </w:p>
    <w:p>
      <w:pPr>
        <w:spacing w:line="500" w:lineRule="exact"/>
        <w:ind w:firstLine="640" w:firstLineChars="200"/>
        <w:jc w:val="left"/>
        <w:rPr>
          <w:rFonts w:ascii="仿宋" w:hAnsi="仿宋" w:eastAsia="仿宋" w:cs="仿宋"/>
          <w:sz w:val="32"/>
          <w:szCs w:val="32"/>
        </w:rPr>
      </w:pPr>
    </w:p>
    <w:p>
      <w:pPr>
        <w:spacing w:line="500" w:lineRule="exact"/>
        <w:ind w:firstLine="643" w:firstLineChars="200"/>
        <w:jc w:val="left"/>
        <w:outlineLvl w:val="1"/>
        <w:rPr>
          <w:rFonts w:ascii="仿宋" w:hAnsi="仿宋" w:eastAsia="仿宋" w:cs="仿宋"/>
          <w:sz w:val="32"/>
          <w:szCs w:val="32"/>
        </w:rPr>
      </w:pPr>
      <w:r>
        <w:rPr>
          <w:rFonts w:hint="eastAsia" w:ascii="仿宋" w:hAnsi="仿宋" w:eastAsia="仿宋" w:cs="仿宋"/>
          <w:b/>
          <w:bCs/>
          <w:sz w:val="32"/>
          <w:szCs w:val="32"/>
        </w:rPr>
        <w:t>(三)、工作保障措施</w:t>
      </w: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TC </w:instrText>
      </w:r>
      <w:bookmarkStart w:id="2" w:name="_Toc34951370"/>
      <w:r>
        <w:rPr>
          <w:rFonts w:hint="eastAsia" w:ascii="仿宋" w:hAnsi="仿宋" w:eastAsia="仿宋" w:cs="仿宋"/>
          <w:sz w:val="32"/>
          <w:szCs w:val="32"/>
        </w:rPr>
        <w:instrText xml:space="preserve">工作保障措施</w:instrText>
      </w:r>
      <w:bookmarkEnd w:id="2"/>
      <w:r>
        <w:rPr>
          <w:rFonts w:hint="eastAsia" w:ascii="仿宋" w:hAnsi="仿宋" w:eastAsia="仿宋" w:cs="仿宋"/>
          <w:sz w:val="32"/>
          <w:szCs w:val="32"/>
        </w:rPr>
        <w:instrText xml:space="preserve"> \f A \l 1</w:instrText>
      </w:r>
      <w:r>
        <w:rPr>
          <w:rFonts w:hint="eastAsia" w:ascii="仿宋" w:hAnsi="仿宋" w:eastAsia="仿宋" w:cs="仿宋"/>
          <w:sz w:val="32"/>
          <w:szCs w:val="32"/>
        </w:rPr>
        <w:fldChar w:fldCharType="end"/>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工作保障措施</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完善制度建设。我单位组织机构健全，职责分工明确；立项各项要件齐全完整，有关的基础设施条件能够得以有效保障；各项业务和财务管理制度健全，运行机制、计划进度安排等能保障项目有效落实。</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加强支出管理。通过优化支出结构、编细编实预算、加快履行政府采购手续、尽快启动项目、及时支付资金、6月底前细化代编预算、按规定及时下达资金等多种措施，确保支出进度达标。</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加强绩效运行监控。按要求开展绩效运行监控，发现问题及时采取措施，确保绩效目标如期保质实现。</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做好绩效自评。按要求开展上年度部门预算绩效自评和重点评价工作，对评价中发现的问题及时整改，调整优化支出结构，提高财政资金使用效益。</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规范财务资产管理。完善财务管理制度，严格审批程序，加强固定资产登记、使用和报废处置管理，做到支出合理，物尽其用。</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加强宣传培训调研等。加强人员培训，提高本部门职工业务素质；加强调研，提出优化财政资金配置、提高资金使用效益的意见意见；加大宣传力度，强化预算绩效管理意识，促进预算绩效管理水平进一步提升。</w:t>
      </w:r>
    </w:p>
    <w:p>
      <w:pPr>
        <w:rPr>
          <w:rFonts w:ascii="仿宋" w:hAnsi="仿宋" w:eastAsia="仿宋" w:cs="仿宋"/>
          <w:sz w:val="32"/>
          <w:szCs w:val="32"/>
        </w:rPr>
      </w:pPr>
    </w:p>
    <w:p>
      <w:pPr>
        <w:ind w:firstLine="643" w:firstLineChars="200"/>
        <w:rPr>
          <w:rFonts w:hint="eastAsia" w:ascii="仿宋" w:hAnsi="仿宋" w:eastAsia="仿宋" w:cs="仿宋"/>
          <w:b/>
          <w:bCs/>
          <w:sz w:val="32"/>
          <w:szCs w:val="32"/>
        </w:rPr>
      </w:pPr>
      <w:r>
        <w:rPr>
          <w:rFonts w:hint="eastAsia" w:ascii="仿宋" w:hAnsi="仿宋" w:eastAsia="仿宋" w:cs="仿宋"/>
          <w:b/>
          <w:bCs/>
          <w:sz w:val="32"/>
          <w:szCs w:val="32"/>
        </w:rPr>
        <w:t>第二部分预算项目绩效目标</w:t>
      </w:r>
    </w:p>
    <w:p>
      <w:pPr>
        <w:ind w:firstLine="643" w:firstLineChars="200"/>
        <w:outlineLvl w:val="1"/>
        <w:rPr>
          <w:rFonts w:ascii="仿宋" w:hAnsi="仿宋" w:eastAsia="仿宋" w:cs="仿宋"/>
          <w:b/>
          <w:sz w:val="32"/>
          <w:szCs w:val="32"/>
        </w:rPr>
      </w:pPr>
      <w:r>
        <w:rPr>
          <w:rFonts w:hint="eastAsia" w:ascii="仿宋" w:hAnsi="仿宋" w:eastAsia="仿宋" w:cs="仿宋"/>
          <w:b/>
          <w:sz w:val="32"/>
          <w:szCs w:val="32"/>
        </w:rPr>
        <w:t>1、财政信息化建设经费绩效目标表</w:t>
      </w:r>
      <w:r>
        <w:rPr>
          <w:rFonts w:hint="eastAsia" w:ascii="仿宋" w:hAnsi="仿宋" w:eastAsia="仿宋" w:cs="仿宋"/>
          <w:sz w:val="32"/>
          <w:szCs w:val="32"/>
        </w:rPr>
        <w:fldChar w:fldCharType="begin"/>
      </w:r>
      <w:r>
        <w:rPr>
          <w:rFonts w:hint="eastAsia" w:ascii="仿宋" w:hAnsi="仿宋" w:eastAsia="仿宋" w:cs="仿宋"/>
          <w:b/>
          <w:sz w:val="32"/>
          <w:szCs w:val="32"/>
        </w:rPr>
        <w:instrText xml:space="preserve">TC </w:instrText>
      </w:r>
      <w:bookmarkStart w:id="3" w:name="_Toc34951371"/>
      <w:r>
        <w:rPr>
          <w:rFonts w:hint="eastAsia" w:ascii="仿宋" w:hAnsi="仿宋" w:eastAsia="仿宋" w:cs="仿宋"/>
          <w:b/>
          <w:sz w:val="32"/>
          <w:szCs w:val="32"/>
        </w:rPr>
        <w:instrText xml:space="preserve">1、财政信息化建设经费绩效目标表</w:instrText>
      </w:r>
      <w:bookmarkEnd w:id="3"/>
      <w:r>
        <w:rPr>
          <w:rFonts w:hint="eastAsia" w:ascii="仿宋" w:hAnsi="仿宋" w:eastAsia="仿宋" w:cs="仿宋"/>
          <w:b/>
          <w:sz w:val="32"/>
          <w:szCs w:val="32"/>
        </w:rPr>
        <w:instrText xml:space="preserve"> \f C \l 1</w:instrText>
      </w:r>
      <w:r>
        <w:rPr>
          <w:rFonts w:hint="eastAsia" w:ascii="仿宋" w:hAnsi="仿宋" w:eastAsia="仿宋" w:cs="仿宋"/>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cs="仿宋"/>
                <w:b/>
                <w:sz w:val="32"/>
                <w:szCs w:val="32"/>
              </w:rPr>
            </w:pPr>
            <w:r>
              <w:rPr>
                <w:rFonts w:hint="eastAsia" w:ascii="仿宋" w:hAnsi="仿宋" w:eastAsia="仿宋" w:cs="仿宋"/>
                <w:b/>
                <w:sz w:val="32"/>
                <w:szCs w:val="32"/>
              </w:rPr>
              <w:t>318002无极县财政局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cs="仿宋"/>
                <w:sz w:val="32"/>
                <w:szCs w:val="32"/>
              </w:rPr>
            </w:pPr>
            <w:r>
              <w:rPr>
                <w:rFonts w:hint="eastAsia" w:ascii="仿宋" w:hAnsi="仿宋" w:eastAsia="仿宋" w:cs="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项目编码</w:t>
            </w:r>
          </w:p>
        </w:tc>
        <w:tc>
          <w:tcPr>
            <w:tcW w:w="2410" w:type="dxa"/>
            <w:gridSpan w:val="2"/>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318-0802-YXN-AZWQ</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项目名称</w:t>
            </w:r>
          </w:p>
        </w:tc>
        <w:tc>
          <w:tcPr>
            <w:tcW w:w="4281" w:type="dxa"/>
            <w:gridSpan w:val="3"/>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财政信息化建设经费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预算规模及资金用途</w:t>
            </w:r>
          </w:p>
        </w:tc>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预算数</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160.00</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其中：财政资金</w:t>
            </w:r>
          </w:p>
        </w:tc>
        <w:tc>
          <w:tcPr>
            <w:tcW w:w="130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160.00</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其他资金</w:t>
            </w:r>
          </w:p>
        </w:tc>
        <w:tc>
          <w:tcPr>
            <w:tcW w:w="1701" w:type="dxa"/>
            <w:vAlign w:val="center"/>
          </w:tcPr>
          <w:p>
            <w:pPr>
              <w:spacing w:line="300" w:lineRule="exact"/>
              <w:jc w:val="left"/>
              <w:rPr>
                <w:rFonts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ascii="仿宋" w:hAnsi="仿宋" w:eastAsia="仿宋" w:cs="仿宋"/>
                <w:sz w:val="32"/>
                <w:szCs w:val="32"/>
              </w:rPr>
            </w:pPr>
          </w:p>
        </w:tc>
        <w:tc>
          <w:tcPr>
            <w:tcW w:w="8278" w:type="dxa"/>
            <w:gridSpan w:val="6"/>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用于财政部门建立、应用、维护财政管理信息系统，财政信息化人才的培训和财政信息化的制度建设等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资金支出计划（%）</w:t>
            </w:r>
          </w:p>
        </w:tc>
        <w:tc>
          <w:tcPr>
            <w:tcW w:w="2410" w:type="dxa"/>
            <w:gridSpan w:val="2"/>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3月底</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6月底</w:t>
            </w:r>
          </w:p>
        </w:tc>
        <w:tc>
          <w:tcPr>
            <w:tcW w:w="130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10月底</w:t>
            </w:r>
          </w:p>
        </w:tc>
        <w:tc>
          <w:tcPr>
            <w:tcW w:w="2977" w:type="dxa"/>
            <w:gridSpan w:val="2"/>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cs="仿宋"/>
                <w:sz w:val="32"/>
                <w:szCs w:val="32"/>
              </w:rPr>
            </w:pPr>
          </w:p>
        </w:tc>
        <w:tc>
          <w:tcPr>
            <w:tcW w:w="2410" w:type="dxa"/>
            <w:gridSpan w:val="2"/>
            <w:tcBorders>
              <w:bottom w:val="single" w:color="000000" w:sz="6" w:space="0"/>
            </w:tcBorders>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20.00</w:t>
            </w:r>
          </w:p>
        </w:tc>
        <w:tc>
          <w:tcPr>
            <w:tcW w:w="1587" w:type="dxa"/>
            <w:tcBorders>
              <w:bottom w:val="single" w:color="000000" w:sz="6" w:space="0"/>
            </w:tcBorders>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40.00</w:t>
            </w:r>
          </w:p>
        </w:tc>
        <w:tc>
          <w:tcPr>
            <w:tcW w:w="1304" w:type="dxa"/>
            <w:tcBorders>
              <w:bottom w:val="single" w:color="000000" w:sz="6" w:space="0"/>
            </w:tcBorders>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70.00</w:t>
            </w:r>
          </w:p>
        </w:tc>
        <w:tc>
          <w:tcPr>
            <w:tcW w:w="2977" w:type="dxa"/>
            <w:gridSpan w:val="2"/>
            <w:tcBorders>
              <w:bottom w:val="single" w:color="000000" w:sz="6" w:space="0"/>
            </w:tcBorders>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绩效目标</w:t>
            </w:r>
          </w:p>
        </w:tc>
        <w:tc>
          <w:tcPr>
            <w:tcW w:w="8278" w:type="dxa"/>
            <w:gridSpan w:val="6"/>
            <w:tcBorders>
              <w:bottom w:val="nil"/>
            </w:tcBorders>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1、保障财政信息系统高效、平稳运行。</w:t>
            </w:r>
          </w:p>
          <w:p>
            <w:pPr>
              <w:spacing w:line="300" w:lineRule="exact"/>
              <w:jc w:val="left"/>
              <w:rPr>
                <w:rFonts w:ascii="仿宋" w:hAnsi="仿宋" w:eastAsia="仿宋" w:cs="仿宋"/>
                <w:sz w:val="32"/>
                <w:szCs w:val="32"/>
              </w:rPr>
            </w:pPr>
            <w:r>
              <w:rPr>
                <w:rFonts w:hint="eastAsia" w:ascii="仿宋" w:hAnsi="仿宋" w:eastAsia="仿宋" w:cs="仿宋"/>
                <w:sz w:val="32"/>
                <w:szCs w:val="32"/>
              </w:rPr>
              <w:t>2、满足财政工作需要。</w:t>
            </w:r>
          </w:p>
        </w:tc>
      </w:tr>
    </w:tbl>
    <w:p>
      <w:pPr>
        <w:spacing w:line="14" w:lineRule="exact"/>
        <w:ind w:firstLine="640" w:firstLineChars="200"/>
        <w:jc w:val="center"/>
        <w:rPr>
          <w:rFonts w:ascii="仿宋" w:hAnsi="仿宋" w:eastAsia="仿宋" w:cs="仿宋"/>
          <w:sz w:val="32"/>
          <w:szCs w:val="32"/>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一级指标</w:t>
            </w:r>
          </w:p>
        </w:tc>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二级指标</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三级指标</w:t>
            </w:r>
          </w:p>
        </w:tc>
        <w:tc>
          <w:tcPr>
            <w:tcW w:w="2891"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绩效指标描述</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指标值</w:t>
            </w:r>
          </w:p>
        </w:tc>
        <w:tc>
          <w:tcPr>
            <w:tcW w:w="1701"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产出指标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质量指标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保障系统安全</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系统保障程度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&gt;90%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仿宋" w:hAnsi="仿宋" w:eastAsia="仿宋" w:cs="仿宋"/>
                <w:sz w:val="32"/>
                <w:szCs w:val="32"/>
              </w:rPr>
            </w:pP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质量指标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配件更换速度</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硬件故障更换</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&gt;90%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效果指标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可持续影响指标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购置硬件的使用效率</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硬件使用效率的高低</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满意度指标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服务对象满意度指标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服务对象满意度</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单位用户对系统的满意度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bl>
    <w:p>
      <w:pPr>
        <w:spacing w:line="300" w:lineRule="exact"/>
        <w:ind w:firstLine="420" w:firstLineChars="200"/>
        <w:jc w:val="left"/>
        <w:sectPr>
          <w:footerReference r:id="rId3" w:type="default"/>
          <w:pgSz w:w="11907" w:h="16839"/>
          <w:pgMar w:top="1984" w:right="1304" w:bottom="1134" w:left="1304" w:header="851" w:footer="992" w:gutter="0"/>
          <w:cols w:space="720" w:num="1"/>
          <w:docGrid w:type="lines" w:linePitch="312" w:charSpace="0"/>
        </w:sectPr>
      </w:pPr>
    </w:p>
    <w:p>
      <w:pPr>
        <w:spacing w:line="300" w:lineRule="exact"/>
        <w:ind w:firstLine="640" w:firstLineChars="200"/>
        <w:jc w:val="left"/>
        <w:rPr>
          <w:rFonts w:ascii="仿宋" w:hAnsi="仿宋" w:eastAsia="仿宋" w:cs="仿宋"/>
          <w:sz w:val="32"/>
          <w:szCs w:val="32"/>
        </w:rPr>
      </w:pPr>
    </w:p>
    <w:p>
      <w:pPr>
        <w:ind w:firstLine="643" w:firstLineChars="200"/>
        <w:jc w:val="left"/>
        <w:outlineLvl w:val="1"/>
        <w:rPr>
          <w:rFonts w:ascii="仿宋" w:hAnsi="仿宋" w:eastAsia="仿宋" w:cs="仿宋"/>
          <w:b/>
          <w:sz w:val="32"/>
          <w:szCs w:val="32"/>
        </w:rPr>
      </w:pPr>
      <w:r>
        <w:rPr>
          <w:rFonts w:hint="eastAsia" w:ascii="仿宋" w:hAnsi="仿宋" w:eastAsia="仿宋" w:cs="仿宋"/>
          <w:b/>
          <w:sz w:val="32"/>
          <w:szCs w:val="32"/>
        </w:rPr>
        <w:t>2、电子票据改革绩效目标表</w:t>
      </w:r>
      <w:r>
        <w:rPr>
          <w:rFonts w:hint="eastAsia" w:ascii="仿宋" w:hAnsi="仿宋" w:eastAsia="仿宋" w:cs="仿宋"/>
          <w:sz w:val="32"/>
          <w:szCs w:val="32"/>
        </w:rPr>
        <w:fldChar w:fldCharType="begin"/>
      </w:r>
      <w:r>
        <w:rPr>
          <w:rFonts w:hint="eastAsia" w:ascii="仿宋" w:hAnsi="仿宋" w:eastAsia="仿宋" w:cs="仿宋"/>
          <w:b/>
          <w:sz w:val="32"/>
          <w:szCs w:val="32"/>
        </w:rPr>
        <w:instrText xml:space="preserve">TC </w:instrText>
      </w:r>
      <w:bookmarkStart w:id="4" w:name="_Toc34951372"/>
      <w:r>
        <w:rPr>
          <w:rFonts w:hint="eastAsia" w:ascii="仿宋" w:hAnsi="仿宋" w:eastAsia="仿宋" w:cs="仿宋"/>
          <w:b/>
          <w:sz w:val="32"/>
          <w:szCs w:val="32"/>
        </w:rPr>
        <w:instrText xml:space="preserve">2、电子票据改革绩效目标表</w:instrText>
      </w:r>
      <w:bookmarkEnd w:id="4"/>
      <w:r>
        <w:rPr>
          <w:rFonts w:hint="eastAsia" w:ascii="仿宋" w:hAnsi="仿宋" w:eastAsia="仿宋" w:cs="仿宋"/>
          <w:b/>
          <w:sz w:val="32"/>
          <w:szCs w:val="32"/>
        </w:rPr>
        <w:instrText xml:space="preserve"> \f C \l 1</w:instrText>
      </w:r>
      <w:r>
        <w:rPr>
          <w:rFonts w:hint="eastAsia" w:ascii="仿宋" w:hAnsi="仿宋" w:eastAsia="仿宋" w:cs="仿宋"/>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cs="仿宋"/>
                <w:b/>
                <w:sz w:val="32"/>
                <w:szCs w:val="32"/>
              </w:rPr>
            </w:pPr>
            <w:r>
              <w:rPr>
                <w:rFonts w:hint="eastAsia" w:ascii="仿宋" w:hAnsi="仿宋" w:eastAsia="仿宋" w:cs="仿宋"/>
                <w:b/>
                <w:sz w:val="32"/>
                <w:szCs w:val="32"/>
              </w:rPr>
              <w:t>318002无极县财政局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cs="仿宋"/>
                <w:sz w:val="32"/>
                <w:szCs w:val="32"/>
              </w:rPr>
            </w:pPr>
            <w:r>
              <w:rPr>
                <w:rFonts w:hint="eastAsia" w:ascii="仿宋" w:hAnsi="仿宋" w:eastAsia="仿宋" w:cs="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项目编码</w:t>
            </w:r>
          </w:p>
        </w:tc>
        <w:tc>
          <w:tcPr>
            <w:tcW w:w="2410" w:type="dxa"/>
            <w:gridSpan w:val="2"/>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318-0802-YXN-2GO4</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项目名称</w:t>
            </w:r>
          </w:p>
        </w:tc>
        <w:tc>
          <w:tcPr>
            <w:tcW w:w="4281" w:type="dxa"/>
            <w:gridSpan w:val="3"/>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电子票据改革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预算规模及资金用途</w:t>
            </w:r>
          </w:p>
        </w:tc>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预算数</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20.00</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其中：财政资金</w:t>
            </w:r>
          </w:p>
        </w:tc>
        <w:tc>
          <w:tcPr>
            <w:tcW w:w="130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20.00</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其他资金</w:t>
            </w:r>
          </w:p>
        </w:tc>
        <w:tc>
          <w:tcPr>
            <w:tcW w:w="1701" w:type="dxa"/>
            <w:vAlign w:val="center"/>
          </w:tcPr>
          <w:p>
            <w:pPr>
              <w:spacing w:line="300" w:lineRule="exact"/>
              <w:jc w:val="left"/>
              <w:rPr>
                <w:rFonts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ascii="仿宋" w:hAnsi="仿宋" w:eastAsia="仿宋" w:cs="仿宋"/>
                <w:sz w:val="32"/>
                <w:szCs w:val="32"/>
              </w:rPr>
            </w:pPr>
          </w:p>
        </w:tc>
        <w:tc>
          <w:tcPr>
            <w:tcW w:w="8278" w:type="dxa"/>
            <w:gridSpan w:val="6"/>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非税收入票据工本费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资金支出计划（%）</w:t>
            </w:r>
          </w:p>
        </w:tc>
        <w:tc>
          <w:tcPr>
            <w:tcW w:w="2410" w:type="dxa"/>
            <w:gridSpan w:val="2"/>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3月底</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6月底</w:t>
            </w:r>
          </w:p>
        </w:tc>
        <w:tc>
          <w:tcPr>
            <w:tcW w:w="130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10月底</w:t>
            </w:r>
          </w:p>
        </w:tc>
        <w:tc>
          <w:tcPr>
            <w:tcW w:w="2977" w:type="dxa"/>
            <w:gridSpan w:val="2"/>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cs="仿宋"/>
                <w:sz w:val="32"/>
                <w:szCs w:val="32"/>
              </w:rPr>
            </w:pPr>
          </w:p>
        </w:tc>
        <w:tc>
          <w:tcPr>
            <w:tcW w:w="2410" w:type="dxa"/>
            <w:gridSpan w:val="2"/>
            <w:tcBorders>
              <w:bottom w:val="single" w:color="000000" w:sz="6" w:space="0"/>
            </w:tcBorders>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100.00</w:t>
            </w:r>
          </w:p>
        </w:tc>
        <w:tc>
          <w:tcPr>
            <w:tcW w:w="1587" w:type="dxa"/>
            <w:tcBorders>
              <w:bottom w:val="single" w:color="000000" w:sz="6" w:space="0"/>
            </w:tcBorders>
            <w:vAlign w:val="center"/>
          </w:tcPr>
          <w:p>
            <w:pPr>
              <w:spacing w:line="300" w:lineRule="exact"/>
              <w:jc w:val="center"/>
              <w:rPr>
                <w:rFonts w:ascii="仿宋" w:hAnsi="仿宋" w:eastAsia="仿宋" w:cs="仿宋"/>
                <w:sz w:val="32"/>
                <w:szCs w:val="32"/>
              </w:rPr>
            </w:pPr>
          </w:p>
        </w:tc>
        <w:tc>
          <w:tcPr>
            <w:tcW w:w="1304" w:type="dxa"/>
            <w:tcBorders>
              <w:bottom w:val="single" w:color="000000" w:sz="6" w:space="0"/>
            </w:tcBorders>
            <w:vAlign w:val="center"/>
          </w:tcPr>
          <w:p>
            <w:pPr>
              <w:spacing w:line="300" w:lineRule="exact"/>
              <w:jc w:val="center"/>
              <w:rPr>
                <w:rFonts w:ascii="仿宋" w:hAnsi="仿宋" w:eastAsia="仿宋" w:cs="仿宋"/>
                <w:sz w:val="32"/>
                <w:szCs w:val="32"/>
              </w:rPr>
            </w:pPr>
          </w:p>
        </w:tc>
        <w:tc>
          <w:tcPr>
            <w:tcW w:w="2977" w:type="dxa"/>
            <w:gridSpan w:val="2"/>
            <w:tcBorders>
              <w:bottom w:val="single" w:color="000000" w:sz="6" w:space="0"/>
            </w:tcBorders>
            <w:vAlign w:val="center"/>
          </w:tcPr>
          <w:p>
            <w:pPr>
              <w:spacing w:line="300" w:lineRule="exact"/>
              <w:jc w:val="center"/>
              <w:rPr>
                <w:rFonts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绩效目标</w:t>
            </w:r>
          </w:p>
        </w:tc>
        <w:tc>
          <w:tcPr>
            <w:tcW w:w="8278" w:type="dxa"/>
            <w:gridSpan w:val="6"/>
            <w:tcBorders>
              <w:bottom w:val="nil"/>
            </w:tcBorders>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1、购买非税收入票据</w:t>
            </w:r>
          </w:p>
          <w:p>
            <w:pPr>
              <w:spacing w:line="300" w:lineRule="exact"/>
              <w:jc w:val="left"/>
              <w:rPr>
                <w:rFonts w:ascii="仿宋" w:hAnsi="仿宋" w:eastAsia="仿宋" w:cs="仿宋"/>
                <w:sz w:val="32"/>
                <w:szCs w:val="32"/>
              </w:rPr>
            </w:pPr>
            <w:r>
              <w:rPr>
                <w:rFonts w:hint="eastAsia" w:ascii="仿宋" w:hAnsi="仿宋" w:eastAsia="仿宋" w:cs="仿宋"/>
                <w:sz w:val="32"/>
                <w:szCs w:val="32"/>
              </w:rPr>
              <w:t>2、免费提供非税收入票据</w:t>
            </w:r>
          </w:p>
        </w:tc>
      </w:tr>
    </w:tbl>
    <w:p>
      <w:pPr>
        <w:spacing w:line="14" w:lineRule="exact"/>
        <w:ind w:firstLine="640" w:firstLineChars="200"/>
        <w:jc w:val="center"/>
        <w:rPr>
          <w:rFonts w:ascii="仿宋" w:hAnsi="仿宋" w:eastAsia="仿宋" w:cs="仿宋"/>
          <w:sz w:val="32"/>
          <w:szCs w:val="32"/>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一级指标</w:t>
            </w:r>
          </w:p>
        </w:tc>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二级指标</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三级指标</w:t>
            </w:r>
          </w:p>
        </w:tc>
        <w:tc>
          <w:tcPr>
            <w:tcW w:w="2891"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绩效指标描述</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指标值</w:t>
            </w:r>
          </w:p>
        </w:tc>
        <w:tc>
          <w:tcPr>
            <w:tcW w:w="1701"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产出指标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数量指标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票据使用合理</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非税收入票据领用率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&gt;90%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仿宋" w:hAnsi="仿宋" w:eastAsia="仿宋" w:cs="仿宋"/>
                <w:sz w:val="32"/>
                <w:szCs w:val="32"/>
              </w:rPr>
            </w:pP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时效指标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票据使用效率</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非税收入票据使用率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&gt;95%</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效果指标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可持续影响指标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长期使用性</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能够长期使用非税收入票据</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&gt;90%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满意度指标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服务对象满意度指标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服务对象满意度</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领取非税收入票据单位满意度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640" w:firstLineChars="200"/>
        <w:jc w:val="left"/>
        <w:rPr>
          <w:rFonts w:ascii="仿宋" w:hAnsi="仿宋" w:eastAsia="仿宋" w:cs="仿宋"/>
          <w:sz w:val="32"/>
          <w:szCs w:val="32"/>
        </w:rPr>
      </w:pPr>
    </w:p>
    <w:p>
      <w:pPr>
        <w:ind w:firstLine="643" w:firstLineChars="200"/>
        <w:jc w:val="left"/>
        <w:outlineLvl w:val="1"/>
        <w:rPr>
          <w:rFonts w:ascii="仿宋" w:hAnsi="仿宋" w:eastAsia="仿宋" w:cs="仿宋"/>
          <w:b/>
          <w:sz w:val="32"/>
          <w:szCs w:val="32"/>
        </w:rPr>
      </w:pPr>
      <w:r>
        <w:rPr>
          <w:rFonts w:hint="eastAsia" w:ascii="仿宋" w:hAnsi="仿宋" w:eastAsia="仿宋" w:cs="仿宋"/>
          <w:b/>
          <w:sz w:val="32"/>
          <w:szCs w:val="32"/>
        </w:rPr>
        <w:t>3、关于提前下达2020年省级农村财会人员培训一般转移支付指标的通知绩效目标表</w:t>
      </w:r>
      <w:r>
        <w:rPr>
          <w:rFonts w:hint="eastAsia" w:ascii="仿宋" w:hAnsi="仿宋" w:eastAsia="仿宋" w:cs="仿宋"/>
          <w:sz w:val="32"/>
          <w:szCs w:val="32"/>
        </w:rPr>
        <w:fldChar w:fldCharType="begin"/>
      </w:r>
      <w:r>
        <w:rPr>
          <w:rFonts w:hint="eastAsia" w:ascii="仿宋" w:hAnsi="仿宋" w:eastAsia="仿宋" w:cs="仿宋"/>
          <w:b/>
          <w:sz w:val="32"/>
          <w:szCs w:val="32"/>
        </w:rPr>
        <w:instrText xml:space="preserve">TC </w:instrText>
      </w:r>
      <w:bookmarkStart w:id="5" w:name="_Toc34951373"/>
      <w:r>
        <w:rPr>
          <w:rFonts w:hint="eastAsia" w:ascii="仿宋" w:hAnsi="仿宋" w:eastAsia="仿宋" w:cs="仿宋"/>
          <w:b/>
          <w:sz w:val="32"/>
          <w:szCs w:val="32"/>
        </w:rPr>
        <w:instrText xml:space="preserve">3、关于提前下达2020年省级农村财会人员培训一般转移支付指标的通知绩效目标表</w:instrText>
      </w:r>
      <w:bookmarkEnd w:id="5"/>
      <w:r>
        <w:rPr>
          <w:rFonts w:hint="eastAsia" w:ascii="仿宋" w:hAnsi="仿宋" w:eastAsia="仿宋" w:cs="仿宋"/>
          <w:b/>
          <w:sz w:val="32"/>
          <w:szCs w:val="32"/>
        </w:rPr>
        <w:instrText xml:space="preserve"> \f C \l 1</w:instrText>
      </w:r>
      <w:r>
        <w:rPr>
          <w:rFonts w:hint="eastAsia" w:ascii="仿宋" w:hAnsi="仿宋" w:eastAsia="仿宋" w:cs="仿宋"/>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cs="仿宋"/>
                <w:b/>
                <w:sz w:val="32"/>
                <w:szCs w:val="32"/>
              </w:rPr>
            </w:pPr>
            <w:r>
              <w:rPr>
                <w:rFonts w:hint="eastAsia" w:ascii="仿宋" w:hAnsi="仿宋" w:eastAsia="仿宋" w:cs="仿宋"/>
                <w:b/>
                <w:sz w:val="32"/>
                <w:szCs w:val="32"/>
              </w:rPr>
              <w:t>318002无极县财政局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cs="仿宋"/>
                <w:sz w:val="32"/>
                <w:szCs w:val="32"/>
              </w:rPr>
            </w:pPr>
            <w:r>
              <w:rPr>
                <w:rFonts w:hint="eastAsia" w:ascii="仿宋" w:hAnsi="仿宋" w:eastAsia="仿宋" w:cs="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项目编码</w:t>
            </w:r>
          </w:p>
        </w:tc>
        <w:tc>
          <w:tcPr>
            <w:tcW w:w="2410" w:type="dxa"/>
            <w:gridSpan w:val="2"/>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318-0802-YSN-DSLX</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项目名称</w:t>
            </w:r>
          </w:p>
        </w:tc>
        <w:tc>
          <w:tcPr>
            <w:tcW w:w="4281" w:type="dxa"/>
            <w:gridSpan w:val="3"/>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关于提前下达2020年省级农村财会人员培训一般转移支付指标的通知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预算规模及资金用途</w:t>
            </w:r>
          </w:p>
        </w:tc>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预算数</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8.00</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其中：财政资金</w:t>
            </w:r>
          </w:p>
        </w:tc>
        <w:tc>
          <w:tcPr>
            <w:tcW w:w="130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8.00</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其他资金</w:t>
            </w:r>
          </w:p>
        </w:tc>
        <w:tc>
          <w:tcPr>
            <w:tcW w:w="1701" w:type="dxa"/>
            <w:vAlign w:val="center"/>
          </w:tcPr>
          <w:p>
            <w:pPr>
              <w:spacing w:line="300" w:lineRule="exact"/>
              <w:jc w:val="left"/>
              <w:rPr>
                <w:rFonts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ascii="仿宋" w:hAnsi="仿宋" w:eastAsia="仿宋" w:cs="仿宋"/>
                <w:sz w:val="32"/>
                <w:szCs w:val="32"/>
              </w:rPr>
            </w:pPr>
          </w:p>
        </w:tc>
        <w:tc>
          <w:tcPr>
            <w:tcW w:w="8278" w:type="dxa"/>
            <w:gridSpan w:val="6"/>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农村财会人员财政支农政策培训工作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资金支出计划（%）</w:t>
            </w:r>
          </w:p>
        </w:tc>
        <w:tc>
          <w:tcPr>
            <w:tcW w:w="2410" w:type="dxa"/>
            <w:gridSpan w:val="2"/>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3月底</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6月底</w:t>
            </w:r>
          </w:p>
        </w:tc>
        <w:tc>
          <w:tcPr>
            <w:tcW w:w="130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10月底</w:t>
            </w:r>
          </w:p>
        </w:tc>
        <w:tc>
          <w:tcPr>
            <w:tcW w:w="2977" w:type="dxa"/>
            <w:gridSpan w:val="2"/>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cs="仿宋"/>
                <w:sz w:val="32"/>
                <w:szCs w:val="32"/>
              </w:rPr>
            </w:pPr>
          </w:p>
        </w:tc>
        <w:tc>
          <w:tcPr>
            <w:tcW w:w="2410" w:type="dxa"/>
            <w:gridSpan w:val="2"/>
            <w:tcBorders>
              <w:bottom w:val="single" w:color="000000" w:sz="6" w:space="0"/>
            </w:tcBorders>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100.00</w:t>
            </w:r>
          </w:p>
        </w:tc>
        <w:tc>
          <w:tcPr>
            <w:tcW w:w="1587" w:type="dxa"/>
            <w:tcBorders>
              <w:bottom w:val="single" w:color="000000" w:sz="6" w:space="0"/>
            </w:tcBorders>
            <w:vAlign w:val="center"/>
          </w:tcPr>
          <w:p>
            <w:pPr>
              <w:spacing w:line="300" w:lineRule="exact"/>
              <w:jc w:val="center"/>
              <w:rPr>
                <w:rFonts w:ascii="仿宋" w:hAnsi="仿宋" w:eastAsia="仿宋" w:cs="仿宋"/>
                <w:sz w:val="32"/>
                <w:szCs w:val="32"/>
              </w:rPr>
            </w:pPr>
          </w:p>
        </w:tc>
        <w:tc>
          <w:tcPr>
            <w:tcW w:w="1304" w:type="dxa"/>
            <w:tcBorders>
              <w:bottom w:val="single" w:color="000000" w:sz="6" w:space="0"/>
            </w:tcBorders>
            <w:vAlign w:val="center"/>
          </w:tcPr>
          <w:p>
            <w:pPr>
              <w:spacing w:line="300" w:lineRule="exact"/>
              <w:jc w:val="center"/>
              <w:rPr>
                <w:rFonts w:ascii="仿宋" w:hAnsi="仿宋" w:eastAsia="仿宋" w:cs="仿宋"/>
                <w:sz w:val="32"/>
                <w:szCs w:val="32"/>
              </w:rPr>
            </w:pPr>
          </w:p>
        </w:tc>
        <w:tc>
          <w:tcPr>
            <w:tcW w:w="2977" w:type="dxa"/>
            <w:gridSpan w:val="2"/>
            <w:tcBorders>
              <w:bottom w:val="single" w:color="000000" w:sz="6" w:space="0"/>
            </w:tcBorders>
            <w:vAlign w:val="center"/>
          </w:tcPr>
          <w:p>
            <w:pPr>
              <w:spacing w:line="300" w:lineRule="exact"/>
              <w:jc w:val="center"/>
              <w:rPr>
                <w:rFonts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绩效目标</w:t>
            </w:r>
          </w:p>
        </w:tc>
        <w:tc>
          <w:tcPr>
            <w:tcW w:w="8278" w:type="dxa"/>
            <w:gridSpan w:val="6"/>
            <w:tcBorders>
              <w:bottom w:val="nil"/>
            </w:tcBorders>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1、培训农村财政人员支农政策</w:t>
            </w:r>
          </w:p>
          <w:p>
            <w:pPr>
              <w:spacing w:line="300" w:lineRule="exact"/>
              <w:jc w:val="left"/>
              <w:rPr>
                <w:rFonts w:ascii="仿宋" w:hAnsi="仿宋" w:eastAsia="仿宋" w:cs="仿宋"/>
                <w:sz w:val="32"/>
                <w:szCs w:val="32"/>
              </w:rPr>
            </w:pPr>
            <w:r>
              <w:rPr>
                <w:rFonts w:hint="eastAsia" w:ascii="仿宋" w:hAnsi="仿宋" w:eastAsia="仿宋" w:cs="仿宋"/>
                <w:sz w:val="32"/>
                <w:szCs w:val="32"/>
              </w:rPr>
              <w:t>2、提高农村财会人员业务水平</w:t>
            </w:r>
          </w:p>
        </w:tc>
      </w:tr>
    </w:tbl>
    <w:p>
      <w:pPr>
        <w:spacing w:line="14" w:lineRule="exact"/>
        <w:ind w:firstLine="640" w:firstLineChars="200"/>
        <w:jc w:val="center"/>
        <w:rPr>
          <w:rFonts w:ascii="仿宋" w:hAnsi="仿宋" w:eastAsia="仿宋" w:cs="仿宋"/>
          <w:sz w:val="32"/>
          <w:szCs w:val="32"/>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一级指标</w:t>
            </w:r>
          </w:p>
        </w:tc>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二级指标</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三级指标</w:t>
            </w:r>
          </w:p>
        </w:tc>
        <w:tc>
          <w:tcPr>
            <w:tcW w:w="2891"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绩效指标描述</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指标值</w:t>
            </w:r>
          </w:p>
        </w:tc>
        <w:tc>
          <w:tcPr>
            <w:tcW w:w="1701"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产出指标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质量指标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提高培训人员业务水平</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提高培训人员水平程度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&gt;90%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仿宋" w:hAnsi="仿宋" w:eastAsia="仿宋" w:cs="仿宋"/>
                <w:sz w:val="32"/>
                <w:szCs w:val="32"/>
              </w:rPr>
            </w:pP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质量指标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保障培训工作顺利完成</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培训工作完成程度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效果指标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社会效益指标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增强预算编制的完整性</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预算编制的完整程度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&gt;90%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满意度指标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服务对象满意度指标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服务对象满意度</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所提供服务的满意程度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&gt;90%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640" w:firstLineChars="200"/>
        <w:jc w:val="left"/>
        <w:rPr>
          <w:rFonts w:ascii="仿宋" w:hAnsi="仿宋" w:eastAsia="仿宋" w:cs="仿宋"/>
          <w:sz w:val="32"/>
          <w:szCs w:val="32"/>
        </w:rPr>
      </w:pPr>
    </w:p>
    <w:p>
      <w:pPr>
        <w:ind w:firstLine="643" w:firstLineChars="200"/>
        <w:jc w:val="left"/>
        <w:outlineLvl w:val="1"/>
        <w:rPr>
          <w:rFonts w:ascii="仿宋" w:hAnsi="仿宋" w:eastAsia="仿宋" w:cs="仿宋"/>
          <w:b/>
          <w:sz w:val="32"/>
          <w:szCs w:val="32"/>
        </w:rPr>
      </w:pPr>
      <w:r>
        <w:rPr>
          <w:rFonts w:hint="eastAsia" w:ascii="仿宋" w:hAnsi="仿宋" w:eastAsia="仿宋" w:cs="仿宋"/>
          <w:b/>
          <w:sz w:val="32"/>
          <w:szCs w:val="32"/>
        </w:rPr>
        <w:t>4、两会材料绩效目标表</w:t>
      </w:r>
      <w:r>
        <w:rPr>
          <w:rFonts w:hint="eastAsia" w:ascii="仿宋" w:hAnsi="仿宋" w:eastAsia="仿宋" w:cs="仿宋"/>
          <w:sz w:val="32"/>
          <w:szCs w:val="32"/>
        </w:rPr>
        <w:fldChar w:fldCharType="begin"/>
      </w:r>
      <w:r>
        <w:rPr>
          <w:rFonts w:hint="eastAsia" w:ascii="仿宋" w:hAnsi="仿宋" w:eastAsia="仿宋" w:cs="仿宋"/>
          <w:b/>
          <w:sz w:val="32"/>
          <w:szCs w:val="32"/>
        </w:rPr>
        <w:instrText xml:space="preserve">TC </w:instrText>
      </w:r>
      <w:bookmarkStart w:id="6" w:name="_Toc34951374"/>
      <w:r>
        <w:rPr>
          <w:rFonts w:hint="eastAsia" w:ascii="仿宋" w:hAnsi="仿宋" w:eastAsia="仿宋" w:cs="仿宋"/>
          <w:b/>
          <w:sz w:val="32"/>
          <w:szCs w:val="32"/>
        </w:rPr>
        <w:instrText xml:space="preserve">4、两会材料绩效目标表</w:instrText>
      </w:r>
      <w:bookmarkEnd w:id="6"/>
      <w:r>
        <w:rPr>
          <w:rFonts w:hint="eastAsia" w:ascii="仿宋" w:hAnsi="仿宋" w:eastAsia="仿宋" w:cs="仿宋"/>
          <w:b/>
          <w:sz w:val="32"/>
          <w:szCs w:val="32"/>
        </w:rPr>
        <w:instrText xml:space="preserve"> \f C \l 1</w:instrText>
      </w:r>
      <w:r>
        <w:rPr>
          <w:rFonts w:hint="eastAsia" w:ascii="仿宋" w:hAnsi="仿宋" w:eastAsia="仿宋" w:cs="仿宋"/>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cs="仿宋"/>
                <w:b/>
                <w:sz w:val="32"/>
                <w:szCs w:val="32"/>
              </w:rPr>
            </w:pPr>
            <w:r>
              <w:rPr>
                <w:rFonts w:hint="eastAsia" w:ascii="仿宋" w:hAnsi="仿宋" w:eastAsia="仿宋" w:cs="仿宋"/>
                <w:b/>
                <w:sz w:val="32"/>
                <w:szCs w:val="32"/>
              </w:rPr>
              <w:t>318002无极县财政局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cs="仿宋"/>
                <w:sz w:val="32"/>
                <w:szCs w:val="32"/>
              </w:rPr>
            </w:pPr>
            <w:r>
              <w:rPr>
                <w:rFonts w:hint="eastAsia" w:ascii="仿宋" w:hAnsi="仿宋" w:eastAsia="仿宋" w:cs="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项目编码</w:t>
            </w:r>
          </w:p>
        </w:tc>
        <w:tc>
          <w:tcPr>
            <w:tcW w:w="2410" w:type="dxa"/>
            <w:gridSpan w:val="2"/>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318-0802-YXN-7BZS</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项目名称</w:t>
            </w:r>
          </w:p>
        </w:tc>
        <w:tc>
          <w:tcPr>
            <w:tcW w:w="4281" w:type="dxa"/>
            <w:gridSpan w:val="3"/>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两会材料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预算规模及资金用途</w:t>
            </w:r>
          </w:p>
        </w:tc>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预算数</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25.00</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其中：财政资金</w:t>
            </w:r>
          </w:p>
        </w:tc>
        <w:tc>
          <w:tcPr>
            <w:tcW w:w="130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25.00</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其他资金</w:t>
            </w:r>
          </w:p>
        </w:tc>
        <w:tc>
          <w:tcPr>
            <w:tcW w:w="1701" w:type="dxa"/>
            <w:vAlign w:val="center"/>
          </w:tcPr>
          <w:p>
            <w:pPr>
              <w:spacing w:line="300" w:lineRule="exact"/>
              <w:jc w:val="left"/>
              <w:rPr>
                <w:rFonts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ascii="仿宋" w:hAnsi="仿宋" w:eastAsia="仿宋" w:cs="仿宋"/>
                <w:sz w:val="32"/>
                <w:szCs w:val="32"/>
              </w:rPr>
            </w:pPr>
          </w:p>
        </w:tc>
        <w:tc>
          <w:tcPr>
            <w:tcW w:w="8278" w:type="dxa"/>
            <w:gridSpan w:val="6"/>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人大、政协两会所需各类报告、选票等文印费用。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资金支出计划（%）</w:t>
            </w:r>
          </w:p>
        </w:tc>
        <w:tc>
          <w:tcPr>
            <w:tcW w:w="2410" w:type="dxa"/>
            <w:gridSpan w:val="2"/>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3月底</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6月底</w:t>
            </w:r>
          </w:p>
        </w:tc>
        <w:tc>
          <w:tcPr>
            <w:tcW w:w="130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10月底</w:t>
            </w:r>
          </w:p>
        </w:tc>
        <w:tc>
          <w:tcPr>
            <w:tcW w:w="2977" w:type="dxa"/>
            <w:gridSpan w:val="2"/>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cs="仿宋"/>
                <w:sz w:val="32"/>
                <w:szCs w:val="32"/>
              </w:rPr>
            </w:pPr>
          </w:p>
        </w:tc>
        <w:tc>
          <w:tcPr>
            <w:tcW w:w="2410" w:type="dxa"/>
            <w:gridSpan w:val="2"/>
            <w:tcBorders>
              <w:bottom w:val="single" w:color="000000" w:sz="6" w:space="0"/>
            </w:tcBorders>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100.00</w:t>
            </w:r>
          </w:p>
        </w:tc>
        <w:tc>
          <w:tcPr>
            <w:tcW w:w="1587" w:type="dxa"/>
            <w:tcBorders>
              <w:bottom w:val="single" w:color="000000" w:sz="6" w:space="0"/>
            </w:tcBorders>
            <w:vAlign w:val="center"/>
          </w:tcPr>
          <w:p>
            <w:pPr>
              <w:spacing w:line="300" w:lineRule="exact"/>
              <w:jc w:val="center"/>
              <w:rPr>
                <w:rFonts w:ascii="仿宋" w:hAnsi="仿宋" w:eastAsia="仿宋" w:cs="仿宋"/>
                <w:sz w:val="32"/>
                <w:szCs w:val="32"/>
              </w:rPr>
            </w:pPr>
          </w:p>
        </w:tc>
        <w:tc>
          <w:tcPr>
            <w:tcW w:w="1304" w:type="dxa"/>
            <w:tcBorders>
              <w:bottom w:val="single" w:color="000000" w:sz="6" w:space="0"/>
            </w:tcBorders>
            <w:vAlign w:val="center"/>
          </w:tcPr>
          <w:p>
            <w:pPr>
              <w:spacing w:line="300" w:lineRule="exact"/>
              <w:jc w:val="center"/>
              <w:rPr>
                <w:rFonts w:ascii="仿宋" w:hAnsi="仿宋" w:eastAsia="仿宋" w:cs="仿宋"/>
                <w:sz w:val="32"/>
                <w:szCs w:val="32"/>
              </w:rPr>
            </w:pPr>
          </w:p>
        </w:tc>
        <w:tc>
          <w:tcPr>
            <w:tcW w:w="2977" w:type="dxa"/>
            <w:gridSpan w:val="2"/>
            <w:tcBorders>
              <w:bottom w:val="single" w:color="000000" w:sz="6" w:space="0"/>
            </w:tcBorders>
            <w:vAlign w:val="center"/>
          </w:tcPr>
          <w:p>
            <w:pPr>
              <w:spacing w:line="300" w:lineRule="exact"/>
              <w:jc w:val="center"/>
              <w:rPr>
                <w:rFonts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绩效目标</w:t>
            </w:r>
          </w:p>
        </w:tc>
        <w:tc>
          <w:tcPr>
            <w:tcW w:w="8278" w:type="dxa"/>
            <w:gridSpan w:val="6"/>
            <w:tcBorders>
              <w:bottom w:val="nil"/>
            </w:tcBorders>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1、保障两会圆满举行</w:t>
            </w:r>
          </w:p>
          <w:p>
            <w:pPr>
              <w:spacing w:line="300" w:lineRule="exact"/>
              <w:jc w:val="left"/>
              <w:rPr>
                <w:rFonts w:ascii="仿宋" w:hAnsi="仿宋" w:eastAsia="仿宋" w:cs="仿宋"/>
                <w:sz w:val="32"/>
                <w:szCs w:val="32"/>
              </w:rPr>
            </w:pPr>
            <w:r>
              <w:rPr>
                <w:rFonts w:hint="eastAsia" w:ascii="仿宋" w:hAnsi="仿宋" w:eastAsia="仿宋" w:cs="仿宋"/>
                <w:sz w:val="32"/>
                <w:szCs w:val="32"/>
              </w:rPr>
              <w:t>2、保障两会会议成果</w:t>
            </w:r>
          </w:p>
        </w:tc>
      </w:tr>
    </w:tbl>
    <w:p>
      <w:pPr>
        <w:spacing w:line="14" w:lineRule="exact"/>
        <w:ind w:firstLine="640" w:firstLineChars="200"/>
        <w:jc w:val="center"/>
        <w:rPr>
          <w:rFonts w:ascii="仿宋" w:hAnsi="仿宋" w:eastAsia="仿宋" w:cs="仿宋"/>
          <w:sz w:val="32"/>
          <w:szCs w:val="32"/>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一级指标</w:t>
            </w:r>
          </w:p>
        </w:tc>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二级指标</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三级指标</w:t>
            </w:r>
          </w:p>
        </w:tc>
        <w:tc>
          <w:tcPr>
            <w:tcW w:w="2891"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绩效指标描述</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指标值</w:t>
            </w:r>
          </w:p>
        </w:tc>
        <w:tc>
          <w:tcPr>
            <w:tcW w:w="1701"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产出指标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时效指标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会议时间安排</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会议时间安排合理程度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≥80%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仿宋" w:hAnsi="仿宋" w:eastAsia="仿宋" w:cs="仿宋"/>
                <w:sz w:val="32"/>
                <w:szCs w:val="32"/>
              </w:rPr>
            </w:pP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数量指标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会议材料印刷</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会议材料印刷数量</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参会人员人手一份</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效果指标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社会效益指标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会议成果数量</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会议成果多少</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≥85%</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满意度指标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服务对象满意度指标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服务对象满意度</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服务对象反馈会议成果满意度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640" w:firstLineChars="200"/>
        <w:jc w:val="left"/>
        <w:rPr>
          <w:rFonts w:ascii="仿宋" w:hAnsi="仿宋" w:eastAsia="仿宋" w:cs="仿宋"/>
          <w:sz w:val="32"/>
          <w:szCs w:val="32"/>
        </w:rPr>
      </w:pPr>
    </w:p>
    <w:p>
      <w:pPr>
        <w:ind w:firstLine="643" w:firstLineChars="200"/>
        <w:jc w:val="left"/>
        <w:outlineLvl w:val="1"/>
        <w:rPr>
          <w:rFonts w:ascii="仿宋" w:hAnsi="仿宋" w:eastAsia="仿宋" w:cs="仿宋"/>
          <w:b/>
          <w:sz w:val="32"/>
          <w:szCs w:val="32"/>
        </w:rPr>
      </w:pPr>
      <w:r>
        <w:rPr>
          <w:rFonts w:hint="eastAsia" w:ascii="仿宋" w:hAnsi="仿宋" w:eastAsia="仿宋" w:cs="仿宋"/>
          <w:b/>
          <w:sz w:val="32"/>
          <w:szCs w:val="32"/>
        </w:rPr>
        <w:t>5、政府工程项目地上附着物评估费绩效目标表</w:t>
      </w:r>
      <w:r>
        <w:rPr>
          <w:rFonts w:hint="eastAsia" w:ascii="仿宋" w:hAnsi="仿宋" w:eastAsia="仿宋" w:cs="仿宋"/>
          <w:sz w:val="32"/>
          <w:szCs w:val="32"/>
        </w:rPr>
        <w:fldChar w:fldCharType="begin"/>
      </w:r>
      <w:r>
        <w:rPr>
          <w:rFonts w:hint="eastAsia" w:ascii="仿宋" w:hAnsi="仿宋" w:eastAsia="仿宋" w:cs="仿宋"/>
          <w:b/>
          <w:sz w:val="32"/>
          <w:szCs w:val="32"/>
        </w:rPr>
        <w:instrText xml:space="preserve">TC </w:instrText>
      </w:r>
      <w:bookmarkStart w:id="7" w:name="_Toc34951375"/>
      <w:r>
        <w:rPr>
          <w:rFonts w:hint="eastAsia" w:ascii="仿宋" w:hAnsi="仿宋" w:eastAsia="仿宋" w:cs="仿宋"/>
          <w:b/>
          <w:sz w:val="32"/>
          <w:szCs w:val="32"/>
        </w:rPr>
        <w:instrText xml:space="preserve">5、政府工程项目地上附着物评估费绩效目标表</w:instrText>
      </w:r>
      <w:bookmarkEnd w:id="7"/>
      <w:r>
        <w:rPr>
          <w:rFonts w:hint="eastAsia" w:ascii="仿宋" w:hAnsi="仿宋" w:eastAsia="仿宋" w:cs="仿宋"/>
          <w:b/>
          <w:sz w:val="32"/>
          <w:szCs w:val="32"/>
        </w:rPr>
        <w:instrText xml:space="preserve"> \f C \l 1</w:instrText>
      </w:r>
      <w:r>
        <w:rPr>
          <w:rFonts w:hint="eastAsia" w:ascii="仿宋" w:hAnsi="仿宋" w:eastAsia="仿宋" w:cs="仿宋"/>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cs="仿宋"/>
                <w:b/>
                <w:sz w:val="32"/>
                <w:szCs w:val="32"/>
              </w:rPr>
            </w:pPr>
            <w:r>
              <w:rPr>
                <w:rFonts w:hint="eastAsia" w:ascii="仿宋" w:hAnsi="仿宋" w:eastAsia="仿宋" w:cs="仿宋"/>
                <w:b/>
                <w:sz w:val="32"/>
                <w:szCs w:val="32"/>
              </w:rPr>
              <w:t>318002无极县财政局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cs="仿宋"/>
                <w:sz w:val="32"/>
                <w:szCs w:val="32"/>
              </w:rPr>
            </w:pPr>
            <w:r>
              <w:rPr>
                <w:rFonts w:hint="eastAsia" w:ascii="仿宋" w:hAnsi="仿宋" w:eastAsia="仿宋" w:cs="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项目编码</w:t>
            </w:r>
          </w:p>
        </w:tc>
        <w:tc>
          <w:tcPr>
            <w:tcW w:w="2410" w:type="dxa"/>
            <w:gridSpan w:val="2"/>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318-0802-JXN-GLG4</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项目名称</w:t>
            </w:r>
          </w:p>
        </w:tc>
        <w:tc>
          <w:tcPr>
            <w:tcW w:w="4281" w:type="dxa"/>
            <w:gridSpan w:val="3"/>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政府工程项目地上附着物评估费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预算规模及资金用途</w:t>
            </w:r>
          </w:p>
        </w:tc>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预算数</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50.00</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其中：财政资金</w:t>
            </w:r>
          </w:p>
        </w:tc>
        <w:tc>
          <w:tcPr>
            <w:tcW w:w="130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50.00</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其他资金</w:t>
            </w:r>
          </w:p>
        </w:tc>
        <w:tc>
          <w:tcPr>
            <w:tcW w:w="1701" w:type="dxa"/>
            <w:vAlign w:val="center"/>
          </w:tcPr>
          <w:p>
            <w:pPr>
              <w:spacing w:line="300" w:lineRule="exact"/>
              <w:jc w:val="left"/>
              <w:rPr>
                <w:rFonts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ascii="仿宋" w:hAnsi="仿宋" w:eastAsia="仿宋" w:cs="仿宋"/>
                <w:sz w:val="32"/>
                <w:szCs w:val="32"/>
              </w:rPr>
            </w:pPr>
          </w:p>
        </w:tc>
        <w:tc>
          <w:tcPr>
            <w:tcW w:w="8278" w:type="dxa"/>
            <w:gridSpan w:val="6"/>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政府工程项目地上附着物评估费，为有效地上附着物项目工程测算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资金支出计划（%）</w:t>
            </w:r>
          </w:p>
        </w:tc>
        <w:tc>
          <w:tcPr>
            <w:tcW w:w="2410" w:type="dxa"/>
            <w:gridSpan w:val="2"/>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3月底</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6月底</w:t>
            </w:r>
          </w:p>
        </w:tc>
        <w:tc>
          <w:tcPr>
            <w:tcW w:w="130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10月底</w:t>
            </w:r>
          </w:p>
        </w:tc>
        <w:tc>
          <w:tcPr>
            <w:tcW w:w="2977" w:type="dxa"/>
            <w:gridSpan w:val="2"/>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cs="仿宋"/>
                <w:sz w:val="32"/>
                <w:szCs w:val="32"/>
              </w:rPr>
            </w:pPr>
          </w:p>
        </w:tc>
        <w:tc>
          <w:tcPr>
            <w:tcW w:w="2410" w:type="dxa"/>
            <w:gridSpan w:val="2"/>
            <w:tcBorders>
              <w:bottom w:val="single" w:color="000000" w:sz="6" w:space="0"/>
            </w:tcBorders>
            <w:vAlign w:val="center"/>
          </w:tcPr>
          <w:p>
            <w:pPr>
              <w:spacing w:line="300" w:lineRule="exact"/>
              <w:jc w:val="center"/>
              <w:rPr>
                <w:rFonts w:ascii="仿宋" w:hAnsi="仿宋" w:eastAsia="仿宋" w:cs="仿宋"/>
                <w:sz w:val="32"/>
                <w:szCs w:val="32"/>
              </w:rPr>
            </w:pPr>
          </w:p>
        </w:tc>
        <w:tc>
          <w:tcPr>
            <w:tcW w:w="1587" w:type="dxa"/>
            <w:tcBorders>
              <w:bottom w:val="single" w:color="000000" w:sz="6" w:space="0"/>
            </w:tcBorders>
            <w:vAlign w:val="center"/>
          </w:tcPr>
          <w:p>
            <w:pPr>
              <w:spacing w:line="300" w:lineRule="exact"/>
              <w:jc w:val="center"/>
              <w:rPr>
                <w:rFonts w:ascii="仿宋" w:hAnsi="仿宋" w:eastAsia="仿宋" w:cs="仿宋"/>
                <w:sz w:val="32"/>
                <w:szCs w:val="32"/>
              </w:rPr>
            </w:pPr>
          </w:p>
        </w:tc>
        <w:tc>
          <w:tcPr>
            <w:tcW w:w="1304" w:type="dxa"/>
            <w:tcBorders>
              <w:bottom w:val="single" w:color="000000" w:sz="6" w:space="0"/>
            </w:tcBorders>
            <w:vAlign w:val="center"/>
          </w:tcPr>
          <w:p>
            <w:pPr>
              <w:spacing w:line="300" w:lineRule="exact"/>
              <w:jc w:val="center"/>
              <w:rPr>
                <w:rFonts w:ascii="仿宋" w:hAnsi="仿宋" w:eastAsia="仿宋" w:cs="仿宋"/>
                <w:sz w:val="32"/>
                <w:szCs w:val="32"/>
              </w:rPr>
            </w:pPr>
          </w:p>
        </w:tc>
        <w:tc>
          <w:tcPr>
            <w:tcW w:w="2977" w:type="dxa"/>
            <w:gridSpan w:val="2"/>
            <w:tcBorders>
              <w:bottom w:val="single" w:color="000000" w:sz="6" w:space="0"/>
            </w:tcBorders>
            <w:vAlign w:val="center"/>
          </w:tcPr>
          <w:p>
            <w:pPr>
              <w:spacing w:line="300" w:lineRule="exact"/>
              <w:jc w:val="center"/>
              <w:rPr>
                <w:rFonts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绩效目标</w:t>
            </w:r>
          </w:p>
        </w:tc>
        <w:tc>
          <w:tcPr>
            <w:tcW w:w="8278" w:type="dxa"/>
            <w:gridSpan w:val="6"/>
            <w:tcBorders>
              <w:bottom w:val="nil"/>
            </w:tcBorders>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1、对地上附着物进行精准评估</w:t>
            </w:r>
          </w:p>
          <w:p>
            <w:pPr>
              <w:spacing w:line="300" w:lineRule="exact"/>
              <w:jc w:val="left"/>
              <w:rPr>
                <w:rFonts w:ascii="仿宋" w:hAnsi="仿宋" w:eastAsia="仿宋" w:cs="仿宋"/>
                <w:sz w:val="32"/>
                <w:szCs w:val="32"/>
              </w:rPr>
            </w:pPr>
            <w:r>
              <w:rPr>
                <w:rFonts w:hint="eastAsia" w:ascii="仿宋" w:hAnsi="仿宋" w:eastAsia="仿宋" w:cs="仿宋"/>
                <w:sz w:val="32"/>
                <w:szCs w:val="32"/>
              </w:rPr>
              <w:t>2、及时出具评估报告</w:t>
            </w:r>
          </w:p>
        </w:tc>
      </w:tr>
    </w:tbl>
    <w:p>
      <w:pPr>
        <w:spacing w:line="14" w:lineRule="exact"/>
        <w:ind w:firstLine="640" w:firstLineChars="200"/>
        <w:jc w:val="center"/>
        <w:rPr>
          <w:rFonts w:ascii="仿宋" w:hAnsi="仿宋" w:eastAsia="仿宋" w:cs="仿宋"/>
          <w:sz w:val="32"/>
          <w:szCs w:val="32"/>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一级指标</w:t>
            </w:r>
          </w:p>
        </w:tc>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二级指标</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三级指标</w:t>
            </w:r>
          </w:p>
        </w:tc>
        <w:tc>
          <w:tcPr>
            <w:tcW w:w="2891"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绩效指标描述</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指标值</w:t>
            </w:r>
          </w:p>
        </w:tc>
        <w:tc>
          <w:tcPr>
            <w:tcW w:w="1701"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产出指标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质量指标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评估数据精准有效</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评估数据精准效率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根据历年标准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仿宋" w:hAnsi="仿宋" w:eastAsia="仿宋" w:cs="仿宋"/>
                <w:sz w:val="32"/>
                <w:szCs w:val="32"/>
              </w:rPr>
            </w:pP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质量指标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评估报告真实可靠</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评估报告真实程度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根据历年标准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效果指标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经济效益指标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带动社会资金投资比</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带动社会资金投入资金的比例</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根据历年标准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满意度指标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服务对象满意度指标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服务对象满意度</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提供服务的满意程度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根据历年标准</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640" w:firstLineChars="200"/>
        <w:jc w:val="left"/>
        <w:rPr>
          <w:rFonts w:ascii="仿宋" w:hAnsi="仿宋" w:eastAsia="仿宋" w:cs="仿宋"/>
          <w:sz w:val="32"/>
          <w:szCs w:val="32"/>
        </w:rPr>
      </w:pPr>
    </w:p>
    <w:p>
      <w:pPr>
        <w:ind w:firstLine="643" w:firstLineChars="200"/>
        <w:jc w:val="left"/>
        <w:outlineLvl w:val="1"/>
        <w:rPr>
          <w:rFonts w:ascii="仿宋" w:hAnsi="仿宋" w:eastAsia="仿宋" w:cs="仿宋"/>
          <w:b/>
          <w:sz w:val="32"/>
          <w:szCs w:val="32"/>
        </w:rPr>
      </w:pPr>
      <w:r>
        <w:rPr>
          <w:rFonts w:hint="eastAsia" w:ascii="仿宋" w:hAnsi="仿宋" w:eastAsia="仿宋" w:cs="仿宋"/>
          <w:b/>
          <w:sz w:val="32"/>
          <w:szCs w:val="32"/>
        </w:rPr>
        <w:t>6、政府工程项目预算评审费绩效目标表</w:t>
      </w:r>
      <w:r>
        <w:rPr>
          <w:rFonts w:hint="eastAsia" w:ascii="仿宋" w:hAnsi="仿宋" w:eastAsia="仿宋" w:cs="仿宋"/>
          <w:sz w:val="32"/>
          <w:szCs w:val="32"/>
        </w:rPr>
        <w:fldChar w:fldCharType="begin"/>
      </w:r>
      <w:r>
        <w:rPr>
          <w:rFonts w:hint="eastAsia" w:ascii="仿宋" w:hAnsi="仿宋" w:eastAsia="仿宋" w:cs="仿宋"/>
          <w:b/>
          <w:sz w:val="32"/>
          <w:szCs w:val="32"/>
        </w:rPr>
        <w:instrText xml:space="preserve">TC </w:instrText>
      </w:r>
      <w:bookmarkStart w:id="8" w:name="_Toc34951376"/>
      <w:r>
        <w:rPr>
          <w:rFonts w:hint="eastAsia" w:ascii="仿宋" w:hAnsi="仿宋" w:eastAsia="仿宋" w:cs="仿宋"/>
          <w:b/>
          <w:sz w:val="32"/>
          <w:szCs w:val="32"/>
        </w:rPr>
        <w:instrText xml:space="preserve">6、政府工程项目预算评审费绩效目标表</w:instrText>
      </w:r>
      <w:bookmarkEnd w:id="8"/>
      <w:r>
        <w:rPr>
          <w:rFonts w:hint="eastAsia" w:ascii="仿宋" w:hAnsi="仿宋" w:eastAsia="仿宋" w:cs="仿宋"/>
          <w:b/>
          <w:sz w:val="32"/>
          <w:szCs w:val="32"/>
        </w:rPr>
        <w:instrText xml:space="preserve"> \f C \l 1</w:instrText>
      </w:r>
      <w:r>
        <w:rPr>
          <w:rFonts w:hint="eastAsia" w:ascii="仿宋" w:hAnsi="仿宋" w:eastAsia="仿宋" w:cs="仿宋"/>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cs="仿宋"/>
                <w:b/>
                <w:sz w:val="32"/>
                <w:szCs w:val="32"/>
              </w:rPr>
            </w:pPr>
            <w:r>
              <w:rPr>
                <w:rFonts w:hint="eastAsia" w:ascii="仿宋" w:hAnsi="仿宋" w:eastAsia="仿宋" w:cs="仿宋"/>
                <w:b/>
                <w:sz w:val="32"/>
                <w:szCs w:val="32"/>
              </w:rPr>
              <w:t>318002无极县财政局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cs="仿宋"/>
                <w:sz w:val="32"/>
                <w:szCs w:val="32"/>
              </w:rPr>
            </w:pPr>
            <w:r>
              <w:rPr>
                <w:rFonts w:hint="eastAsia" w:ascii="仿宋" w:hAnsi="仿宋" w:eastAsia="仿宋" w:cs="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项目编码</w:t>
            </w:r>
          </w:p>
        </w:tc>
        <w:tc>
          <w:tcPr>
            <w:tcW w:w="2410" w:type="dxa"/>
            <w:gridSpan w:val="2"/>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318-0802-YXN-VDYF</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项目名称</w:t>
            </w:r>
          </w:p>
        </w:tc>
        <w:tc>
          <w:tcPr>
            <w:tcW w:w="4281" w:type="dxa"/>
            <w:gridSpan w:val="3"/>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政府工程项目预算评审费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预算规模及资金用途</w:t>
            </w:r>
          </w:p>
        </w:tc>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预算数</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150.00</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其中：财政资金</w:t>
            </w:r>
          </w:p>
        </w:tc>
        <w:tc>
          <w:tcPr>
            <w:tcW w:w="130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150.00</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其他资金</w:t>
            </w:r>
          </w:p>
        </w:tc>
        <w:tc>
          <w:tcPr>
            <w:tcW w:w="1701" w:type="dxa"/>
            <w:vAlign w:val="center"/>
          </w:tcPr>
          <w:p>
            <w:pPr>
              <w:spacing w:line="300" w:lineRule="exact"/>
              <w:jc w:val="left"/>
              <w:rPr>
                <w:rFonts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ascii="仿宋" w:hAnsi="仿宋" w:eastAsia="仿宋" w:cs="仿宋"/>
                <w:sz w:val="32"/>
                <w:szCs w:val="32"/>
              </w:rPr>
            </w:pPr>
          </w:p>
        </w:tc>
        <w:tc>
          <w:tcPr>
            <w:tcW w:w="8278" w:type="dxa"/>
            <w:gridSpan w:val="6"/>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政府工程项目预算评审费，加强政府工程预算管理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资金支出计划（%）</w:t>
            </w:r>
          </w:p>
        </w:tc>
        <w:tc>
          <w:tcPr>
            <w:tcW w:w="2410" w:type="dxa"/>
            <w:gridSpan w:val="2"/>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3月底</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6月底</w:t>
            </w:r>
          </w:p>
        </w:tc>
        <w:tc>
          <w:tcPr>
            <w:tcW w:w="130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10月底</w:t>
            </w:r>
          </w:p>
        </w:tc>
        <w:tc>
          <w:tcPr>
            <w:tcW w:w="2977" w:type="dxa"/>
            <w:gridSpan w:val="2"/>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cs="仿宋"/>
                <w:sz w:val="32"/>
                <w:szCs w:val="32"/>
              </w:rPr>
            </w:pPr>
          </w:p>
        </w:tc>
        <w:tc>
          <w:tcPr>
            <w:tcW w:w="2410" w:type="dxa"/>
            <w:gridSpan w:val="2"/>
            <w:tcBorders>
              <w:bottom w:val="single" w:color="000000" w:sz="6" w:space="0"/>
            </w:tcBorders>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100.00</w:t>
            </w:r>
          </w:p>
        </w:tc>
        <w:tc>
          <w:tcPr>
            <w:tcW w:w="1587" w:type="dxa"/>
            <w:tcBorders>
              <w:bottom w:val="single" w:color="000000" w:sz="6" w:space="0"/>
            </w:tcBorders>
            <w:vAlign w:val="center"/>
          </w:tcPr>
          <w:p>
            <w:pPr>
              <w:spacing w:line="300" w:lineRule="exact"/>
              <w:jc w:val="center"/>
              <w:rPr>
                <w:rFonts w:ascii="仿宋" w:hAnsi="仿宋" w:eastAsia="仿宋" w:cs="仿宋"/>
                <w:sz w:val="32"/>
                <w:szCs w:val="32"/>
              </w:rPr>
            </w:pPr>
          </w:p>
        </w:tc>
        <w:tc>
          <w:tcPr>
            <w:tcW w:w="1304" w:type="dxa"/>
            <w:tcBorders>
              <w:bottom w:val="single" w:color="000000" w:sz="6" w:space="0"/>
            </w:tcBorders>
            <w:vAlign w:val="center"/>
          </w:tcPr>
          <w:p>
            <w:pPr>
              <w:spacing w:line="300" w:lineRule="exact"/>
              <w:jc w:val="center"/>
              <w:rPr>
                <w:rFonts w:ascii="仿宋" w:hAnsi="仿宋" w:eastAsia="仿宋" w:cs="仿宋"/>
                <w:sz w:val="32"/>
                <w:szCs w:val="32"/>
              </w:rPr>
            </w:pPr>
          </w:p>
        </w:tc>
        <w:tc>
          <w:tcPr>
            <w:tcW w:w="2977" w:type="dxa"/>
            <w:gridSpan w:val="2"/>
            <w:tcBorders>
              <w:bottom w:val="single" w:color="000000" w:sz="6" w:space="0"/>
            </w:tcBorders>
            <w:vAlign w:val="center"/>
          </w:tcPr>
          <w:p>
            <w:pPr>
              <w:spacing w:line="300" w:lineRule="exact"/>
              <w:jc w:val="center"/>
              <w:rPr>
                <w:rFonts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绩效目标</w:t>
            </w:r>
          </w:p>
        </w:tc>
        <w:tc>
          <w:tcPr>
            <w:tcW w:w="8278" w:type="dxa"/>
            <w:gridSpan w:val="6"/>
            <w:tcBorders>
              <w:bottom w:val="nil"/>
            </w:tcBorders>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1、政府工程项目预算评审费，加强政府工程预算管理</w:t>
            </w:r>
          </w:p>
          <w:p>
            <w:pPr>
              <w:spacing w:line="300" w:lineRule="exact"/>
              <w:jc w:val="left"/>
              <w:rPr>
                <w:rFonts w:ascii="仿宋" w:hAnsi="仿宋" w:eastAsia="仿宋" w:cs="仿宋"/>
                <w:sz w:val="32"/>
                <w:szCs w:val="32"/>
              </w:rPr>
            </w:pPr>
            <w:r>
              <w:rPr>
                <w:rFonts w:hint="eastAsia" w:ascii="仿宋" w:hAnsi="仿宋" w:eastAsia="仿宋" w:cs="仿宋"/>
                <w:sz w:val="32"/>
                <w:szCs w:val="32"/>
              </w:rPr>
              <w:t>2、评审数据全面</w:t>
            </w:r>
          </w:p>
          <w:p>
            <w:pPr>
              <w:spacing w:line="300" w:lineRule="exact"/>
              <w:jc w:val="left"/>
              <w:rPr>
                <w:rFonts w:ascii="仿宋" w:hAnsi="仿宋" w:eastAsia="仿宋" w:cs="仿宋"/>
                <w:sz w:val="32"/>
                <w:szCs w:val="32"/>
              </w:rPr>
            </w:pPr>
            <w:r>
              <w:rPr>
                <w:rFonts w:hint="eastAsia" w:ascii="仿宋" w:hAnsi="仿宋" w:eastAsia="仿宋" w:cs="仿宋"/>
                <w:sz w:val="32"/>
                <w:szCs w:val="32"/>
              </w:rPr>
              <w:t>评审数据全面</w:t>
            </w:r>
          </w:p>
          <w:p>
            <w:pPr>
              <w:spacing w:line="300" w:lineRule="exact"/>
              <w:jc w:val="left"/>
              <w:rPr>
                <w:rFonts w:ascii="仿宋" w:hAnsi="仿宋" w:eastAsia="仿宋" w:cs="仿宋"/>
                <w:sz w:val="32"/>
                <w:szCs w:val="32"/>
              </w:rPr>
            </w:pPr>
            <w:r>
              <w:rPr>
                <w:rFonts w:hint="eastAsia" w:ascii="仿宋" w:hAnsi="仿宋" w:eastAsia="仿宋" w:cs="仿宋"/>
                <w:sz w:val="32"/>
                <w:szCs w:val="32"/>
              </w:rPr>
              <w:t>评审数据全面，保障工程项目正常运行</w:t>
            </w:r>
          </w:p>
        </w:tc>
      </w:tr>
    </w:tbl>
    <w:p>
      <w:pPr>
        <w:spacing w:line="14" w:lineRule="exact"/>
        <w:ind w:firstLine="640" w:firstLineChars="200"/>
        <w:jc w:val="center"/>
        <w:rPr>
          <w:rFonts w:ascii="仿宋" w:hAnsi="仿宋" w:eastAsia="仿宋" w:cs="仿宋"/>
          <w:sz w:val="32"/>
          <w:szCs w:val="32"/>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一级指标</w:t>
            </w:r>
          </w:p>
        </w:tc>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二级指标</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三级指标</w:t>
            </w:r>
          </w:p>
        </w:tc>
        <w:tc>
          <w:tcPr>
            <w:tcW w:w="2891"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绩效指标描述</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指标值</w:t>
            </w:r>
          </w:p>
        </w:tc>
        <w:tc>
          <w:tcPr>
            <w:tcW w:w="1701"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产出指标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质量指标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评审报告真实可靠</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评审报告真实程度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根据历年标准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仿宋" w:hAnsi="仿宋" w:eastAsia="仿宋" w:cs="仿宋"/>
                <w:sz w:val="32"/>
                <w:szCs w:val="32"/>
              </w:rPr>
            </w:pP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数量指标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评审数据全面</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评审数据全面率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根据历年标准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效果指标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经济效益指标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发展本地工程效率</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发展本地工程效率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根据历年标准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满意度指标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服务对象满意度指标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服务对象满意度</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提供服务的满意程度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根据历年标准</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640" w:firstLineChars="200"/>
        <w:jc w:val="left"/>
        <w:rPr>
          <w:rFonts w:ascii="仿宋" w:hAnsi="仿宋" w:eastAsia="仿宋" w:cs="仿宋"/>
          <w:sz w:val="32"/>
          <w:szCs w:val="32"/>
        </w:rPr>
      </w:pPr>
    </w:p>
    <w:p>
      <w:pPr>
        <w:ind w:firstLine="643" w:firstLineChars="200"/>
        <w:jc w:val="left"/>
        <w:outlineLvl w:val="1"/>
        <w:rPr>
          <w:rFonts w:ascii="仿宋" w:hAnsi="仿宋" w:eastAsia="仿宋" w:cs="仿宋"/>
          <w:b/>
          <w:sz w:val="32"/>
          <w:szCs w:val="32"/>
        </w:rPr>
      </w:pPr>
      <w:r>
        <w:rPr>
          <w:rFonts w:hint="eastAsia" w:ascii="仿宋" w:hAnsi="仿宋" w:eastAsia="仿宋" w:cs="仿宋"/>
          <w:b/>
          <w:sz w:val="32"/>
          <w:szCs w:val="32"/>
        </w:rPr>
        <w:t>7、综合治税经费绩效目标表</w:t>
      </w:r>
      <w:r>
        <w:rPr>
          <w:rFonts w:hint="eastAsia" w:ascii="仿宋" w:hAnsi="仿宋" w:eastAsia="仿宋" w:cs="仿宋"/>
          <w:sz w:val="32"/>
          <w:szCs w:val="32"/>
        </w:rPr>
        <w:fldChar w:fldCharType="begin"/>
      </w:r>
      <w:r>
        <w:rPr>
          <w:rFonts w:hint="eastAsia" w:ascii="仿宋" w:hAnsi="仿宋" w:eastAsia="仿宋" w:cs="仿宋"/>
          <w:b/>
          <w:sz w:val="32"/>
          <w:szCs w:val="32"/>
        </w:rPr>
        <w:instrText xml:space="preserve">TC </w:instrText>
      </w:r>
      <w:bookmarkStart w:id="9" w:name="_Toc34951377"/>
      <w:r>
        <w:rPr>
          <w:rFonts w:hint="eastAsia" w:ascii="仿宋" w:hAnsi="仿宋" w:eastAsia="仿宋" w:cs="仿宋"/>
          <w:b/>
          <w:sz w:val="32"/>
          <w:szCs w:val="32"/>
        </w:rPr>
        <w:instrText xml:space="preserve">7、综合治税经费绩效目标表</w:instrText>
      </w:r>
      <w:bookmarkEnd w:id="9"/>
      <w:r>
        <w:rPr>
          <w:rFonts w:hint="eastAsia" w:ascii="仿宋" w:hAnsi="仿宋" w:eastAsia="仿宋" w:cs="仿宋"/>
          <w:b/>
          <w:sz w:val="32"/>
          <w:szCs w:val="32"/>
        </w:rPr>
        <w:instrText xml:space="preserve"> \f C \l 1</w:instrText>
      </w:r>
      <w:r>
        <w:rPr>
          <w:rFonts w:hint="eastAsia" w:ascii="仿宋" w:hAnsi="仿宋" w:eastAsia="仿宋" w:cs="仿宋"/>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cs="仿宋"/>
                <w:b/>
                <w:sz w:val="32"/>
                <w:szCs w:val="32"/>
              </w:rPr>
            </w:pPr>
            <w:r>
              <w:rPr>
                <w:rFonts w:hint="eastAsia" w:ascii="仿宋" w:hAnsi="仿宋" w:eastAsia="仿宋" w:cs="仿宋"/>
                <w:b/>
                <w:sz w:val="32"/>
                <w:szCs w:val="32"/>
              </w:rPr>
              <w:t>318002无极县财政局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cs="仿宋"/>
                <w:sz w:val="32"/>
                <w:szCs w:val="32"/>
              </w:rPr>
            </w:pPr>
            <w:r>
              <w:rPr>
                <w:rFonts w:hint="eastAsia" w:ascii="仿宋" w:hAnsi="仿宋" w:eastAsia="仿宋" w:cs="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项目编码</w:t>
            </w:r>
          </w:p>
        </w:tc>
        <w:tc>
          <w:tcPr>
            <w:tcW w:w="2410" w:type="dxa"/>
            <w:gridSpan w:val="2"/>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318-0802-JXN-XAG8</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项目名称</w:t>
            </w:r>
          </w:p>
        </w:tc>
        <w:tc>
          <w:tcPr>
            <w:tcW w:w="4281" w:type="dxa"/>
            <w:gridSpan w:val="3"/>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综合治税经费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预算规模及资金用途</w:t>
            </w:r>
          </w:p>
        </w:tc>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预算数</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40.00</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其中：财政资金</w:t>
            </w:r>
          </w:p>
        </w:tc>
        <w:tc>
          <w:tcPr>
            <w:tcW w:w="130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40.00</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其他资金</w:t>
            </w:r>
          </w:p>
        </w:tc>
        <w:tc>
          <w:tcPr>
            <w:tcW w:w="1701" w:type="dxa"/>
            <w:vAlign w:val="center"/>
          </w:tcPr>
          <w:p>
            <w:pPr>
              <w:spacing w:line="300" w:lineRule="exact"/>
              <w:jc w:val="left"/>
              <w:rPr>
                <w:rFonts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ascii="仿宋" w:hAnsi="仿宋" w:eastAsia="仿宋" w:cs="仿宋"/>
                <w:sz w:val="32"/>
                <w:szCs w:val="32"/>
              </w:rPr>
            </w:pPr>
          </w:p>
        </w:tc>
        <w:tc>
          <w:tcPr>
            <w:tcW w:w="8278" w:type="dxa"/>
            <w:gridSpan w:val="6"/>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为组织收入发挥重要作用，为更好地挖潜堵漏，以确保财政蛋糕不断做大做强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资金支出计划（%）</w:t>
            </w:r>
          </w:p>
        </w:tc>
        <w:tc>
          <w:tcPr>
            <w:tcW w:w="2410" w:type="dxa"/>
            <w:gridSpan w:val="2"/>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3月底</w:t>
            </w:r>
          </w:p>
        </w:tc>
        <w:tc>
          <w:tcPr>
            <w:tcW w:w="1587"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6月底</w:t>
            </w:r>
          </w:p>
        </w:tc>
        <w:tc>
          <w:tcPr>
            <w:tcW w:w="130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10月底</w:t>
            </w:r>
          </w:p>
        </w:tc>
        <w:tc>
          <w:tcPr>
            <w:tcW w:w="2977" w:type="dxa"/>
            <w:gridSpan w:val="2"/>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cs="仿宋"/>
                <w:sz w:val="32"/>
                <w:szCs w:val="32"/>
              </w:rPr>
            </w:pPr>
          </w:p>
        </w:tc>
        <w:tc>
          <w:tcPr>
            <w:tcW w:w="2410" w:type="dxa"/>
            <w:gridSpan w:val="2"/>
            <w:tcBorders>
              <w:bottom w:val="single" w:color="000000" w:sz="6" w:space="0"/>
            </w:tcBorders>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25.00</w:t>
            </w:r>
          </w:p>
        </w:tc>
        <w:tc>
          <w:tcPr>
            <w:tcW w:w="1587" w:type="dxa"/>
            <w:tcBorders>
              <w:bottom w:val="single" w:color="000000" w:sz="6" w:space="0"/>
            </w:tcBorders>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50.00</w:t>
            </w:r>
          </w:p>
        </w:tc>
        <w:tc>
          <w:tcPr>
            <w:tcW w:w="1304" w:type="dxa"/>
            <w:tcBorders>
              <w:bottom w:val="single" w:color="000000" w:sz="6" w:space="0"/>
            </w:tcBorders>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75.00</w:t>
            </w:r>
          </w:p>
        </w:tc>
        <w:tc>
          <w:tcPr>
            <w:tcW w:w="2977" w:type="dxa"/>
            <w:gridSpan w:val="2"/>
            <w:tcBorders>
              <w:bottom w:val="single" w:color="000000" w:sz="6" w:space="0"/>
            </w:tcBorders>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绩效目标</w:t>
            </w:r>
          </w:p>
        </w:tc>
        <w:tc>
          <w:tcPr>
            <w:tcW w:w="8278" w:type="dxa"/>
            <w:gridSpan w:val="6"/>
            <w:tcBorders>
              <w:bottom w:val="nil"/>
            </w:tcBorders>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1、确保财政收入</w:t>
            </w:r>
          </w:p>
          <w:p>
            <w:pPr>
              <w:spacing w:line="300" w:lineRule="exact"/>
              <w:jc w:val="left"/>
              <w:rPr>
                <w:rFonts w:ascii="仿宋" w:hAnsi="仿宋" w:eastAsia="仿宋" w:cs="仿宋"/>
                <w:sz w:val="32"/>
                <w:szCs w:val="32"/>
              </w:rPr>
            </w:pPr>
            <w:r>
              <w:rPr>
                <w:rFonts w:hint="eastAsia" w:ascii="仿宋" w:hAnsi="仿宋" w:eastAsia="仿宋" w:cs="仿宋"/>
                <w:sz w:val="32"/>
                <w:szCs w:val="32"/>
              </w:rPr>
              <w:t>2、更好的挖掘漏洞，及时纠正漏洞</w:t>
            </w:r>
          </w:p>
        </w:tc>
      </w:tr>
    </w:tbl>
    <w:p>
      <w:pPr>
        <w:spacing w:line="14" w:lineRule="exact"/>
        <w:ind w:firstLine="640" w:firstLineChars="200"/>
        <w:jc w:val="center"/>
        <w:rPr>
          <w:rFonts w:ascii="仿宋" w:hAnsi="仿宋" w:eastAsia="仿宋" w:cs="仿宋"/>
          <w:sz w:val="32"/>
          <w:szCs w:val="32"/>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一级指标</w:t>
            </w:r>
          </w:p>
        </w:tc>
        <w:tc>
          <w:tcPr>
            <w:tcW w:w="11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二级指标</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三级指标</w:t>
            </w:r>
          </w:p>
        </w:tc>
        <w:tc>
          <w:tcPr>
            <w:tcW w:w="2891"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绩效指标描述</w:t>
            </w:r>
          </w:p>
        </w:tc>
        <w:tc>
          <w:tcPr>
            <w:tcW w:w="1276"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指标值</w:t>
            </w:r>
          </w:p>
        </w:tc>
        <w:tc>
          <w:tcPr>
            <w:tcW w:w="1701"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产出指标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质量指标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保障财政收入</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保障财政收入程度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&gt;90%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效果指标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经济效益指标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资金使用效率</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资金使用效率程度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&gt;90%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仿宋" w:hAnsi="仿宋" w:eastAsia="仿宋" w:cs="仿宋"/>
                <w:sz w:val="32"/>
                <w:szCs w:val="32"/>
              </w:rPr>
            </w:pP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社会效益指标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宣传力度程度</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宣传力度的大小获得支持的程度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&gt;90%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满意度指标</w:t>
            </w:r>
          </w:p>
        </w:tc>
        <w:tc>
          <w:tcPr>
            <w:tcW w:w="11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服务对象满意度指标</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服务对象满意度</w:t>
            </w:r>
          </w:p>
        </w:tc>
        <w:tc>
          <w:tcPr>
            <w:tcW w:w="289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微服务对象提供服务的满意程度</w:t>
            </w:r>
          </w:p>
        </w:tc>
        <w:tc>
          <w:tcPr>
            <w:tcW w:w="127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&gt;90%</w:t>
            </w:r>
          </w:p>
        </w:tc>
        <w:tc>
          <w:tcPr>
            <w:tcW w:w="1701"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年度工作计划</w:t>
            </w:r>
          </w:p>
        </w:tc>
      </w:tr>
    </w:tbl>
    <w:p>
      <w:pPr>
        <w:spacing w:line="500" w:lineRule="exact"/>
        <w:jc w:val="left"/>
        <w:rPr>
          <w:rFonts w:hint="eastAsia" w:ascii="黑体" w:hAnsi="黑体" w:eastAsia="黑体" w:cs="黑体"/>
          <w:sz w:val="32"/>
          <w:szCs w:val="32"/>
          <w:lang w:val="en-US" w:eastAsia="zh-CN"/>
        </w:rPr>
      </w:pPr>
    </w:p>
    <w:p>
      <w:pPr>
        <w:spacing w:line="500" w:lineRule="exact"/>
        <w:jc w:val="left"/>
        <w:rPr>
          <w:rFonts w:hint="eastAsia" w:ascii="黑体" w:hAnsi="黑体" w:eastAsia="黑体" w:cs="黑体"/>
          <w:sz w:val="32"/>
          <w:szCs w:val="32"/>
          <w:lang w:val="en-US" w:eastAsia="zh-CN"/>
        </w:rPr>
      </w:pPr>
    </w:p>
    <w:p>
      <w:pPr>
        <w:spacing w:line="500" w:lineRule="exact"/>
        <w:ind w:firstLine="640" w:firstLineChars="200"/>
        <w:jc w:val="left"/>
        <w:rPr>
          <w:rFonts w:ascii="仿宋" w:hAnsi="仿宋" w:eastAsia="仿宋" w:cs="仿宋"/>
          <w:sz w:val="32"/>
          <w:szCs w:val="32"/>
        </w:rPr>
      </w:pPr>
    </w:p>
    <w:p>
      <w:pPr>
        <w:spacing w:line="300" w:lineRule="exact"/>
        <w:ind w:firstLine="640" w:firstLineChars="200"/>
        <w:jc w:val="left"/>
        <w:rPr>
          <w:rFonts w:ascii="仿宋" w:hAnsi="仿宋" w:eastAsia="仿宋" w:cs="仿宋"/>
          <w:sz w:val="32"/>
          <w:szCs w:val="32"/>
        </w:rPr>
      </w:pPr>
    </w:p>
    <w:p>
      <w:pPr>
        <w:autoSpaceDE w:val="0"/>
        <w:autoSpaceDN w:val="0"/>
        <w:adjustRightInd w:val="0"/>
        <w:ind w:firstLine="964" w:firstLineChars="300"/>
        <w:jc w:val="left"/>
        <w:rPr>
          <w:rFonts w:ascii="仿宋" w:hAnsi="仿宋" w:eastAsia="仿宋" w:cs="仿宋"/>
          <w:b/>
          <w:bCs/>
          <w:sz w:val="32"/>
          <w:szCs w:val="32"/>
        </w:rPr>
      </w:pPr>
      <w:r>
        <w:rPr>
          <w:rFonts w:hint="eastAsia" w:ascii="仿宋" w:hAnsi="仿宋" w:eastAsia="仿宋" w:cs="仿宋"/>
          <w:b/>
          <w:bCs/>
          <w:sz w:val="32"/>
          <w:szCs w:val="32"/>
        </w:rPr>
        <w:t>六、政府采购预算情况</w:t>
      </w:r>
    </w:p>
    <w:p>
      <w:pPr>
        <w:ind w:firstLine="640" w:firstLineChars="200"/>
        <w:outlineLvl w:val="0"/>
        <w:rPr>
          <w:rFonts w:hint="eastAsia" w:ascii="仿宋" w:hAnsi="仿宋" w:eastAsia="仿宋" w:cs="仿宋"/>
          <w:sz w:val="32"/>
          <w:szCs w:val="32"/>
        </w:rPr>
      </w:pPr>
      <w:bookmarkStart w:id="10" w:name="_Toc471398468"/>
      <w:r>
        <w:rPr>
          <w:rFonts w:hint="eastAsia" w:ascii="仿宋" w:hAnsi="仿宋" w:eastAsia="仿宋" w:cs="仿宋"/>
          <w:sz w:val="32"/>
          <w:szCs w:val="32"/>
        </w:rPr>
        <w:t xml:space="preserve"> 2020年，我</w:t>
      </w:r>
      <w:r>
        <w:rPr>
          <w:rFonts w:hint="eastAsia" w:ascii="仿宋" w:hAnsi="仿宋" w:eastAsia="仿宋" w:cs="仿宋"/>
          <w:sz w:val="32"/>
          <w:szCs w:val="32"/>
          <w:lang w:val="en-US" w:eastAsia="zh-CN"/>
        </w:rPr>
        <w:t>单位没有</w:t>
      </w:r>
      <w:r>
        <w:rPr>
          <w:rFonts w:hint="eastAsia" w:ascii="仿宋" w:hAnsi="仿宋" w:eastAsia="仿宋" w:cs="仿宋"/>
          <w:sz w:val="32"/>
          <w:szCs w:val="32"/>
        </w:rPr>
        <w:t>安排政府采购预算</w:t>
      </w:r>
      <w:r>
        <w:rPr>
          <w:rFonts w:hint="eastAsia" w:ascii="仿宋" w:hAnsi="仿宋" w:eastAsia="仿宋" w:cs="仿宋"/>
          <w:sz w:val="32"/>
          <w:szCs w:val="32"/>
          <w:lang w:eastAsia="zh-CN"/>
        </w:rPr>
        <w:t>，</w:t>
      </w:r>
      <w:r>
        <w:rPr>
          <w:rFonts w:hint="eastAsia" w:ascii="仿宋" w:hAnsi="仿宋" w:eastAsia="仿宋"/>
          <w:sz w:val="32"/>
          <w:szCs w:val="32"/>
        </w:rPr>
        <w:t>政府采购预算金额为0万元。</w:t>
      </w:r>
      <w:bookmarkEnd w:id="10"/>
    </w:p>
    <w:p>
      <w:pPr>
        <w:autoSpaceDN w:val="0"/>
        <w:ind w:left="0" w:leftChars="0" w:firstLine="5461" w:firstLineChars="1700"/>
        <w:jc w:val="both"/>
        <w:textAlignment w:val="center"/>
        <w:rPr>
          <w:rFonts w:hint="eastAsia" w:ascii="仿宋_GB2312" w:hAnsi="宋体" w:eastAsia="仿宋_GB2312"/>
          <w:b/>
          <w:color w:val="000000"/>
          <w:sz w:val="32"/>
          <w:szCs w:val="32"/>
        </w:rPr>
      </w:pPr>
    </w:p>
    <w:p>
      <w:pPr>
        <w:autoSpaceDN w:val="0"/>
        <w:ind w:left="0" w:leftChars="0" w:firstLine="5461" w:firstLineChars="1700"/>
        <w:jc w:val="both"/>
        <w:textAlignment w:val="center"/>
        <w:rPr>
          <w:rFonts w:hint="eastAsia" w:ascii="仿宋_GB2312" w:hAnsi="宋体" w:eastAsia="仿宋_GB2312"/>
          <w:b/>
          <w:color w:val="000000"/>
          <w:sz w:val="32"/>
          <w:szCs w:val="32"/>
        </w:rPr>
      </w:pPr>
      <w:r>
        <w:rPr>
          <w:rFonts w:hint="eastAsia" w:ascii="仿宋_GB2312" w:hAnsi="宋体" w:eastAsia="仿宋_GB2312"/>
          <w:b/>
          <w:color w:val="000000"/>
          <w:sz w:val="32"/>
          <w:szCs w:val="32"/>
        </w:rPr>
        <w:t>部门政府采购预算</w:t>
      </w:r>
    </w:p>
    <w:p>
      <w:pPr>
        <w:autoSpaceDN w:val="0"/>
        <w:ind w:left="0" w:leftChars="0" w:firstLine="0" w:firstLineChars="0"/>
        <w:jc w:val="both"/>
        <w:textAlignment w:val="center"/>
        <w:rPr>
          <w:rFonts w:hint="eastAsia" w:ascii="仿宋_GB2312" w:hAnsi="宋体" w:eastAsia="仿宋_GB2312"/>
          <w:b/>
          <w:color w:val="000000"/>
          <w:sz w:val="32"/>
          <w:szCs w:val="32"/>
        </w:rPr>
      </w:pPr>
    </w:p>
    <w:p>
      <w:pPr>
        <w:tabs>
          <w:tab w:val="left" w:pos="5360"/>
          <w:tab w:val="left" w:pos="6580"/>
          <w:tab w:val="left" w:pos="7160"/>
          <w:tab w:val="left" w:pos="8000"/>
        </w:tabs>
        <w:autoSpaceDN w:val="0"/>
        <w:jc w:val="left"/>
        <w:textAlignment w:val="center"/>
        <w:rPr>
          <w:rFonts w:hint="eastAsia" w:ascii="仿宋_GB2312" w:hAnsi="宋体" w:eastAsia="仿宋_GB2312"/>
          <w:color w:val="000000"/>
          <w:sz w:val="24"/>
        </w:rPr>
      </w:pPr>
      <w:r>
        <w:rPr>
          <w:rFonts w:hint="eastAsia" w:ascii="仿宋_GB2312" w:hAnsi="宋体" w:eastAsia="仿宋_GB2312"/>
          <w:color w:val="000000"/>
          <w:sz w:val="24"/>
        </w:rPr>
        <w:t xml:space="preserve"> </w:t>
      </w:r>
      <w:r>
        <w:rPr>
          <w:rFonts w:hint="eastAsia" w:ascii="仿宋_GB2312" w:hAnsi="宋体"/>
          <w:color w:val="000000"/>
          <w:sz w:val="24"/>
          <w:lang w:val="en-US" w:eastAsia="zh-CN"/>
        </w:rPr>
        <w:t>318 无极县财政局</w:t>
      </w:r>
      <w:r>
        <w:rPr>
          <w:rFonts w:hint="eastAsia" w:ascii="仿宋_GB2312" w:hAnsi="宋体" w:eastAsia="仿宋_GB2312"/>
          <w:color w:val="000000"/>
          <w:sz w:val="24"/>
        </w:rPr>
        <w:t xml:space="preserve">                            </w:t>
      </w:r>
      <w:r>
        <w:rPr>
          <w:rFonts w:hint="eastAsia" w:ascii="仿宋_GB2312" w:hAnsi="宋体"/>
          <w:color w:val="000000"/>
          <w:sz w:val="24"/>
          <w:lang w:val="en-US" w:eastAsia="zh-CN"/>
        </w:rPr>
        <w:t xml:space="preserve">                                                    </w:t>
      </w:r>
      <w:r>
        <w:rPr>
          <w:rFonts w:hint="eastAsia" w:ascii="仿宋_GB2312" w:hAnsi="宋体" w:eastAsia="仿宋_GB2312"/>
          <w:color w:val="000000"/>
          <w:sz w:val="24"/>
        </w:rPr>
        <w:t>单位：万元</w:t>
      </w:r>
      <w:r>
        <w:rPr>
          <w:rFonts w:hint="eastAsia" w:ascii="仿宋_GB2312" w:hAnsi="宋体" w:eastAsia="仿宋_GB2312"/>
          <w:color w:val="000000"/>
          <w:sz w:val="24"/>
        </w:rPr>
        <w:tab/>
      </w:r>
      <w:r>
        <w:rPr>
          <w:rFonts w:hint="eastAsia" w:ascii="仿宋_GB2312" w:hAnsi="宋体" w:eastAsia="仿宋_GB2312"/>
          <w:color w:val="000000"/>
          <w:sz w:val="24"/>
        </w:rPr>
        <w:tab/>
      </w:r>
    </w:p>
    <w:tbl>
      <w:tblPr>
        <w:tblStyle w:val="7"/>
        <w:tblW w:w="14237" w:type="dxa"/>
        <w:tblInd w:w="0" w:type="dxa"/>
        <w:tblLayout w:type="fixed"/>
        <w:tblCellMar>
          <w:top w:w="0" w:type="dxa"/>
          <w:left w:w="108" w:type="dxa"/>
          <w:bottom w:w="0" w:type="dxa"/>
          <w:right w:w="108" w:type="dxa"/>
        </w:tblCellMar>
      </w:tblPr>
      <w:tblGrid>
        <w:gridCol w:w="2014"/>
        <w:gridCol w:w="975"/>
        <w:gridCol w:w="1455"/>
        <w:gridCol w:w="2295"/>
        <w:gridCol w:w="590"/>
        <w:gridCol w:w="673"/>
        <w:gridCol w:w="477"/>
        <w:gridCol w:w="902"/>
        <w:gridCol w:w="812"/>
        <w:gridCol w:w="850"/>
        <w:gridCol w:w="889"/>
        <w:gridCol w:w="850"/>
        <w:gridCol w:w="837"/>
        <w:gridCol w:w="618"/>
      </w:tblGrid>
      <w:tr>
        <w:tblPrEx>
          <w:tblCellMar>
            <w:top w:w="0" w:type="dxa"/>
            <w:left w:w="108" w:type="dxa"/>
            <w:bottom w:w="0" w:type="dxa"/>
            <w:right w:w="108" w:type="dxa"/>
          </w:tblCellMar>
        </w:tblPrEx>
        <w:trPr>
          <w:cantSplit/>
          <w:trHeight w:val="285" w:hRule="atLeast"/>
        </w:trPr>
        <w:tc>
          <w:tcPr>
            <w:tcW w:w="2989"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政府采购项目来源</w:t>
            </w:r>
          </w:p>
        </w:tc>
        <w:tc>
          <w:tcPr>
            <w:tcW w:w="1455" w:type="dxa"/>
            <w:vMerge w:val="restart"/>
            <w:tcBorders>
              <w:top w:val="single" w:color="000000" w:sz="4" w:space="0"/>
              <w:left w:val="single" w:color="000000" w:sz="4" w:space="0"/>
              <w:right w:val="single" w:color="000000" w:sz="4" w:space="0"/>
            </w:tcBorders>
            <w:noWrap w:val="0"/>
            <w:textDirection w:val="tbRlV"/>
            <w:vAlign w:val="center"/>
          </w:tcPr>
          <w:p>
            <w:pPr>
              <w:ind w:left="113" w:right="113" w:firstLine="200"/>
              <w:jc w:val="center"/>
              <w:rPr>
                <w:rFonts w:hint="eastAsia" w:ascii="仿宋_GB2312" w:eastAsia="仿宋_GB2312"/>
                <w:sz w:val="24"/>
              </w:rPr>
            </w:pPr>
            <w:r>
              <w:rPr>
                <w:rFonts w:hint="eastAsia" w:ascii="仿宋_GB2312" w:hAnsi="宋体" w:eastAsia="仿宋_GB2312"/>
                <w:color w:val="000000"/>
                <w:sz w:val="24"/>
              </w:rPr>
              <w:t>政府采购目录序号</w:t>
            </w:r>
          </w:p>
        </w:tc>
        <w:tc>
          <w:tcPr>
            <w:tcW w:w="2295" w:type="dxa"/>
            <w:vMerge w:val="restart"/>
            <w:tcBorders>
              <w:top w:val="single" w:color="000000" w:sz="4" w:space="0"/>
              <w:left w:val="single" w:color="000000" w:sz="4" w:space="0"/>
              <w:right w:val="single" w:color="000000" w:sz="4" w:space="0"/>
            </w:tcBorders>
            <w:noWrap w:val="0"/>
            <w:textDirection w:val="tbRlV"/>
            <w:vAlign w:val="center"/>
          </w:tcPr>
          <w:p>
            <w:pPr>
              <w:autoSpaceDN w:val="0"/>
              <w:ind w:left="113" w:right="113" w:firstLine="20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采购项目名称</w:t>
            </w:r>
          </w:p>
        </w:tc>
        <w:tc>
          <w:tcPr>
            <w:tcW w:w="590" w:type="dxa"/>
            <w:vMerge w:val="restart"/>
            <w:tcBorders>
              <w:top w:val="single" w:color="000000" w:sz="4" w:space="0"/>
              <w:left w:val="single" w:color="000000" w:sz="4" w:space="0"/>
              <w:bottom w:val="single" w:color="000000" w:sz="4" w:space="0"/>
              <w:right w:val="single" w:color="000000" w:sz="4" w:space="0"/>
            </w:tcBorders>
            <w:noWrap w:val="0"/>
            <w:textDirection w:val="tbRlV"/>
            <w:vAlign w:val="center"/>
          </w:tcPr>
          <w:p>
            <w:pPr>
              <w:autoSpaceDN w:val="0"/>
              <w:ind w:left="113" w:right="113" w:firstLine="20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数量单位</w:t>
            </w:r>
          </w:p>
        </w:tc>
        <w:tc>
          <w:tcPr>
            <w:tcW w:w="673" w:type="dxa"/>
            <w:vMerge w:val="restart"/>
            <w:tcBorders>
              <w:top w:val="single" w:color="000000" w:sz="4" w:space="0"/>
              <w:left w:val="single" w:color="000000" w:sz="4" w:space="0"/>
              <w:bottom w:val="single" w:color="000000" w:sz="4" w:space="0"/>
              <w:right w:val="single" w:color="000000" w:sz="4" w:space="0"/>
            </w:tcBorders>
            <w:noWrap w:val="0"/>
            <w:textDirection w:val="tbRlV"/>
            <w:vAlign w:val="center"/>
          </w:tcPr>
          <w:p>
            <w:pPr>
              <w:autoSpaceDN w:val="0"/>
              <w:ind w:left="113" w:right="113" w:firstLine="20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单价</w:t>
            </w:r>
          </w:p>
        </w:tc>
        <w:tc>
          <w:tcPr>
            <w:tcW w:w="477" w:type="dxa"/>
            <w:vMerge w:val="restart"/>
            <w:tcBorders>
              <w:top w:val="single" w:color="000000" w:sz="4" w:space="0"/>
              <w:left w:val="single" w:color="000000" w:sz="4" w:space="0"/>
              <w:bottom w:val="single" w:color="000000" w:sz="4" w:space="0"/>
              <w:right w:val="single" w:color="000000" w:sz="4" w:space="0"/>
            </w:tcBorders>
            <w:noWrap w:val="0"/>
            <w:textDirection w:val="tbRlV"/>
            <w:vAlign w:val="center"/>
          </w:tcPr>
          <w:p>
            <w:pPr>
              <w:autoSpaceDN w:val="0"/>
              <w:ind w:left="113" w:right="113" w:firstLine="20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数量</w:t>
            </w:r>
          </w:p>
        </w:tc>
        <w:tc>
          <w:tcPr>
            <w:tcW w:w="5758" w:type="dxa"/>
            <w:gridSpan w:val="7"/>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政府采购计划金额</w:t>
            </w:r>
          </w:p>
        </w:tc>
      </w:tr>
      <w:tr>
        <w:tblPrEx>
          <w:tblCellMar>
            <w:top w:w="0" w:type="dxa"/>
            <w:left w:w="108" w:type="dxa"/>
            <w:bottom w:w="0" w:type="dxa"/>
            <w:right w:w="108" w:type="dxa"/>
          </w:tblCellMar>
        </w:tblPrEx>
        <w:trPr>
          <w:cantSplit/>
          <w:trHeight w:val="285" w:hRule="atLeast"/>
        </w:trPr>
        <w:tc>
          <w:tcPr>
            <w:tcW w:w="2989"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_GB2312" w:eastAsia="仿宋_GB2312"/>
                <w:sz w:val="24"/>
              </w:rPr>
            </w:pPr>
          </w:p>
        </w:tc>
        <w:tc>
          <w:tcPr>
            <w:tcW w:w="1455" w:type="dxa"/>
            <w:vMerge w:val="continue"/>
            <w:tcBorders>
              <w:left w:val="single" w:color="000000" w:sz="4" w:space="0"/>
              <w:right w:val="single" w:color="000000" w:sz="4" w:space="0"/>
            </w:tcBorders>
            <w:noWrap w:val="0"/>
            <w:vAlign w:val="center"/>
          </w:tcPr>
          <w:p>
            <w:pPr>
              <w:jc w:val="center"/>
              <w:rPr>
                <w:rFonts w:hint="eastAsia" w:ascii="仿宋_GB2312" w:eastAsia="仿宋_GB2312"/>
                <w:sz w:val="24"/>
              </w:rPr>
            </w:pPr>
          </w:p>
        </w:tc>
        <w:tc>
          <w:tcPr>
            <w:tcW w:w="2295" w:type="dxa"/>
            <w:vMerge w:val="continue"/>
            <w:tcBorders>
              <w:left w:val="single" w:color="000000" w:sz="4" w:space="0"/>
              <w:right w:val="single" w:color="000000" w:sz="4" w:space="0"/>
            </w:tcBorders>
            <w:noWrap w:val="0"/>
            <w:vAlign w:val="center"/>
          </w:tcPr>
          <w:p>
            <w:pPr>
              <w:jc w:val="center"/>
              <w:rPr>
                <w:rFonts w:hint="eastAsia" w:ascii="仿宋_GB2312" w:eastAsia="仿宋_GB2312"/>
                <w:sz w:val="24"/>
              </w:rPr>
            </w:pPr>
          </w:p>
        </w:tc>
        <w:tc>
          <w:tcPr>
            <w:tcW w:w="59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_GB2312" w:eastAsia="仿宋_GB2312"/>
                <w:sz w:val="24"/>
              </w:rPr>
            </w:pPr>
          </w:p>
        </w:tc>
        <w:tc>
          <w:tcPr>
            <w:tcW w:w="673"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_GB2312" w:eastAsia="仿宋_GB2312"/>
                <w:sz w:val="24"/>
              </w:rPr>
            </w:pPr>
          </w:p>
        </w:tc>
        <w:tc>
          <w:tcPr>
            <w:tcW w:w="477"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_GB2312" w:eastAsia="仿宋_GB2312"/>
                <w:sz w:val="24"/>
              </w:rPr>
            </w:pPr>
          </w:p>
        </w:tc>
        <w:tc>
          <w:tcPr>
            <w:tcW w:w="902" w:type="dxa"/>
            <w:vMerge w:val="restart"/>
            <w:tcBorders>
              <w:top w:val="single" w:color="000000" w:sz="4" w:space="0"/>
              <w:left w:val="single" w:color="000000" w:sz="4" w:space="0"/>
              <w:right w:val="single" w:color="000000" w:sz="4" w:space="0"/>
            </w:tcBorders>
            <w:noWrap w:val="0"/>
            <w:textDirection w:val="tbRlV"/>
            <w:vAlign w:val="center"/>
          </w:tcPr>
          <w:p>
            <w:pPr>
              <w:autoSpaceDN w:val="0"/>
              <w:ind w:left="113" w:right="113" w:firstLine="20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总计</w:t>
            </w:r>
          </w:p>
        </w:tc>
        <w:tc>
          <w:tcPr>
            <w:tcW w:w="4238" w:type="dxa"/>
            <w:gridSpan w:val="5"/>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当年部门预算安排资金</w:t>
            </w:r>
          </w:p>
        </w:tc>
        <w:tc>
          <w:tcPr>
            <w:tcW w:w="618" w:type="dxa"/>
            <w:vMerge w:val="restart"/>
            <w:tcBorders>
              <w:top w:val="single" w:color="000000" w:sz="4" w:space="0"/>
              <w:left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其他渠道资金</w:t>
            </w:r>
          </w:p>
        </w:tc>
      </w:tr>
      <w:tr>
        <w:tblPrEx>
          <w:tblCellMar>
            <w:top w:w="0" w:type="dxa"/>
            <w:left w:w="108" w:type="dxa"/>
            <w:bottom w:w="0" w:type="dxa"/>
            <w:right w:w="108" w:type="dxa"/>
          </w:tblCellMar>
        </w:tblPrEx>
        <w:trPr>
          <w:cantSplit/>
          <w:trHeight w:val="1134" w:hRule="atLeast"/>
        </w:trPr>
        <w:tc>
          <w:tcPr>
            <w:tcW w:w="2014" w:type="dxa"/>
            <w:tcBorders>
              <w:top w:val="single" w:color="000000" w:sz="4" w:space="0"/>
              <w:left w:val="single" w:color="000000" w:sz="4" w:space="0"/>
              <w:bottom w:val="single" w:color="000000" w:sz="4" w:space="0"/>
              <w:right w:val="single" w:color="000000" w:sz="4" w:space="0"/>
            </w:tcBorders>
            <w:noWrap w:val="0"/>
            <w:textDirection w:val="tbRlV"/>
            <w:vAlign w:val="center"/>
          </w:tcPr>
          <w:p>
            <w:pPr>
              <w:autoSpaceDN w:val="0"/>
              <w:ind w:left="113" w:right="113" w:firstLine="20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项目名称</w:t>
            </w:r>
          </w:p>
        </w:tc>
        <w:tc>
          <w:tcPr>
            <w:tcW w:w="975" w:type="dxa"/>
            <w:tcBorders>
              <w:top w:val="single" w:color="000000" w:sz="4" w:space="0"/>
              <w:left w:val="single" w:color="000000" w:sz="4" w:space="0"/>
              <w:bottom w:val="single" w:color="000000" w:sz="4" w:space="0"/>
              <w:right w:val="single" w:color="000000" w:sz="4" w:space="0"/>
            </w:tcBorders>
            <w:noWrap w:val="0"/>
            <w:textDirection w:val="tbLrV"/>
            <w:vAlign w:val="center"/>
          </w:tcPr>
          <w:p>
            <w:pPr>
              <w:autoSpaceDN w:val="0"/>
              <w:ind w:left="113" w:right="113" w:firstLine="20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预算资金</w:t>
            </w:r>
          </w:p>
        </w:tc>
        <w:tc>
          <w:tcPr>
            <w:tcW w:w="1455" w:type="dxa"/>
            <w:vMerge w:val="continue"/>
            <w:tcBorders>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2295" w:type="dxa"/>
            <w:vMerge w:val="continue"/>
            <w:tcBorders>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59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673"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477"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902" w:type="dxa"/>
            <w:vMerge w:val="continue"/>
            <w:tcBorders>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812" w:type="dxa"/>
            <w:tcBorders>
              <w:top w:val="single" w:color="000000" w:sz="4" w:space="0"/>
              <w:left w:val="single" w:color="000000" w:sz="4" w:space="0"/>
              <w:bottom w:val="single" w:color="000000" w:sz="4" w:space="0"/>
              <w:right w:val="single" w:color="000000" w:sz="4" w:space="0"/>
            </w:tcBorders>
            <w:noWrap w:val="0"/>
            <w:textDirection w:val="tbRlV"/>
            <w:vAlign w:val="center"/>
          </w:tcPr>
          <w:p>
            <w:pPr>
              <w:autoSpaceDN w:val="0"/>
              <w:ind w:left="113" w:right="113" w:firstLine="20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合计</w:t>
            </w:r>
          </w:p>
        </w:tc>
        <w:tc>
          <w:tcPr>
            <w:tcW w:w="850" w:type="dxa"/>
            <w:tcBorders>
              <w:top w:val="single" w:color="000000" w:sz="4" w:space="0"/>
              <w:left w:val="single" w:color="000000" w:sz="4" w:space="0"/>
              <w:bottom w:val="single" w:color="000000" w:sz="4" w:space="0"/>
              <w:right w:val="single" w:color="000000" w:sz="4" w:space="0"/>
            </w:tcBorders>
            <w:noWrap w:val="0"/>
            <w:textDirection w:val="tbRlV"/>
            <w:vAlign w:val="center"/>
          </w:tcPr>
          <w:p>
            <w:pPr>
              <w:autoSpaceDN w:val="0"/>
              <w:ind w:left="113" w:right="113" w:firstLine="20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一般公共预算拨款</w:t>
            </w:r>
          </w:p>
        </w:tc>
        <w:tc>
          <w:tcPr>
            <w:tcW w:w="889" w:type="dxa"/>
            <w:tcBorders>
              <w:top w:val="single" w:color="000000" w:sz="4" w:space="0"/>
              <w:left w:val="single" w:color="000000" w:sz="4" w:space="0"/>
              <w:bottom w:val="single" w:color="000000" w:sz="4" w:space="0"/>
              <w:right w:val="single" w:color="000000" w:sz="4" w:space="0"/>
            </w:tcBorders>
            <w:noWrap w:val="0"/>
            <w:textDirection w:val="tbRlV"/>
            <w:vAlign w:val="center"/>
          </w:tcPr>
          <w:p>
            <w:pPr>
              <w:autoSpaceDN w:val="0"/>
              <w:ind w:left="113" w:right="113" w:firstLine="20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基金预算拨款安排</w:t>
            </w:r>
          </w:p>
        </w:tc>
        <w:tc>
          <w:tcPr>
            <w:tcW w:w="850" w:type="dxa"/>
            <w:tcBorders>
              <w:top w:val="single" w:color="000000" w:sz="4" w:space="0"/>
              <w:left w:val="single" w:color="000000" w:sz="4" w:space="0"/>
              <w:bottom w:val="single" w:color="000000" w:sz="4" w:space="0"/>
              <w:right w:val="single" w:color="000000" w:sz="4" w:space="0"/>
            </w:tcBorders>
            <w:noWrap w:val="0"/>
            <w:textDirection w:val="tbRlV"/>
            <w:vAlign w:val="center"/>
          </w:tcPr>
          <w:p>
            <w:pPr>
              <w:autoSpaceDN w:val="0"/>
              <w:ind w:left="113" w:right="113" w:firstLine="20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财政专户核拨资金</w:t>
            </w:r>
          </w:p>
        </w:tc>
        <w:tc>
          <w:tcPr>
            <w:tcW w:w="837" w:type="dxa"/>
            <w:tcBorders>
              <w:top w:val="single" w:color="000000" w:sz="4" w:space="0"/>
              <w:left w:val="single" w:color="000000" w:sz="4" w:space="0"/>
              <w:bottom w:val="single" w:color="000000" w:sz="4" w:space="0"/>
              <w:right w:val="single" w:color="000000" w:sz="4" w:space="0"/>
            </w:tcBorders>
            <w:noWrap w:val="0"/>
            <w:textDirection w:val="tbRlV"/>
            <w:vAlign w:val="center"/>
          </w:tcPr>
          <w:p>
            <w:pPr>
              <w:autoSpaceDN w:val="0"/>
              <w:ind w:left="113" w:right="113" w:firstLine="20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其他来源收入安排</w:t>
            </w:r>
          </w:p>
        </w:tc>
        <w:tc>
          <w:tcPr>
            <w:tcW w:w="618" w:type="dxa"/>
            <w:vMerge w:val="continue"/>
            <w:tcBorders>
              <w:left w:val="single" w:color="000000" w:sz="4" w:space="0"/>
              <w:bottom w:val="single" w:color="000000" w:sz="4" w:space="0"/>
              <w:right w:val="single" w:color="000000" w:sz="4" w:space="0"/>
            </w:tcBorders>
            <w:noWrap w:val="0"/>
            <w:vAlign w:val="center"/>
          </w:tcPr>
          <w:p>
            <w:pPr>
              <w:autoSpaceDN w:val="0"/>
              <w:jc w:val="center"/>
              <w:rPr>
                <w:rFonts w:hint="eastAsia" w:ascii="仿宋_GB2312" w:eastAsia="仿宋_GB2312"/>
                <w:sz w:val="24"/>
              </w:rPr>
            </w:pPr>
          </w:p>
        </w:tc>
      </w:tr>
      <w:tr>
        <w:tblPrEx>
          <w:tblCellMar>
            <w:top w:w="0" w:type="dxa"/>
            <w:left w:w="108" w:type="dxa"/>
            <w:bottom w:w="0" w:type="dxa"/>
            <w:right w:w="108" w:type="dxa"/>
          </w:tblCellMar>
        </w:tblPrEx>
        <w:trPr>
          <w:cantSplit/>
          <w:trHeight w:val="526" w:hRule="atLeast"/>
        </w:trPr>
        <w:tc>
          <w:tcPr>
            <w:tcW w:w="2014"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r>
              <w:rPr>
                <w:rFonts w:hint="eastAsia" w:ascii="仿宋_GB2312" w:hAnsi="宋体" w:eastAsia="仿宋_GB2312"/>
                <w:color w:val="000000"/>
                <w:sz w:val="24"/>
              </w:rPr>
              <w:t>合计</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1455" w:type="dxa"/>
            <w:tcBorders>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2295" w:type="dxa"/>
            <w:tcBorders>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59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673"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47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902" w:type="dxa"/>
            <w:tcBorders>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812"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889"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618" w:type="dxa"/>
            <w:tcBorders>
              <w:left w:val="single" w:color="000000" w:sz="4" w:space="0"/>
              <w:bottom w:val="single" w:color="000000" w:sz="4" w:space="0"/>
              <w:right w:val="single" w:color="000000" w:sz="4" w:space="0"/>
            </w:tcBorders>
            <w:noWrap w:val="0"/>
            <w:vAlign w:val="center"/>
          </w:tcPr>
          <w:p>
            <w:pPr>
              <w:autoSpaceDN w:val="0"/>
              <w:jc w:val="center"/>
              <w:rPr>
                <w:rFonts w:hint="eastAsia" w:ascii="仿宋_GB2312" w:eastAsia="仿宋_GB2312"/>
                <w:sz w:val="24"/>
              </w:rPr>
            </w:pPr>
          </w:p>
        </w:tc>
      </w:tr>
      <w:tr>
        <w:tblPrEx>
          <w:tblCellMar>
            <w:top w:w="0" w:type="dxa"/>
            <w:left w:w="108" w:type="dxa"/>
            <w:bottom w:w="0" w:type="dxa"/>
            <w:right w:w="108" w:type="dxa"/>
          </w:tblCellMar>
        </w:tblPrEx>
        <w:trPr>
          <w:cantSplit/>
          <w:trHeight w:val="526" w:hRule="atLeast"/>
        </w:trPr>
        <w:tc>
          <w:tcPr>
            <w:tcW w:w="2014"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1455" w:type="dxa"/>
            <w:tcBorders>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2295" w:type="dxa"/>
            <w:tcBorders>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59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673"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47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902" w:type="dxa"/>
            <w:tcBorders>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812"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889"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618" w:type="dxa"/>
            <w:tcBorders>
              <w:left w:val="single" w:color="000000" w:sz="4" w:space="0"/>
              <w:bottom w:val="single" w:color="000000" w:sz="4" w:space="0"/>
              <w:right w:val="single" w:color="000000" w:sz="4" w:space="0"/>
            </w:tcBorders>
            <w:noWrap w:val="0"/>
            <w:vAlign w:val="center"/>
          </w:tcPr>
          <w:p>
            <w:pPr>
              <w:autoSpaceDN w:val="0"/>
              <w:jc w:val="center"/>
              <w:rPr>
                <w:rFonts w:hint="eastAsia" w:ascii="仿宋_GB2312" w:eastAsia="仿宋_GB2312"/>
                <w:sz w:val="24"/>
              </w:rPr>
            </w:pPr>
          </w:p>
        </w:tc>
      </w:tr>
      <w:tr>
        <w:tblPrEx>
          <w:tblCellMar>
            <w:top w:w="0" w:type="dxa"/>
            <w:left w:w="108" w:type="dxa"/>
            <w:bottom w:w="0" w:type="dxa"/>
            <w:right w:w="108" w:type="dxa"/>
          </w:tblCellMar>
        </w:tblPrEx>
        <w:trPr>
          <w:cantSplit/>
          <w:trHeight w:val="526" w:hRule="atLeast"/>
        </w:trPr>
        <w:tc>
          <w:tcPr>
            <w:tcW w:w="2014"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975"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1455" w:type="dxa"/>
            <w:tcBorders>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2295" w:type="dxa"/>
            <w:tcBorders>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59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673"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47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902" w:type="dxa"/>
            <w:tcBorders>
              <w:left w:val="single" w:color="000000" w:sz="4" w:space="0"/>
              <w:bottom w:val="single" w:color="000000" w:sz="4" w:space="0"/>
              <w:right w:val="single" w:color="000000" w:sz="4" w:space="0"/>
            </w:tcBorders>
            <w:noWrap w:val="0"/>
            <w:vAlign w:val="center"/>
          </w:tcPr>
          <w:p>
            <w:pPr>
              <w:rPr>
                <w:rFonts w:hint="eastAsia" w:ascii="仿宋_GB2312" w:eastAsia="仿宋_GB2312"/>
                <w:sz w:val="24"/>
              </w:rPr>
            </w:pPr>
          </w:p>
        </w:tc>
        <w:tc>
          <w:tcPr>
            <w:tcW w:w="812"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889"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autoSpaceDN w:val="0"/>
              <w:jc w:val="center"/>
              <w:textAlignment w:val="center"/>
              <w:rPr>
                <w:rFonts w:hint="eastAsia" w:ascii="仿宋_GB2312" w:hAnsi="宋体" w:eastAsia="仿宋_GB2312"/>
                <w:color w:val="000000"/>
                <w:sz w:val="24"/>
              </w:rPr>
            </w:pPr>
          </w:p>
        </w:tc>
        <w:tc>
          <w:tcPr>
            <w:tcW w:w="618" w:type="dxa"/>
            <w:tcBorders>
              <w:left w:val="single" w:color="000000" w:sz="4" w:space="0"/>
              <w:bottom w:val="single" w:color="000000" w:sz="4" w:space="0"/>
              <w:right w:val="single" w:color="000000" w:sz="4" w:space="0"/>
            </w:tcBorders>
            <w:noWrap w:val="0"/>
            <w:vAlign w:val="center"/>
          </w:tcPr>
          <w:p>
            <w:pPr>
              <w:autoSpaceDN w:val="0"/>
              <w:jc w:val="center"/>
              <w:rPr>
                <w:rFonts w:hint="eastAsia" w:ascii="仿宋_GB2312" w:eastAsia="仿宋_GB2312"/>
                <w:sz w:val="24"/>
              </w:rPr>
            </w:pPr>
          </w:p>
        </w:tc>
      </w:tr>
    </w:tbl>
    <w:p>
      <w:pPr>
        <w:ind w:firstLine="640"/>
        <w:rPr>
          <w:rFonts w:hint="eastAsia" w:ascii="仿宋" w:hAnsi="仿宋" w:eastAsia="仿宋"/>
          <w:szCs w:val="32"/>
        </w:rPr>
      </w:pPr>
    </w:p>
    <w:p>
      <w:pPr>
        <w:ind w:firstLine="640"/>
        <w:rPr>
          <w:rFonts w:hint="eastAsia" w:ascii="仿宋" w:hAnsi="仿宋" w:eastAsia="仿宋"/>
          <w:color w:val="auto"/>
          <w:szCs w:val="32"/>
        </w:rPr>
      </w:pPr>
    </w:p>
    <w:p>
      <w:pPr>
        <w:ind w:left="0" w:leftChars="0" w:firstLine="900" w:firstLineChars="300"/>
        <w:rPr>
          <w:rFonts w:ascii="仿宋" w:hAnsi="仿宋" w:eastAsia="仿宋" w:cs="仿宋"/>
          <w:sz w:val="32"/>
          <w:szCs w:val="32"/>
        </w:rPr>
      </w:pPr>
      <w:r>
        <w:rPr>
          <w:rFonts w:hint="eastAsia" w:ascii="方正小标宋_GBK" w:hAnsi="宋体"/>
          <w:color w:val="auto"/>
          <w:sz w:val="30"/>
          <w:szCs w:val="30"/>
          <w:lang w:eastAsia="zh-CN"/>
        </w:rPr>
        <w:t>注：本部门无政府采购预算,空表列示。</w:t>
      </w:r>
    </w:p>
    <w:p>
      <w:pPr>
        <w:autoSpaceDE w:val="0"/>
        <w:autoSpaceDN w:val="0"/>
        <w:adjustRightInd w:val="0"/>
        <w:ind w:firstLine="964" w:firstLineChars="300"/>
        <w:jc w:val="left"/>
        <w:rPr>
          <w:rFonts w:ascii="仿宋" w:hAnsi="仿宋" w:eastAsia="仿宋" w:cs="仿宋"/>
          <w:b/>
          <w:bCs/>
          <w:sz w:val="32"/>
          <w:szCs w:val="32"/>
        </w:rPr>
      </w:pPr>
      <w:r>
        <w:rPr>
          <w:rFonts w:hint="eastAsia" w:ascii="仿宋" w:hAnsi="仿宋" w:eastAsia="仿宋" w:cs="仿宋"/>
          <w:b/>
          <w:bCs/>
          <w:sz w:val="32"/>
          <w:szCs w:val="32"/>
        </w:rPr>
        <w:t>七、国有资产信息</w:t>
      </w:r>
    </w:p>
    <w:p>
      <w:pPr>
        <w:ind w:firstLine="640"/>
        <w:rPr>
          <w:rFonts w:ascii="仿宋" w:hAnsi="仿宋" w:eastAsia="仿宋" w:cs="仿宋"/>
          <w:color w:val="000000"/>
          <w:sz w:val="32"/>
          <w:szCs w:val="32"/>
        </w:rPr>
      </w:pPr>
      <w:r>
        <w:rPr>
          <w:rFonts w:hint="eastAsia" w:ascii="仿宋" w:hAnsi="仿宋" w:eastAsia="仿宋" w:cs="仿宋"/>
          <w:color w:val="000000"/>
          <w:sz w:val="32"/>
          <w:szCs w:val="32"/>
        </w:rPr>
        <w:t>无极县财政局2019年末固定资产金额为1558万元（详见下表），本年度财政局拟购置固定资产总额为0万元，详见政府采购预算表。</w:t>
      </w:r>
    </w:p>
    <w:tbl>
      <w:tblPr>
        <w:tblStyle w:val="7"/>
        <w:tblW w:w="13482" w:type="dxa"/>
        <w:tblInd w:w="-10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仿宋" w:hAnsi="仿宋" w:eastAsia="仿宋" w:cs="仿宋"/>
                <w:b/>
                <w:bCs/>
                <w:kern w:val="0"/>
                <w:sz w:val="32"/>
                <w:szCs w:val="32"/>
              </w:rPr>
            </w:pPr>
            <w:r>
              <w:rPr>
                <w:rFonts w:hint="eastAsia" w:ascii="仿宋" w:hAnsi="仿宋" w:eastAsia="仿宋" w:cs="仿宋"/>
                <w:b/>
                <w:bCs/>
                <w:kern w:val="0"/>
                <w:sz w:val="32"/>
                <w:szCs w:val="32"/>
              </w:rPr>
              <w:t>无极县财政局固定资产占用情况表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仿宋" w:hAnsi="仿宋" w:eastAsia="仿宋" w:cs="仿宋"/>
                <w:kern w:val="0"/>
                <w:sz w:val="32"/>
                <w:szCs w:val="32"/>
              </w:rPr>
            </w:pPr>
            <w:r>
              <w:rPr>
                <w:rFonts w:hint="eastAsia" w:ascii="仿宋" w:hAnsi="仿宋" w:eastAsia="仿宋" w:cs="仿宋"/>
                <w:kern w:val="0"/>
                <w:sz w:val="32"/>
                <w:szCs w:val="32"/>
              </w:rPr>
              <w:t>编制部门：无极县财政局</w:t>
            </w:r>
          </w:p>
        </w:tc>
        <w:tc>
          <w:tcPr>
            <w:tcW w:w="5103" w:type="dxa"/>
            <w:tcBorders>
              <w:top w:val="nil"/>
              <w:left w:val="nil"/>
              <w:bottom w:val="nil"/>
              <w:right w:val="nil"/>
            </w:tcBorders>
            <w:vAlign w:val="center"/>
          </w:tcPr>
          <w:p>
            <w:pPr>
              <w:widowControl/>
              <w:jc w:val="left"/>
              <w:rPr>
                <w:rFonts w:ascii="仿宋" w:hAnsi="仿宋" w:eastAsia="仿宋" w:cs="仿宋"/>
                <w:kern w:val="0"/>
                <w:sz w:val="32"/>
                <w:szCs w:val="32"/>
              </w:rPr>
            </w:pPr>
            <w:r>
              <w:rPr>
                <w:rFonts w:hint="eastAsia" w:ascii="仿宋" w:hAnsi="仿宋" w:eastAsia="仿宋" w:cs="仿宋"/>
                <w:kern w:val="0"/>
                <w:sz w:val="32"/>
                <w:szCs w:val="32"/>
              </w:rPr>
              <w:t>截止时间：2019年12月31日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仿宋"/>
                <w:b/>
                <w:bCs/>
                <w:kern w:val="0"/>
                <w:sz w:val="32"/>
                <w:szCs w:val="32"/>
              </w:rPr>
            </w:pPr>
            <w:r>
              <w:rPr>
                <w:rFonts w:hint="eastAsia" w:ascii="仿宋" w:hAnsi="仿宋" w:eastAsia="仿宋" w:cs="仿宋"/>
                <w:b/>
                <w:bCs/>
                <w:kern w:val="0"/>
                <w:sz w:val="32"/>
                <w:szCs w:val="3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仿宋"/>
                <w:b/>
                <w:bCs/>
                <w:kern w:val="0"/>
                <w:sz w:val="32"/>
                <w:szCs w:val="32"/>
              </w:rPr>
            </w:pPr>
            <w:r>
              <w:rPr>
                <w:rFonts w:hint="eastAsia" w:ascii="仿宋" w:hAnsi="仿宋" w:eastAsia="仿宋" w:cs="仿宋"/>
                <w:b/>
                <w:bCs/>
                <w:kern w:val="0"/>
                <w:sz w:val="32"/>
                <w:szCs w:val="3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仿宋"/>
                <w:b/>
                <w:bCs/>
                <w:kern w:val="0"/>
                <w:sz w:val="32"/>
                <w:szCs w:val="32"/>
              </w:rPr>
            </w:pPr>
            <w:r>
              <w:rPr>
                <w:rFonts w:hint="eastAsia" w:ascii="仿宋" w:hAnsi="仿宋" w:eastAsia="仿宋" w:cs="仿宋"/>
                <w:b/>
                <w:bCs/>
                <w:kern w:val="0"/>
                <w:sz w:val="32"/>
                <w:szCs w:val="3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cs="仿宋"/>
                <w:kern w:val="0"/>
                <w:sz w:val="32"/>
                <w:szCs w:val="32"/>
              </w:rPr>
            </w:pPr>
            <w:r>
              <w:rPr>
                <w:rFonts w:hint="eastAsia" w:ascii="仿宋" w:hAnsi="仿宋" w:eastAsia="仿宋" w:cs="仿宋"/>
                <w:kern w:val="0"/>
                <w:sz w:val="32"/>
                <w:szCs w:val="3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cs="仿宋"/>
                <w:kern w:val="0"/>
                <w:sz w:val="32"/>
                <w:szCs w:val="32"/>
              </w:rPr>
            </w:pPr>
            <w:r>
              <w:rPr>
                <w:rFonts w:hint="eastAsia" w:ascii="仿宋" w:hAnsi="仿宋" w:eastAsia="仿宋" w:cs="仿宋"/>
                <w:kern w:val="0"/>
                <w:sz w:val="32"/>
                <w:szCs w:val="32"/>
              </w:rPr>
              <w:t>——</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仿宋"/>
                <w:color w:val="FF0000"/>
                <w:kern w:val="0"/>
                <w:sz w:val="32"/>
                <w:szCs w:val="32"/>
              </w:rPr>
            </w:pPr>
            <w:r>
              <w:rPr>
                <w:rFonts w:hint="eastAsia" w:ascii="仿宋" w:hAnsi="仿宋" w:eastAsia="仿宋" w:cs="仿宋"/>
                <w:color w:val="000000"/>
                <w:kern w:val="0"/>
                <w:sz w:val="32"/>
                <w:szCs w:val="32"/>
              </w:rPr>
              <w:t>1558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仿宋"/>
                <w:kern w:val="0"/>
                <w:sz w:val="32"/>
                <w:szCs w:val="32"/>
              </w:rPr>
            </w:pPr>
            <w:r>
              <w:rPr>
                <w:rFonts w:hint="eastAsia" w:ascii="仿宋" w:hAnsi="仿宋" w:eastAsia="仿宋" w:cs="仿宋"/>
                <w:kern w:val="0"/>
                <w:sz w:val="32"/>
                <w:szCs w:val="3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cs="仿宋"/>
                <w:kern w:val="0"/>
                <w:sz w:val="32"/>
                <w:szCs w:val="32"/>
              </w:rPr>
            </w:pPr>
            <w:r>
              <w:rPr>
                <w:rFonts w:hint="eastAsia" w:ascii="仿宋" w:hAnsi="仿宋" w:eastAsia="仿宋" w:cs="仿宋"/>
                <w:kern w:val="0"/>
                <w:sz w:val="32"/>
                <w:szCs w:val="32"/>
              </w:rPr>
              <w:t>5139.59</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仿宋"/>
                <w:kern w:val="0"/>
                <w:sz w:val="32"/>
                <w:szCs w:val="32"/>
              </w:rPr>
            </w:pPr>
            <w:r>
              <w:rPr>
                <w:rFonts w:hint="eastAsia" w:ascii="仿宋" w:hAnsi="仿宋" w:eastAsia="仿宋" w:cs="仿宋"/>
                <w:kern w:val="0"/>
                <w:sz w:val="32"/>
                <w:szCs w:val="32"/>
              </w:rPr>
              <w:t>274.37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仿宋"/>
                <w:kern w:val="0"/>
                <w:sz w:val="32"/>
                <w:szCs w:val="32"/>
              </w:rPr>
            </w:pPr>
            <w:r>
              <w:rPr>
                <w:rFonts w:hint="eastAsia" w:ascii="仿宋" w:hAnsi="仿宋" w:eastAsia="仿宋" w:cs="仿宋"/>
                <w:kern w:val="0"/>
                <w:sz w:val="32"/>
                <w:szCs w:val="3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cs="仿宋"/>
                <w:kern w:val="0"/>
                <w:sz w:val="32"/>
                <w:szCs w:val="32"/>
              </w:rPr>
            </w:pPr>
            <w:r>
              <w:rPr>
                <w:rFonts w:hint="eastAsia" w:ascii="仿宋" w:hAnsi="仿宋" w:eastAsia="仿宋" w:cs="仿宋"/>
                <w:kern w:val="0"/>
                <w:sz w:val="32"/>
                <w:szCs w:val="32"/>
              </w:rPr>
              <w:t>5139.59</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仿宋"/>
                <w:kern w:val="0"/>
                <w:sz w:val="32"/>
                <w:szCs w:val="32"/>
              </w:rPr>
            </w:pPr>
            <w:r>
              <w:rPr>
                <w:rFonts w:hint="eastAsia" w:ascii="仿宋" w:hAnsi="仿宋" w:eastAsia="仿宋" w:cs="仿宋"/>
                <w:kern w:val="0"/>
                <w:sz w:val="32"/>
                <w:szCs w:val="32"/>
              </w:rPr>
              <w:t>274.37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仿宋"/>
                <w:kern w:val="0"/>
                <w:sz w:val="32"/>
                <w:szCs w:val="32"/>
              </w:rPr>
            </w:pPr>
            <w:r>
              <w:rPr>
                <w:rFonts w:hint="eastAsia" w:ascii="仿宋" w:hAnsi="仿宋" w:eastAsia="仿宋" w:cs="仿宋"/>
                <w:kern w:val="0"/>
                <w:sz w:val="32"/>
                <w:szCs w:val="3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cs="仿宋"/>
                <w:kern w:val="0"/>
                <w:sz w:val="32"/>
                <w:szCs w:val="32"/>
              </w:rPr>
            </w:pPr>
            <w:r>
              <w:rPr>
                <w:rFonts w:hint="eastAsia" w:ascii="仿宋" w:hAnsi="仿宋" w:eastAsia="仿宋" w:cs="仿宋"/>
                <w:kern w:val="0"/>
                <w:sz w:val="32"/>
                <w:szCs w:val="32"/>
              </w:rPr>
              <w:t>1</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仿宋"/>
                <w:kern w:val="0"/>
                <w:sz w:val="32"/>
                <w:szCs w:val="32"/>
              </w:rPr>
            </w:pPr>
            <w:r>
              <w:rPr>
                <w:rFonts w:hint="eastAsia" w:ascii="仿宋" w:hAnsi="仿宋" w:eastAsia="仿宋" w:cs="仿宋"/>
                <w:kern w:val="0"/>
                <w:sz w:val="32"/>
                <w:szCs w:val="32"/>
              </w:rPr>
              <w:t>18.16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仿宋"/>
                <w:kern w:val="0"/>
                <w:sz w:val="32"/>
                <w:szCs w:val="32"/>
              </w:rPr>
            </w:pPr>
            <w:r>
              <w:rPr>
                <w:rFonts w:hint="eastAsia" w:ascii="仿宋" w:hAnsi="仿宋" w:eastAsia="仿宋" w:cs="仿宋"/>
                <w:kern w:val="0"/>
                <w:sz w:val="32"/>
                <w:szCs w:val="3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cs="仿宋"/>
                <w:kern w:val="0"/>
                <w:sz w:val="32"/>
                <w:szCs w:val="32"/>
              </w:rPr>
            </w:pPr>
            <w:r>
              <w:rPr>
                <w:rFonts w:hint="eastAsia" w:ascii="仿宋" w:hAnsi="仿宋" w:eastAsia="仿宋" w:cs="仿宋"/>
                <w:kern w:val="0"/>
                <w:sz w:val="32"/>
                <w:szCs w:val="32"/>
              </w:rPr>
              <w:t>——</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仿宋"/>
                <w:kern w:val="0"/>
                <w:sz w:val="32"/>
                <w:szCs w:val="32"/>
              </w:rPr>
            </w:pPr>
            <w:r>
              <w:rPr>
                <w:rFonts w:hint="eastAsia" w:ascii="仿宋" w:hAnsi="仿宋" w:eastAsia="仿宋" w:cs="仿宋"/>
                <w:kern w:val="0"/>
                <w:sz w:val="32"/>
                <w:szCs w:val="32"/>
              </w:rPr>
              <w:t>1265.47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仿宋"/>
                <w:kern w:val="0"/>
                <w:sz w:val="32"/>
                <w:szCs w:val="32"/>
              </w:rPr>
            </w:pPr>
          </w:p>
        </w:tc>
        <w:tc>
          <w:tcPr>
            <w:tcW w:w="3155" w:type="dxa"/>
            <w:tcBorders>
              <w:top w:val="nil"/>
              <w:left w:val="nil"/>
              <w:bottom w:val="single" w:color="auto" w:sz="4" w:space="0"/>
              <w:right w:val="single" w:color="auto" w:sz="4" w:space="0"/>
            </w:tcBorders>
            <w:vAlign w:val="center"/>
          </w:tcPr>
          <w:p>
            <w:pPr>
              <w:widowControl/>
              <w:jc w:val="center"/>
              <w:rPr>
                <w:rFonts w:ascii="仿宋" w:hAnsi="仿宋" w:eastAsia="仿宋" w:cs="仿宋"/>
                <w:kern w:val="0"/>
                <w:sz w:val="32"/>
                <w:szCs w:val="32"/>
              </w:rPr>
            </w:pP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仿宋"/>
                <w:kern w:val="0"/>
                <w:sz w:val="32"/>
                <w:szCs w:val="32"/>
              </w:rPr>
            </w:pPr>
          </w:p>
        </w:tc>
      </w:tr>
    </w:tbl>
    <w:p>
      <w:pPr>
        <w:autoSpaceDE w:val="0"/>
        <w:autoSpaceDN w:val="0"/>
        <w:adjustRightInd w:val="0"/>
        <w:ind w:firstLine="640" w:firstLineChars="200"/>
        <w:jc w:val="left"/>
        <w:rPr>
          <w:rFonts w:ascii="仿宋" w:hAnsi="仿宋" w:eastAsia="仿宋" w:cs="仿宋"/>
          <w:sz w:val="32"/>
          <w:szCs w:val="32"/>
        </w:rPr>
      </w:pPr>
      <w:r>
        <w:rPr>
          <w:rFonts w:hint="eastAsia" w:ascii="仿宋" w:hAnsi="仿宋" w:eastAsia="仿宋" w:cs="仿宋"/>
          <w:sz w:val="32"/>
          <w:szCs w:val="32"/>
        </w:rPr>
        <w:t>八、名词解释</w:t>
      </w:r>
    </w:p>
    <w:p>
      <w:pPr>
        <w:ind w:firstLine="640" w:firstLineChars="200"/>
        <w:rPr>
          <w:rFonts w:ascii="仿宋" w:hAnsi="仿宋" w:eastAsia="仿宋" w:cs="仿宋"/>
          <w:sz w:val="32"/>
          <w:szCs w:val="32"/>
        </w:rPr>
      </w:pPr>
      <w:r>
        <w:rPr>
          <w:rFonts w:hint="eastAsia" w:ascii="仿宋" w:hAnsi="仿宋" w:eastAsia="仿宋" w:cs="仿宋"/>
          <w:sz w:val="32"/>
          <w:szCs w:val="32"/>
        </w:rPr>
        <w:t>1、一般公共预算拨款收入：指</w:t>
      </w:r>
      <w:r>
        <w:rPr>
          <w:rFonts w:hint="eastAsia" w:ascii="仿宋" w:hAnsi="仿宋" w:eastAsia="仿宋" w:cs="仿宋"/>
          <w:sz w:val="32"/>
          <w:szCs w:val="32"/>
          <w:lang w:val="en-US" w:eastAsia="zh-CN"/>
        </w:rPr>
        <w:t>县</w:t>
      </w:r>
      <w:bookmarkStart w:id="11" w:name="_GoBack"/>
      <w:bookmarkEnd w:id="11"/>
      <w:r>
        <w:rPr>
          <w:rFonts w:hint="eastAsia" w:ascii="仿宋" w:hAnsi="仿宋" w:eastAsia="仿宋" w:cs="仿宋"/>
          <w:sz w:val="32"/>
          <w:szCs w:val="32"/>
        </w:rPr>
        <w:t>级财政当年拨付的资金。</w:t>
      </w:r>
    </w:p>
    <w:p>
      <w:pPr>
        <w:ind w:firstLine="640" w:firstLineChars="200"/>
        <w:rPr>
          <w:rFonts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firstLineChars="200"/>
        <w:rPr>
          <w:rFonts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firstLineChars="200"/>
        <w:rPr>
          <w:rFonts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firstLineChars="200"/>
        <w:rPr>
          <w:rFonts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firstLineChars="200"/>
        <w:rPr>
          <w:rFonts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firstLineChars="200"/>
        <w:rPr>
          <w:rFonts w:ascii="仿宋" w:hAnsi="仿宋" w:eastAsia="仿宋" w:cs="仿宋"/>
          <w:sz w:val="32"/>
          <w:szCs w:val="32"/>
        </w:rPr>
      </w:pPr>
      <w:r>
        <w:rPr>
          <w:rFonts w:hint="eastAsia" w:ascii="仿宋" w:hAnsi="仿宋" w:eastAsia="仿宋" w:cs="仿宋"/>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ind w:firstLine="640" w:firstLineChars="200"/>
        <w:rPr>
          <w:rFonts w:ascii="仿宋" w:hAnsi="仿宋" w:eastAsia="仿宋" w:cs="仿宋"/>
          <w:sz w:val="32"/>
          <w:szCs w:val="32"/>
        </w:rPr>
      </w:pPr>
      <w:r>
        <w:rPr>
          <w:rFonts w:hint="eastAsia" w:ascii="仿宋" w:hAnsi="仿宋" w:eastAsia="仿宋" w:cs="仿宋"/>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16</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E0F2AD6"/>
    <w:rsid w:val="1B4609DB"/>
    <w:rsid w:val="1BDB0DDE"/>
    <w:rsid w:val="23F90ED4"/>
    <w:rsid w:val="39A0181C"/>
    <w:rsid w:val="464E6632"/>
    <w:rsid w:val="5A7162F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uiPriority w:val="0"/>
  </w:style>
  <w:style w:type="table" w:default="1" w:styleId="7">
    <w:name w:val="Normal Table"/>
    <w:unhideWhenUsed/>
    <w:uiPriority w:val="99"/>
    <w:tblPr>
      <w:tblCellMar>
        <w:top w:w="0" w:type="dxa"/>
        <w:left w:w="108" w:type="dxa"/>
        <w:bottom w:w="0" w:type="dxa"/>
        <w:right w:w="108" w:type="dxa"/>
      </w:tblCellMar>
    </w:tblPr>
  </w:style>
  <w:style w:type="paragraph" w:styleId="2">
    <w:name w:val="footer"/>
    <w:basedOn w:val="1"/>
    <w:link w:val="10"/>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1"/>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uiPriority w:val="0"/>
    <w:rPr>
      <w:rFonts w:ascii="Times New Roman" w:hAnsi="Times New Roman" w:cs="Times New Roman"/>
    </w:rPr>
  </w:style>
  <w:style w:type="paragraph" w:styleId="5">
    <w:name w:val="footnote text"/>
    <w:basedOn w:val="1"/>
    <w:link w:val="12"/>
    <w:uiPriority w:val="0"/>
    <w:pPr>
      <w:snapToGrid w:val="0"/>
      <w:jc w:val="left"/>
    </w:pPr>
    <w:rPr>
      <w:rFonts w:ascii="Calibri" w:hAnsi="Calibri" w:cs="Calibri"/>
      <w:sz w:val="18"/>
      <w:szCs w:val="18"/>
    </w:rPr>
  </w:style>
  <w:style w:type="paragraph" w:styleId="6">
    <w:name w:val="toc 2"/>
    <w:basedOn w:val="1"/>
    <w:next w:val="1"/>
    <w:uiPriority w:val="0"/>
    <w:pPr>
      <w:ind w:left="420" w:leftChars="200"/>
    </w:pPr>
    <w:rPr>
      <w:rFonts w:ascii="Times New Roman" w:hAnsi="Times New Roman" w:cs="Times New Roman"/>
    </w:rPr>
  </w:style>
  <w:style w:type="character" w:styleId="9">
    <w:name w:val="footnote reference"/>
    <w:basedOn w:val="8"/>
    <w:uiPriority w:val="0"/>
    <w:rPr>
      <w:vertAlign w:val="superscript"/>
    </w:rPr>
  </w:style>
  <w:style w:type="character" w:customStyle="1" w:styleId="10">
    <w:name w:val="页脚 Char"/>
    <w:basedOn w:val="8"/>
    <w:link w:val="2"/>
    <w:semiHidden/>
    <w:uiPriority w:val="0"/>
    <w:rPr>
      <w:rFonts w:ascii="Times New Roman" w:hAnsi="Times New Roman" w:eastAsia="宋体" w:cs="Times New Roman"/>
      <w:sz w:val="18"/>
      <w:szCs w:val="18"/>
    </w:rPr>
  </w:style>
  <w:style w:type="character" w:customStyle="1" w:styleId="11">
    <w:name w:val="页眉 Char"/>
    <w:basedOn w:val="8"/>
    <w:link w:val="3"/>
    <w:semiHidden/>
    <w:uiPriority w:val="0"/>
    <w:rPr>
      <w:rFonts w:ascii="Times New Roman" w:hAnsi="Times New Roman" w:eastAsia="宋体" w:cs="Times New Roman"/>
      <w:sz w:val="18"/>
      <w:szCs w:val="18"/>
    </w:rPr>
  </w:style>
  <w:style w:type="character" w:customStyle="1" w:styleId="12">
    <w:name w:val="脚注文本 Char"/>
    <w:basedOn w:val="8"/>
    <w:link w:val="5"/>
    <w:semiHidden/>
    <w:uiPriority w:val="0"/>
    <w:rPr>
      <w:rFonts w:ascii="Calibri" w:hAnsi="Calibri" w:cs="Calibri"/>
      <w:sz w:val="18"/>
      <w:szCs w:val="18"/>
    </w:rPr>
  </w:style>
  <w:style w:type="paragraph" w:customStyle="1" w:styleId="13">
    <w:name w:val="Char"/>
    <w:basedOn w:val="1"/>
    <w:qFormat/>
    <w:uiPriority w:val="0"/>
    <w:rPr>
      <w:rFonts w:ascii="Times New Roman" w:hAnsi="Times New Roman" w:cs="Times New Roman"/>
    </w:rPr>
  </w:style>
  <w:style w:type="character" w:customStyle="1" w:styleId="14">
    <w:name w:val="页码1"/>
    <w:basedOn w:val="8"/>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16</Pages>
  <Words>1106</Words>
  <Characters>6310</Characters>
  <Lines>52</Lines>
  <Paragraphs>14</Paragraphs>
  <TotalTime>1</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2017-01-24T17:29:00Z</dcterms:created>
  <dc:creator>guest</dc:creator>
  <cp:lastModifiedBy>李润泽</cp:lastModifiedBy>
  <cp:lastPrinted>2020-01-11T15:53:00Z</cp:lastPrinted>
  <dcterms:modified xsi:type="dcterms:W3CDTF">2021-05-22T02:49:11Z</dcterms:modified>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B8DCC931FE694CC4836132AC244E4199</vt:lpwstr>
  </property>
</Properties>
</file>