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ascii="方正小标宋_GBK" w:hAnsi="Times New Roman" w:eastAsia="方正小标宋_GBK" w:cs="方正小标宋_GBK"/>
          <w:sz w:val="44"/>
          <w:szCs w:val="44"/>
        </w:rPr>
      </w:pPr>
      <w:r>
        <w:rPr>
          <w:rFonts w:hint="eastAsia" w:ascii="方正小标宋_GBK" w:hAnsi="Times New Roman" w:eastAsia="方正小标宋_GBK" w:cs="方正小标宋_GBK"/>
          <w:sz w:val="44"/>
          <w:szCs w:val="44"/>
        </w:rPr>
        <w:t>无极县人民法院</w:t>
      </w:r>
    </w:p>
    <w:p>
      <w:pPr>
        <w:adjustRightInd w:val="0"/>
        <w:snapToGrid w:val="0"/>
        <w:jc w:val="center"/>
        <w:rPr>
          <w:rFonts w:ascii="方正小标宋_GBK" w:hAnsi="Times New Roman" w:eastAsia="方正小标宋_GBK" w:cs="Times New Roman"/>
          <w:sz w:val="44"/>
          <w:szCs w:val="44"/>
        </w:rPr>
      </w:pPr>
      <w:r>
        <w:rPr>
          <w:rFonts w:ascii="方正小标宋_GBK" w:hAnsi="Times New Roman" w:eastAsia="方正小标宋_GBK" w:cs="方正小标宋_GBK"/>
          <w:sz w:val="44"/>
          <w:szCs w:val="44"/>
        </w:rPr>
        <w:t>2020</w:t>
      </w:r>
      <w:r>
        <w:rPr>
          <w:rFonts w:hint="eastAsia" w:ascii="方正小标宋_GBK" w:hAnsi="Times New Roman" w:eastAsia="方正小标宋_GBK" w:cs="方正小标宋_GBK"/>
          <w:sz w:val="44"/>
          <w:szCs w:val="44"/>
        </w:rPr>
        <w:t>年部门预算信息公开情况说明</w:t>
      </w:r>
    </w:p>
    <w:p>
      <w:pPr>
        <w:ind w:firstLine="640"/>
        <w:rPr>
          <w:rFonts w:ascii="Times New Roman" w:hAnsi="Times New Roman" w:eastAsia="仿宋" w:cs="Times New Roman"/>
          <w:sz w:val="32"/>
          <w:szCs w:val="32"/>
        </w:rPr>
      </w:pPr>
      <w:r>
        <w:rPr>
          <w:rFonts w:hint="eastAsia" w:ascii="仿宋" w:hAnsi="仿宋" w:eastAsia="仿宋"/>
          <w:sz w:val="32"/>
          <w:szCs w:val="32"/>
        </w:rPr>
        <w:t>按照《预算法》、《地方预决算公开操作规程》和《河</w:t>
      </w:r>
      <w:r>
        <w:rPr>
          <w:rFonts w:ascii="仿宋" w:hAnsi="仿宋" w:eastAsia="仿宋"/>
          <w:sz w:val="32"/>
          <w:szCs w:val="32"/>
        </w:rPr>
        <w:t>北省预决算</w:t>
      </w:r>
      <w:r>
        <w:rPr>
          <w:rFonts w:hint="eastAsia" w:ascii="仿宋" w:hAnsi="仿宋" w:eastAsia="仿宋"/>
          <w:sz w:val="32"/>
          <w:szCs w:val="32"/>
        </w:rPr>
        <w:t>公</w:t>
      </w:r>
      <w:r>
        <w:rPr>
          <w:rFonts w:ascii="仿宋" w:hAnsi="仿宋" w:eastAsia="仿宋"/>
          <w:sz w:val="32"/>
          <w:szCs w:val="32"/>
        </w:rPr>
        <w:t>开操作规程实施细则</w:t>
      </w:r>
      <w:r>
        <w:rPr>
          <w:rFonts w:hint="eastAsia" w:ascii="仿宋" w:hAnsi="仿宋" w:eastAsia="仿宋"/>
          <w:sz w:val="32"/>
          <w:szCs w:val="32"/>
        </w:rPr>
        <w:t>》规定，现将</w:t>
      </w:r>
      <w:r>
        <w:rPr>
          <w:rFonts w:hint="eastAsia" w:ascii="仿宋" w:hAnsi="仿宋" w:eastAsia="仿宋"/>
          <w:sz w:val="32"/>
          <w:szCs w:val="32"/>
          <w:lang w:val="en-US" w:eastAsia="zh-CN"/>
        </w:rPr>
        <w:t>无极县法院</w:t>
      </w:r>
      <w:r>
        <w:rPr>
          <w:rFonts w:ascii="仿宋" w:hAnsi="仿宋" w:eastAsia="仿宋"/>
          <w:sz w:val="32"/>
          <w:szCs w:val="32"/>
        </w:rPr>
        <w:t>20</w:t>
      </w:r>
      <w:r>
        <w:rPr>
          <w:rFonts w:hint="eastAsia" w:ascii="仿宋" w:hAnsi="仿宋" w:eastAsia="仿宋"/>
          <w:sz w:val="32"/>
          <w:szCs w:val="32"/>
          <w:lang w:val="en-US" w:eastAsia="zh-CN"/>
        </w:rPr>
        <w:t>20</w:t>
      </w:r>
      <w:r>
        <w:rPr>
          <w:rFonts w:hint="eastAsia" w:ascii="仿宋" w:hAnsi="仿宋" w:eastAsia="仿宋"/>
          <w:sz w:val="32"/>
          <w:szCs w:val="32"/>
        </w:rPr>
        <w:t>年部门预算公开如下：</w:t>
      </w:r>
      <w:bookmarkStart w:id="11" w:name="_GoBack"/>
      <w:bookmarkEnd w:id="11"/>
    </w:p>
    <w:p>
      <w:pPr>
        <w:ind w:firstLine="640"/>
        <w:rPr>
          <w:rFonts w:ascii="黑体" w:hAnsi="黑体" w:eastAsia="黑体" w:cs="Times New Roman"/>
          <w:sz w:val="32"/>
          <w:szCs w:val="32"/>
        </w:rPr>
      </w:pPr>
      <w:r>
        <w:rPr>
          <w:rFonts w:hint="eastAsia" w:ascii="黑体" w:hAnsi="黑体" w:eastAsia="黑体" w:cs="黑体"/>
          <w:sz w:val="32"/>
          <w:szCs w:val="32"/>
        </w:rPr>
        <w:t>一、部门职责及机构设置情况</w:t>
      </w:r>
    </w:p>
    <w:p>
      <w:pPr>
        <w:ind w:firstLine="640"/>
        <w:rPr>
          <w:rFonts w:ascii="仿宋" w:hAnsi="仿宋" w:eastAsia="仿宋" w:cs="Times New Roman"/>
          <w:sz w:val="32"/>
          <w:szCs w:val="32"/>
        </w:rPr>
      </w:pPr>
      <w:r>
        <w:rPr>
          <w:rFonts w:hint="eastAsia" w:ascii="仿宋" w:hAnsi="仿宋" w:eastAsia="仿宋" w:cs="仿宋"/>
          <w:b/>
          <w:bCs/>
          <w:sz w:val="32"/>
          <w:szCs w:val="32"/>
        </w:rPr>
        <w:t>部门职责：</w:t>
      </w:r>
      <w:r>
        <w:rPr>
          <w:rFonts w:hint="eastAsia" w:ascii="Times New Roman" w:hAnsi="Times New Roman" w:eastAsia="仿宋" w:cs="仿宋"/>
          <w:sz w:val="32"/>
          <w:szCs w:val="32"/>
        </w:rPr>
        <w:t>审判刑事、民事案件和行政案件，并且通过审判活动，惩办一切犯罪分子，解决民事、行政纠纷，以保卫无产阶级专政制度，维护社会主义法制和社会秩序，保护社会主义全民所有的财产、劳动群众集体所有的财产，保护公民私人所有的合法财产，保护公民的人身权利、民主权利和其他权利，保障国家的社会主义革命和社会主义建设事业的顺利进行。</w:t>
      </w:r>
    </w:p>
    <w:p>
      <w:pPr>
        <w:ind w:firstLine="643" w:firstLineChars="200"/>
        <w:rPr>
          <w:rFonts w:ascii="仿宋" w:hAnsi="仿宋" w:eastAsia="仿宋" w:cs="Times New Roman"/>
          <w:b/>
          <w:bCs/>
          <w:sz w:val="32"/>
          <w:szCs w:val="32"/>
        </w:rPr>
      </w:pPr>
      <w:r>
        <w:rPr>
          <w:rFonts w:hint="eastAsia" w:ascii="仿宋" w:hAnsi="仿宋" w:eastAsia="仿宋" w:cs="仿宋"/>
          <w:b/>
          <w:bCs/>
          <w:sz w:val="32"/>
          <w:szCs w:val="32"/>
        </w:rPr>
        <w:t>机构设置：</w:t>
      </w:r>
    </w:p>
    <w:p>
      <w:pPr>
        <w:jc w:val="center"/>
        <w:outlineLvl w:val="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部门机构设置情况</w:t>
      </w:r>
    </w:p>
    <w:tbl>
      <w:tblPr>
        <w:tblStyle w:val="7"/>
        <w:tblW w:w="925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827"/>
        <w:gridCol w:w="1639"/>
        <w:gridCol w:w="1485"/>
        <w:gridCol w:w="230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tblHeader/>
          <w:jc w:val="center"/>
        </w:trPr>
        <w:tc>
          <w:tcPr>
            <w:tcW w:w="3827" w:type="dxa"/>
            <w:vMerge w:val="restart"/>
            <w:vAlign w:val="center"/>
          </w:tcPr>
          <w:p>
            <w:pPr>
              <w:spacing w:line="300" w:lineRule="exact"/>
              <w:jc w:val="center"/>
              <w:rPr>
                <w:rFonts w:ascii="宋体" w:hAnsi="宋体" w:cs="宋体"/>
                <w:b/>
                <w:sz w:val="24"/>
              </w:rPr>
            </w:pPr>
            <w:r>
              <w:rPr>
                <w:rFonts w:hint="eastAsia" w:ascii="宋体" w:hAnsi="宋体" w:cs="宋体"/>
                <w:b/>
                <w:sz w:val="24"/>
              </w:rPr>
              <w:t>单位名称</w:t>
            </w:r>
          </w:p>
        </w:tc>
        <w:tc>
          <w:tcPr>
            <w:tcW w:w="1639" w:type="dxa"/>
            <w:vMerge w:val="restart"/>
            <w:vAlign w:val="center"/>
          </w:tcPr>
          <w:p>
            <w:pPr>
              <w:spacing w:line="300" w:lineRule="exact"/>
              <w:jc w:val="center"/>
              <w:rPr>
                <w:rFonts w:ascii="宋体" w:hAnsi="宋体" w:cs="宋体"/>
                <w:b/>
                <w:sz w:val="24"/>
              </w:rPr>
            </w:pPr>
            <w:r>
              <w:rPr>
                <w:rFonts w:hint="eastAsia" w:ascii="宋体" w:hAnsi="宋体" w:cs="宋体"/>
                <w:b/>
                <w:sz w:val="24"/>
              </w:rPr>
              <w:t>单位性质</w:t>
            </w:r>
          </w:p>
        </w:tc>
        <w:tc>
          <w:tcPr>
            <w:tcW w:w="1485" w:type="dxa"/>
            <w:vMerge w:val="restart"/>
            <w:vAlign w:val="center"/>
          </w:tcPr>
          <w:p>
            <w:pPr>
              <w:spacing w:line="300" w:lineRule="exact"/>
              <w:jc w:val="center"/>
              <w:rPr>
                <w:rFonts w:ascii="宋体" w:hAnsi="宋体" w:cs="宋体"/>
                <w:b/>
                <w:sz w:val="24"/>
              </w:rPr>
            </w:pPr>
            <w:r>
              <w:rPr>
                <w:rFonts w:hint="eastAsia" w:ascii="宋体" w:hAnsi="宋体" w:cs="宋体"/>
                <w:b/>
                <w:sz w:val="24"/>
              </w:rPr>
              <w:t>单位规格</w:t>
            </w:r>
          </w:p>
        </w:tc>
        <w:tc>
          <w:tcPr>
            <w:tcW w:w="2300" w:type="dxa"/>
            <w:vMerge w:val="restart"/>
            <w:vAlign w:val="center"/>
          </w:tcPr>
          <w:p>
            <w:pPr>
              <w:spacing w:line="300" w:lineRule="exact"/>
              <w:jc w:val="center"/>
              <w:rPr>
                <w:rFonts w:ascii="宋体" w:hAnsi="宋体" w:cs="宋体"/>
                <w:b/>
                <w:sz w:val="24"/>
              </w:rPr>
            </w:pPr>
            <w:r>
              <w:rPr>
                <w:rFonts w:hint="eastAsia" w:ascii="宋体" w:hAnsi="宋体" w:cs="宋体"/>
                <w:b/>
                <w:sz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47" w:hRule="atLeast"/>
          <w:tblHeader/>
          <w:jc w:val="center"/>
        </w:trPr>
        <w:tc>
          <w:tcPr>
            <w:tcW w:w="3827" w:type="dxa"/>
            <w:vMerge w:val="continue"/>
            <w:vAlign w:val="center"/>
          </w:tcPr>
          <w:p>
            <w:pPr>
              <w:spacing w:line="300" w:lineRule="exact"/>
              <w:jc w:val="left"/>
              <w:outlineLvl w:val="0"/>
              <w:rPr>
                <w:rFonts w:ascii="宋体" w:hAnsi="宋体" w:cs="宋体"/>
                <w:sz w:val="24"/>
              </w:rPr>
            </w:pPr>
          </w:p>
        </w:tc>
        <w:tc>
          <w:tcPr>
            <w:tcW w:w="1639" w:type="dxa"/>
            <w:vMerge w:val="continue"/>
            <w:vAlign w:val="center"/>
          </w:tcPr>
          <w:p>
            <w:pPr>
              <w:spacing w:line="300" w:lineRule="exact"/>
              <w:jc w:val="left"/>
              <w:outlineLvl w:val="0"/>
              <w:rPr>
                <w:rFonts w:ascii="宋体" w:hAnsi="宋体" w:cs="宋体"/>
                <w:sz w:val="24"/>
              </w:rPr>
            </w:pPr>
          </w:p>
        </w:tc>
        <w:tc>
          <w:tcPr>
            <w:tcW w:w="1485" w:type="dxa"/>
            <w:vMerge w:val="continue"/>
            <w:vAlign w:val="center"/>
          </w:tcPr>
          <w:p>
            <w:pPr>
              <w:spacing w:line="300" w:lineRule="exact"/>
              <w:jc w:val="left"/>
              <w:outlineLvl w:val="0"/>
              <w:rPr>
                <w:rFonts w:ascii="宋体" w:hAnsi="宋体" w:cs="宋体"/>
                <w:sz w:val="24"/>
              </w:rPr>
            </w:pPr>
          </w:p>
        </w:tc>
        <w:tc>
          <w:tcPr>
            <w:tcW w:w="2300" w:type="dxa"/>
            <w:vMerge w:val="continue"/>
            <w:vAlign w:val="center"/>
          </w:tcPr>
          <w:p>
            <w:pPr>
              <w:spacing w:line="300" w:lineRule="exact"/>
              <w:jc w:val="left"/>
              <w:outlineLvl w:val="0"/>
              <w:rPr>
                <w:rFonts w:ascii="宋体" w:hAnsi="宋体" w:cs="宋体"/>
                <w:sz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90" w:hRule="atLeast"/>
          <w:jc w:val="center"/>
        </w:trPr>
        <w:tc>
          <w:tcPr>
            <w:tcW w:w="3827" w:type="dxa"/>
            <w:vAlign w:val="center"/>
          </w:tcPr>
          <w:p>
            <w:pPr>
              <w:spacing w:line="300" w:lineRule="exact"/>
              <w:jc w:val="left"/>
              <w:rPr>
                <w:rFonts w:ascii="宋体" w:hAnsi="宋体" w:cs="宋体"/>
                <w:sz w:val="24"/>
              </w:rPr>
            </w:pPr>
            <w:r>
              <w:rPr>
                <w:rFonts w:hint="eastAsia" w:ascii="宋体" w:hAnsi="宋体" w:cs="宋体"/>
                <w:sz w:val="24"/>
              </w:rPr>
              <w:t xml:space="preserve">         无极县人民法院</w:t>
            </w:r>
          </w:p>
        </w:tc>
        <w:tc>
          <w:tcPr>
            <w:tcW w:w="1639" w:type="dxa"/>
            <w:vAlign w:val="center"/>
          </w:tcPr>
          <w:p>
            <w:pPr>
              <w:spacing w:line="300" w:lineRule="exact"/>
              <w:jc w:val="center"/>
              <w:rPr>
                <w:rFonts w:ascii="宋体" w:hAnsi="宋体" w:cs="宋体"/>
                <w:sz w:val="24"/>
              </w:rPr>
            </w:pPr>
            <w:r>
              <w:rPr>
                <w:rFonts w:hint="eastAsia" w:ascii="宋体" w:hAnsi="宋体" w:cs="宋体"/>
                <w:sz w:val="24"/>
              </w:rPr>
              <w:t>行政</w:t>
            </w:r>
          </w:p>
        </w:tc>
        <w:tc>
          <w:tcPr>
            <w:tcW w:w="1485" w:type="dxa"/>
            <w:vAlign w:val="center"/>
          </w:tcPr>
          <w:p>
            <w:pPr>
              <w:spacing w:line="300" w:lineRule="exact"/>
              <w:jc w:val="center"/>
              <w:rPr>
                <w:rFonts w:ascii="宋体" w:hAnsi="宋体" w:cs="宋体"/>
                <w:sz w:val="24"/>
              </w:rPr>
            </w:pPr>
            <w:r>
              <w:rPr>
                <w:rFonts w:hint="eastAsia" w:ascii="宋体" w:hAnsi="宋体" w:cs="宋体"/>
                <w:sz w:val="24"/>
              </w:rPr>
              <w:t>副处级</w:t>
            </w:r>
          </w:p>
        </w:tc>
        <w:tc>
          <w:tcPr>
            <w:tcW w:w="2300" w:type="dxa"/>
            <w:vAlign w:val="center"/>
          </w:tcPr>
          <w:p>
            <w:pPr>
              <w:spacing w:line="300" w:lineRule="exact"/>
              <w:jc w:val="center"/>
              <w:rPr>
                <w:rFonts w:ascii="宋体" w:hAnsi="宋体" w:cs="宋体"/>
                <w:sz w:val="24"/>
              </w:rPr>
            </w:pPr>
            <w:r>
              <w:rPr>
                <w:rFonts w:hint="eastAsia" w:ascii="宋体" w:hAnsi="宋体" w:cs="宋体"/>
                <w:sz w:val="24"/>
              </w:rPr>
              <w:t>财政拨款</w:t>
            </w:r>
          </w:p>
        </w:tc>
      </w:tr>
    </w:tbl>
    <w:p>
      <w:pPr>
        <w:tabs>
          <w:tab w:val="left" w:pos="649"/>
          <w:tab w:val="center" w:pos="7039"/>
        </w:tabs>
        <w:jc w:val="left"/>
        <w:rPr>
          <w:rFonts w:ascii="仿宋_GB2312" w:hAnsi="仿宋_GB2312" w:eastAsia="仿宋_GB2312" w:cs="仿宋_GB2312"/>
          <w:sz w:val="32"/>
          <w:szCs w:val="32"/>
        </w:rPr>
      </w:pPr>
    </w:p>
    <w:p>
      <w:pPr>
        <w:ind w:firstLine="640"/>
        <w:rPr>
          <w:rFonts w:ascii="黑体" w:hAnsi="黑体" w:eastAsia="黑体" w:cs="Times New Roman"/>
          <w:sz w:val="32"/>
          <w:szCs w:val="32"/>
        </w:rPr>
      </w:pPr>
      <w:r>
        <w:rPr>
          <w:rFonts w:hint="eastAsia" w:ascii="黑体" w:hAnsi="黑体" w:eastAsia="黑体" w:cs="黑体"/>
          <w:sz w:val="32"/>
          <w:szCs w:val="32"/>
        </w:rPr>
        <w:t>二、部门预算安排的总体情况</w:t>
      </w:r>
    </w:p>
    <w:p>
      <w:pPr>
        <w:ind w:firstLine="640"/>
        <w:rPr>
          <w:rFonts w:ascii="Times New Roman" w:hAnsi="Times New Roman" w:eastAsia="仿宋" w:cs="仿宋"/>
          <w:sz w:val="32"/>
          <w:szCs w:val="32"/>
        </w:rPr>
      </w:pPr>
      <w:r>
        <w:rPr>
          <w:rFonts w:hint="eastAsia" w:ascii="Times New Roman" w:hAnsi="Times New Roman" w:eastAsia="仿宋" w:cs="仿宋"/>
          <w:sz w:val="32"/>
          <w:szCs w:val="32"/>
        </w:rPr>
        <w:t>按照预算管理有关规定，目前我县部门预算的编制实行综合预算制度，即全部收入和支出都反映在预算里，我部门及所属单位所有收支都包含在部门预算中。</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仿宋"/>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反映本部门当年全部收入。</w:t>
      </w:r>
      <w:r>
        <w:rPr>
          <w:rFonts w:ascii="Times New Roman" w:hAnsi="Times New Roman" w:eastAsia="仿宋" w:cs="Times New Roman"/>
          <w:sz w:val="32"/>
          <w:szCs w:val="32"/>
        </w:rPr>
        <w:t>2020</w:t>
      </w:r>
      <w:r>
        <w:rPr>
          <w:rFonts w:hint="eastAsia" w:ascii="Times New Roman" w:hAnsi="Times New Roman" w:eastAsia="仿宋" w:cs="仿宋"/>
          <w:sz w:val="32"/>
          <w:szCs w:val="32"/>
        </w:rPr>
        <w:t>年预算收入</w:t>
      </w:r>
      <w:r>
        <w:rPr>
          <w:rFonts w:hint="eastAsia" w:ascii="Times New Roman" w:hAnsi="Times New Roman" w:eastAsia="仿宋" w:cs="Times New Roman"/>
          <w:sz w:val="32"/>
          <w:szCs w:val="32"/>
        </w:rPr>
        <w:t>2058.3</w:t>
      </w:r>
      <w:r>
        <w:rPr>
          <w:rFonts w:hint="eastAsia" w:ascii="Times New Roman" w:hAnsi="Times New Roman" w:eastAsia="仿宋" w:cs="仿宋"/>
          <w:sz w:val="32"/>
          <w:szCs w:val="32"/>
        </w:rPr>
        <w:t>万元，其中：一般公共预算收入</w:t>
      </w:r>
      <w:r>
        <w:rPr>
          <w:rFonts w:hint="eastAsia" w:ascii="Times New Roman" w:hAnsi="Times New Roman" w:eastAsia="仿宋" w:cs="Times New Roman"/>
          <w:sz w:val="32"/>
          <w:szCs w:val="32"/>
        </w:rPr>
        <w:t>2058.3</w:t>
      </w:r>
      <w:r>
        <w:rPr>
          <w:rFonts w:hint="eastAsia" w:ascii="Times New Roman" w:hAnsi="Times New Roman" w:eastAsia="仿宋" w:cs="仿宋"/>
          <w:sz w:val="32"/>
          <w:szCs w:val="32"/>
        </w:rPr>
        <w:t>万元，基金预算收入</w:t>
      </w:r>
      <w:r>
        <w:rPr>
          <w:rFonts w:ascii="Times New Roman" w:hAnsi="Times New Roman" w:eastAsia="仿宋" w:cs="Times New Roman"/>
          <w:sz w:val="32"/>
          <w:szCs w:val="32"/>
        </w:rPr>
        <w:t>0</w:t>
      </w:r>
      <w:r>
        <w:rPr>
          <w:rFonts w:hint="eastAsia" w:ascii="Times New Roman" w:hAnsi="Times New Roman" w:eastAsia="仿宋" w:cs="仿宋"/>
          <w:sz w:val="32"/>
          <w:szCs w:val="32"/>
        </w:rPr>
        <w:t>万元，财政专户核拨收入</w:t>
      </w:r>
      <w:r>
        <w:rPr>
          <w:rFonts w:ascii="Times New Roman" w:hAnsi="Times New Roman" w:eastAsia="仿宋" w:cs="Times New Roman"/>
          <w:sz w:val="32"/>
          <w:szCs w:val="32"/>
        </w:rPr>
        <w:t>0</w:t>
      </w:r>
      <w:r>
        <w:rPr>
          <w:rFonts w:hint="eastAsia" w:ascii="Times New Roman" w:hAnsi="Times New Roman" w:eastAsia="仿宋" w:cs="仿宋"/>
          <w:sz w:val="32"/>
          <w:szCs w:val="32"/>
        </w:rPr>
        <w:t>万元，其他来源收入</w:t>
      </w:r>
      <w:r>
        <w:rPr>
          <w:rFonts w:ascii="Times New Roman" w:hAnsi="Times New Roman" w:eastAsia="仿宋" w:cs="Times New Roman"/>
          <w:sz w:val="32"/>
          <w:szCs w:val="32"/>
        </w:rPr>
        <w:t>0</w:t>
      </w:r>
      <w:r>
        <w:rPr>
          <w:rFonts w:hint="eastAsia" w:ascii="Times New Roman" w:hAnsi="Times New Roman" w:eastAsia="仿宋" w:cs="仿宋"/>
          <w:sz w:val="32"/>
          <w:szCs w:val="32"/>
        </w:rPr>
        <w:t>万元。</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仿宋"/>
          <w:sz w:val="32"/>
          <w:szCs w:val="32"/>
        </w:rPr>
        <w:t>、支出说明</w:t>
      </w:r>
    </w:p>
    <w:p>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收支预算总表支出栏、基本支出表、项目支出表按经济分类和支出功能分类科目编制，反映河北省人民代表大会常务委员会办公厅年度部门预算中支出预算的总体情况。</w:t>
      </w:r>
      <w:r>
        <w:rPr>
          <w:rFonts w:ascii="Times New Roman" w:hAnsi="Times New Roman" w:eastAsia="仿宋" w:cs="Times New Roman"/>
          <w:sz w:val="32"/>
          <w:szCs w:val="32"/>
        </w:rPr>
        <w:t>2020</w:t>
      </w:r>
      <w:r>
        <w:rPr>
          <w:rFonts w:hint="eastAsia" w:ascii="Times New Roman" w:hAnsi="Times New Roman" w:eastAsia="仿宋" w:cs="仿宋"/>
          <w:sz w:val="32"/>
          <w:szCs w:val="32"/>
        </w:rPr>
        <w:t>年部门支出预算为</w:t>
      </w:r>
      <w:r>
        <w:rPr>
          <w:rFonts w:hint="eastAsia" w:ascii="Times New Roman" w:hAnsi="Times New Roman" w:eastAsia="仿宋" w:cs="Times New Roman"/>
          <w:sz w:val="32"/>
          <w:szCs w:val="32"/>
        </w:rPr>
        <w:t>2058.3</w:t>
      </w:r>
      <w:r>
        <w:rPr>
          <w:rFonts w:hint="eastAsia" w:ascii="Times New Roman" w:hAnsi="Times New Roman" w:eastAsia="仿宋" w:cs="仿宋"/>
          <w:sz w:val="32"/>
          <w:szCs w:val="32"/>
        </w:rPr>
        <w:t>万元，其中基本支出</w:t>
      </w:r>
      <w:r>
        <w:rPr>
          <w:rFonts w:hint="eastAsia" w:ascii="Times New Roman" w:hAnsi="Times New Roman" w:eastAsia="仿宋" w:cs="Times New Roman"/>
          <w:sz w:val="32"/>
          <w:szCs w:val="32"/>
        </w:rPr>
        <w:t>1716.3</w:t>
      </w:r>
      <w:r>
        <w:rPr>
          <w:rFonts w:hint="eastAsia" w:ascii="Times New Roman" w:hAnsi="Times New Roman" w:eastAsia="仿宋" w:cs="仿宋"/>
          <w:sz w:val="32"/>
          <w:szCs w:val="32"/>
        </w:rPr>
        <w:t>万元，包括人员经费</w:t>
      </w:r>
      <w:r>
        <w:rPr>
          <w:rFonts w:hint="eastAsia" w:ascii="Times New Roman" w:hAnsi="Times New Roman" w:eastAsia="仿宋" w:cs="Times New Roman"/>
          <w:sz w:val="32"/>
          <w:szCs w:val="32"/>
        </w:rPr>
        <w:t>1134.3</w:t>
      </w:r>
      <w:r>
        <w:rPr>
          <w:rFonts w:hint="eastAsia" w:ascii="Times New Roman" w:hAnsi="Times New Roman" w:eastAsia="仿宋" w:cs="仿宋"/>
          <w:sz w:val="32"/>
          <w:szCs w:val="32"/>
        </w:rPr>
        <w:t>万元和日常公用经费</w:t>
      </w:r>
      <w:r>
        <w:rPr>
          <w:rFonts w:hint="eastAsia" w:ascii="Times New Roman" w:hAnsi="Times New Roman" w:eastAsia="仿宋" w:cs="Times New Roman"/>
          <w:sz w:val="32"/>
          <w:szCs w:val="32"/>
        </w:rPr>
        <w:t>582</w:t>
      </w:r>
      <w:r>
        <w:rPr>
          <w:rFonts w:hint="eastAsia" w:ascii="Times New Roman" w:hAnsi="Times New Roman" w:eastAsia="仿宋" w:cs="仿宋"/>
          <w:sz w:val="32"/>
          <w:szCs w:val="32"/>
        </w:rPr>
        <w:t>万元；项目支出</w:t>
      </w:r>
      <w:r>
        <w:rPr>
          <w:rFonts w:hint="eastAsia" w:ascii="Times New Roman" w:hAnsi="Times New Roman" w:eastAsia="仿宋" w:cs="Times New Roman"/>
          <w:sz w:val="32"/>
          <w:szCs w:val="32"/>
        </w:rPr>
        <w:t>342</w:t>
      </w:r>
      <w:r>
        <w:rPr>
          <w:rFonts w:hint="eastAsia" w:ascii="Times New Roman" w:hAnsi="Times New Roman" w:eastAsia="仿宋" w:cs="仿宋"/>
          <w:sz w:val="32"/>
          <w:szCs w:val="32"/>
        </w:rPr>
        <w:t>万元</w:t>
      </w:r>
      <w:r>
        <w:rPr>
          <w:rFonts w:hint="eastAsia" w:ascii="Times New Roman" w:hAnsi="Times New Roman" w:eastAsia="仿宋" w:cs="仿宋"/>
          <w:sz w:val="32"/>
          <w:szCs w:val="32"/>
          <w:lang w:eastAsia="zh-CN"/>
        </w:rPr>
        <w:t>，其中包括法院加班费</w:t>
      </w:r>
      <w:r>
        <w:rPr>
          <w:rFonts w:hint="default" w:ascii="Times New Roman" w:hAnsi="Times New Roman" w:eastAsia="仿宋" w:cs="仿宋"/>
          <w:sz w:val="32"/>
          <w:szCs w:val="32"/>
          <w:lang w:val="en-US" w:eastAsia="zh-CN"/>
        </w:rPr>
        <w:t>11</w:t>
      </w:r>
      <w:r>
        <w:rPr>
          <w:rFonts w:hint="eastAsia" w:ascii="Times New Roman" w:hAnsi="Times New Roman" w:eastAsia="仿宋" w:cs="仿宋"/>
          <w:sz w:val="32"/>
          <w:szCs w:val="32"/>
          <w:lang w:val="en-US" w:eastAsia="zh-CN"/>
        </w:rPr>
        <w:t>万元、</w:t>
      </w:r>
      <w:r>
        <w:rPr>
          <w:rFonts w:hint="eastAsia" w:ascii="Times New Roman" w:hAnsi="Times New Roman" w:eastAsia="仿宋" w:cs="仿宋"/>
          <w:sz w:val="32"/>
          <w:szCs w:val="32"/>
          <w:lang w:eastAsia="zh-CN"/>
        </w:rPr>
        <w:t>法院建设补助资金</w:t>
      </w:r>
      <w:r>
        <w:rPr>
          <w:rFonts w:hint="default" w:ascii="Times New Roman" w:hAnsi="Times New Roman" w:eastAsia="仿宋" w:cs="仿宋"/>
          <w:sz w:val="32"/>
          <w:szCs w:val="32"/>
          <w:lang w:val="en-US" w:eastAsia="zh-CN"/>
        </w:rPr>
        <w:t>100</w:t>
      </w:r>
      <w:r>
        <w:rPr>
          <w:rFonts w:hint="eastAsia" w:ascii="Times New Roman" w:hAnsi="Times New Roman" w:eastAsia="仿宋" w:cs="仿宋"/>
          <w:sz w:val="32"/>
          <w:szCs w:val="32"/>
          <w:lang w:val="en-US" w:eastAsia="zh-CN"/>
        </w:rPr>
        <w:t>万元、</w:t>
      </w:r>
      <w:r>
        <w:rPr>
          <w:rFonts w:hint="eastAsia" w:ascii="Times New Roman" w:hAnsi="Times New Roman" w:eastAsia="仿宋" w:cs="仿宋"/>
          <w:sz w:val="32"/>
          <w:szCs w:val="32"/>
          <w:lang w:eastAsia="zh-CN"/>
        </w:rPr>
        <w:t>提前下达省级基层公检法司转移支付资金</w:t>
      </w:r>
      <w:r>
        <w:rPr>
          <w:rFonts w:hint="default" w:ascii="Times New Roman" w:hAnsi="Times New Roman" w:eastAsia="仿宋" w:cs="仿宋"/>
          <w:sz w:val="32"/>
          <w:szCs w:val="32"/>
          <w:lang w:val="en-US" w:eastAsia="zh-CN"/>
        </w:rPr>
        <w:t>74</w:t>
      </w:r>
      <w:r>
        <w:rPr>
          <w:rFonts w:hint="eastAsia" w:ascii="Times New Roman" w:hAnsi="Times New Roman" w:eastAsia="仿宋" w:cs="仿宋"/>
          <w:sz w:val="32"/>
          <w:szCs w:val="32"/>
          <w:lang w:val="en-US" w:eastAsia="zh-CN"/>
        </w:rPr>
        <w:t>万元</w:t>
      </w:r>
      <w:r>
        <w:rPr>
          <w:rFonts w:hint="eastAsia" w:ascii="Times New Roman" w:hAnsi="Times New Roman" w:eastAsia="仿宋" w:cs="仿宋"/>
          <w:sz w:val="32"/>
          <w:szCs w:val="32"/>
          <w:lang w:eastAsia="zh-CN"/>
        </w:rPr>
        <w:t>和提前下达中央政法纪检监察转移支付资金</w:t>
      </w:r>
      <w:r>
        <w:rPr>
          <w:rFonts w:hint="default" w:ascii="Times New Roman" w:hAnsi="Times New Roman" w:eastAsia="仿宋" w:cs="仿宋"/>
          <w:sz w:val="32"/>
          <w:szCs w:val="32"/>
          <w:lang w:val="en-US" w:eastAsia="zh-CN"/>
        </w:rPr>
        <w:t>157</w:t>
      </w:r>
      <w:r>
        <w:rPr>
          <w:rFonts w:hint="eastAsia" w:ascii="Times New Roman" w:hAnsi="Times New Roman" w:eastAsia="仿宋" w:cs="仿宋"/>
          <w:sz w:val="32"/>
          <w:szCs w:val="32"/>
          <w:lang w:val="en-US" w:eastAsia="zh-CN"/>
        </w:rPr>
        <w:t>万元</w:t>
      </w:r>
      <w:r>
        <w:rPr>
          <w:rFonts w:hint="eastAsia" w:ascii="Times New Roman" w:hAnsi="Times New Roman" w:eastAsia="仿宋" w:cs="仿宋"/>
          <w:sz w:val="32"/>
          <w:szCs w:val="32"/>
        </w:rPr>
        <w:t>。</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仿宋"/>
          <w:sz w:val="32"/>
          <w:szCs w:val="32"/>
        </w:rPr>
        <w:t>、比上年增减情况</w:t>
      </w:r>
    </w:p>
    <w:p>
      <w:pPr>
        <w:ind w:firstLine="640"/>
        <w:rPr>
          <w:rFonts w:ascii="Times New Roman" w:hAnsi="Times New Roman" w:eastAsia="仿宋" w:cs="Times New Roman"/>
          <w:sz w:val="32"/>
          <w:szCs w:val="32"/>
        </w:rPr>
      </w:pPr>
      <w:r>
        <w:rPr>
          <w:rFonts w:ascii="Times New Roman" w:hAnsi="Times New Roman" w:eastAsia="仿宋" w:cs="Times New Roman"/>
          <w:color w:val="000000"/>
          <w:sz w:val="32"/>
          <w:szCs w:val="32"/>
        </w:rPr>
        <w:t>2020</w:t>
      </w:r>
      <w:r>
        <w:rPr>
          <w:rFonts w:hint="eastAsia" w:ascii="Times New Roman" w:hAnsi="Times New Roman" w:eastAsia="仿宋" w:cs="仿宋"/>
          <w:color w:val="000000"/>
          <w:sz w:val="32"/>
          <w:szCs w:val="32"/>
        </w:rPr>
        <w:t>年部门预算收支安排</w:t>
      </w:r>
      <w:r>
        <w:rPr>
          <w:rFonts w:hint="eastAsia" w:ascii="Times New Roman" w:hAnsi="Times New Roman" w:eastAsia="仿宋" w:cs="Times New Roman"/>
          <w:sz w:val="32"/>
          <w:szCs w:val="32"/>
        </w:rPr>
        <w:t>2058.3</w:t>
      </w:r>
      <w:r>
        <w:rPr>
          <w:rFonts w:hint="eastAsia" w:ascii="Times New Roman" w:hAnsi="Times New Roman" w:eastAsia="仿宋" w:cs="仿宋"/>
          <w:color w:val="000000"/>
          <w:sz w:val="32"/>
          <w:szCs w:val="32"/>
        </w:rPr>
        <w:t>万元，</w:t>
      </w:r>
      <w:r>
        <w:rPr>
          <w:rFonts w:hint="eastAsia" w:ascii="Times New Roman" w:hAnsi="Times New Roman" w:eastAsia="仿宋" w:cs="仿宋"/>
          <w:sz w:val="32"/>
          <w:szCs w:val="32"/>
        </w:rPr>
        <w:t>较</w:t>
      </w:r>
      <w:r>
        <w:rPr>
          <w:rFonts w:ascii="Times New Roman" w:hAnsi="Times New Roman" w:eastAsia="仿宋" w:cs="Times New Roman"/>
          <w:sz w:val="32"/>
          <w:szCs w:val="32"/>
        </w:rPr>
        <w:t>2019</w:t>
      </w:r>
      <w:r>
        <w:rPr>
          <w:rFonts w:hint="eastAsia" w:ascii="Times New Roman" w:hAnsi="Times New Roman" w:eastAsia="仿宋" w:cs="仿宋"/>
          <w:sz w:val="32"/>
          <w:szCs w:val="32"/>
        </w:rPr>
        <w:t>年增加</w:t>
      </w:r>
      <w:r>
        <w:rPr>
          <w:rFonts w:hint="eastAsia" w:ascii="Times New Roman" w:hAnsi="Times New Roman" w:eastAsia="仿宋" w:cs="Times New Roman"/>
          <w:sz w:val="32"/>
          <w:szCs w:val="32"/>
        </w:rPr>
        <w:t>205.41</w:t>
      </w:r>
      <w:r>
        <w:rPr>
          <w:rFonts w:hint="eastAsia" w:ascii="Times New Roman" w:hAnsi="Times New Roman" w:eastAsia="仿宋" w:cs="仿宋"/>
          <w:sz w:val="32"/>
          <w:szCs w:val="32"/>
        </w:rPr>
        <w:t>万元，其中：基本支出增加</w:t>
      </w:r>
      <w:r>
        <w:rPr>
          <w:rFonts w:hint="eastAsia" w:ascii="Times New Roman" w:hAnsi="Times New Roman" w:eastAsia="仿宋" w:cs="Times New Roman"/>
          <w:sz w:val="32"/>
          <w:szCs w:val="32"/>
        </w:rPr>
        <w:t>548.41</w:t>
      </w:r>
      <w:r>
        <w:rPr>
          <w:rFonts w:hint="eastAsia" w:ascii="Times New Roman" w:hAnsi="Times New Roman" w:eastAsia="仿宋" w:cs="仿宋"/>
          <w:sz w:val="32"/>
          <w:szCs w:val="32"/>
        </w:rPr>
        <w:t>万元，主要是人员增加，相应增加人员经费和日常公用经费；项目支减少343万元，主要是上级下达专项资金减少。</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黑体"/>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2020</w:t>
      </w:r>
      <w:r>
        <w:rPr>
          <w:rFonts w:hint="eastAsia" w:ascii="Times New Roman" w:hAnsi="Times New Roman" w:eastAsia="仿宋" w:cs="仿宋"/>
          <w:sz w:val="32"/>
          <w:szCs w:val="32"/>
        </w:rPr>
        <w:t>年，我部门机关运行经费共计安排</w:t>
      </w:r>
      <w:r>
        <w:rPr>
          <w:rFonts w:hint="eastAsia" w:ascii="Times New Roman" w:hAnsi="Times New Roman" w:eastAsia="仿宋" w:cs="Times New Roman"/>
          <w:sz w:val="32"/>
          <w:szCs w:val="32"/>
        </w:rPr>
        <w:t>582</w:t>
      </w:r>
      <w:r>
        <w:rPr>
          <w:rFonts w:hint="eastAsia" w:ascii="Times New Roman" w:hAnsi="Times New Roman" w:eastAsia="仿宋" w:cs="仿宋"/>
          <w:sz w:val="32"/>
          <w:szCs w:val="32"/>
        </w:rPr>
        <w:t>万元，主要用于保证机关正常运转的办公及印刷费、邮电费、差旅费、会议费、福利费、专用材料及一般设备购置费、办公用房水电费、办公用房取暖费、日常维修费、办公楼物业管理费、公务车运行维护费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黑体"/>
          <w:sz w:val="32"/>
          <w:szCs w:val="32"/>
        </w:rPr>
        <w:t>四、财政拨款“三公”经费预算情况及增减变化原因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2020</w:t>
      </w:r>
      <w:r>
        <w:rPr>
          <w:rFonts w:hint="eastAsia" w:ascii="Times New Roman" w:hAnsi="Times New Roman" w:eastAsia="仿宋" w:cs="仿宋"/>
          <w:sz w:val="32"/>
          <w:szCs w:val="32"/>
        </w:rPr>
        <w:t>年，我部门财政拨款“三公”经费预算安排</w:t>
      </w:r>
      <w:r>
        <w:rPr>
          <w:rFonts w:hint="eastAsia" w:ascii="Times New Roman" w:hAnsi="Times New Roman" w:eastAsia="仿宋" w:cs="Times New Roman"/>
          <w:sz w:val="32"/>
          <w:szCs w:val="32"/>
        </w:rPr>
        <w:t>20.5</w:t>
      </w:r>
      <w:r>
        <w:rPr>
          <w:rFonts w:hint="eastAsia" w:ascii="Times New Roman" w:hAnsi="Times New Roman" w:eastAsia="仿宋" w:cs="仿宋"/>
          <w:sz w:val="32"/>
          <w:szCs w:val="32"/>
        </w:rPr>
        <w:t>万元，其中：因公出国（境）费</w:t>
      </w:r>
      <w:r>
        <w:rPr>
          <w:rFonts w:hint="eastAsia" w:ascii="Times New Roman" w:hAnsi="Times New Roman" w:eastAsia="仿宋" w:cs="Times New Roman"/>
          <w:sz w:val="32"/>
          <w:szCs w:val="32"/>
        </w:rPr>
        <w:t>0</w:t>
      </w:r>
      <w:r>
        <w:rPr>
          <w:rFonts w:hint="eastAsia" w:ascii="Times New Roman" w:hAnsi="Times New Roman" w:eastAsia="仿宋" w:cs="仿宋"/>
          <w:sz w:val="32"/>
          <w:szCs w:val="32"/>
        </w:rPr>
        <w:t>万元；公务用车购置及运维费</w:t>
      </w:r>
      <w:r>
        <w:rPr>
          <w:rFonts w:hint="eastAsia" w:ascii="Times New Roman" w:hAnsi="Times New Roman" w:eastAsia="仿宋" w:cs="仿宋"/>
          <w:sz w:val="32"/>
          <w:szCs w:val="32"/>
          <w:lang w:val="en-US" w:eastAsia="zh-CN"/>
        </w:rPr>
        <w:t>20.5</w:t>
      </w:r>
      <w:r>
        <w:rPr>
          <w:rFonts w:hint="eastAsia" w:ascii="Times New Roman" w:hAnsi="Times New Roman" w:eastAsia="仿宋" w:cs="仿宋"/>
          <w:sz w:val="32"/>
          <w:szCs w:val="32"/>
        </w:rPr>
        <w:t>万元（其中：公务用车购置费</w:t>
      </w:r>
      <w:r>
        <w:rPr>
          <w:rFonts w:ascii="Times New Roman" w:hAnsi="Times New Roman" w:eastAsia="仿宋" w:cs="Times New Roman"/>
          <w:sz w:val="32"/>
          <w:szCs w:val="32"/>
        </w:rPr>
        <w:t>0</w:t>
      </w:r>
      <w:r>
        <w:rPr>
          <w:rFonts w:hint="eastAsia" w:ascii="Times New Roman" w:hAnsi="Times New Roman" w:eastAsia="仿宋" w:cs="仿宋"/>
          <w:sz w:val="32"/>
          <w:szCs w:val="32"/>
        </w:rPr>
        <w:t>万元，公务用车运行维护费</w:t>
      </w:r>
      <w:r>
        <w:rPr>
          <w:rFonts w:hint="eastAsia" w:ascii="Times New Roman" w:hAnsi="Times New Roman" w:eastAsia="仿宋" w:cs="仿宋"/>
          <w:sz w:val="32"/>
          <w:szCs w:val="32"/>
          <w:lang w:val="en-US" w:eastAsia="zh-CN"/>
        </w:rPr>
        <w:t>20.5</w:t>
      </w:r>
      <w:r>
        <w:rPr>
          <w:rFonts w:hint="eastAsia" w:ascii="Times New Roman" w:hAnsi="Times New Roman" w:eastAsia="仿宋" w:cs="仿宋"/>
          <w:sz w:val="32"/>
          <w:szCs w:val="32"/>
        </w:rPr>
        <w:t>万元</w:t>
      </w:r>
      <w:r>
        <w:rPr>
          <w:rFonts w:ascii="Times New Roman" w:hAnsi="Times New Roman" w:eastAsia="仿宋" w:cs="Times New Roman"/>
          <w:sz w:val="32"/>
          <w:szCs w:val="32"/>
        </w:rPr>
        <w:t>)</w:t>
      </w:r>
      <w:r>
        <w:rPr>
          <w:rFonts w:hint="eastAsia" w:ascii="Times New Roman" w:hAnsi="Times New Roman" w:eastAsia="仿宋" w:cs="Times New Roman"/>
          <w:sz w:val="32"/>
          <w:szCs w:val="32"/>
          <w:lang w:eastAsia="zh-CN"/>
        </w:rPr>
        <w:t>，</w:t>
      </w:r>
      <w:r>
        <w:rPr>
          <w:rFonts w:hint="eastAsia" w:ascii="Times New Roman" w:hAnsi="Times New Roman" w:eastAsia="仿宋" w:cs="仿宋"/>
          <w:sz w:val="32"/>
          <w:szCs w:val="32"/>
        </w:rPr>
        <w:t>“三公”经费与上年比增加1</w:t>
      </w:r>
      <w:r>
        <w:rPr>
          <w:rFonts w:hint="eastAsia" w:ascii="Times New Roman" w:hAnsi="Times New Roman" w:eastAsia="仿宋" w:cs="仿宋"/>
          <w:sz w:val="32"/>
          <w:szCs w:val="32"/>
          <w:lang w:val="en-US" w:eastAsia="zh-CN"/>
        </w:rPr>
        <w:t>9</w:t>
      </w:r>
      <w:r>
        <w:rPr>
          <w:rFonts w:hint="eastAsia" w:ascii="Times New Roman" w:hAnsi="Times New Roman" w:eastAsia="仿宋" w:cs="仿宋"/>
          <w:sz w:val="32"/>
          <w:szCs w:val="32"/>
        </w:rPr>
        <w:t>.5万元,其中公务用车运行维护费增加1</w:t>
      </w:r>
      <w:r>
        <w:rPr>
          <w:rFonts w:hint="eastAsia" w:ascii="Times New Roman" w:hAnsi="Times New Roman" w:eastAsia="仿宋" w:cs="仿宋"/>
          <w:sz w:val="32"/>
          <w:szCs w:val="32"/>
          <w:lang w:val="en-US" w:eastAsia="zh-CN"/>
        </w:rPr>
        <w:t>7</w:t>
      </w:r>
      <w:r>
        <w:rPr>
          <w:rFonts w:hint="eastAsia" w:ascii="Times New Roman" w:hAnsi="Times New Roman" w:eastAsia="仿宋" w:cs="仿宋"/>
          <w:sz w:val="32"/>
          <w:szCs w:val="32"/>
        </w:rPr>
        <w:t>.5万元，</w:t>
      </w:r>
      <w:r>
        <w:rPr>
          <w:rFonts w:hint="eastAsia" w:ascii="Times New Roman" w:hAnsi="Times New Roman" w:eastAsia="仿宋" w:cs="仿宋"/>
          <w:sz w:val="32"/>
          <w:szCs w:val="32"/>
          <w:lang w:eastAsia="zh-CN"/>
        </w:rPr>
        <w:t>公务用车运行维护费增加的原因是前一年度做预算时计入了其他交通费用。</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黑体"/>
          <w:sz w:val="32"/>
          <w:szCs w:val="32"/>
        </w:rPr>
        <w:t>五、预算绩效信息</w:t>
      </w:r>
    </w:p>
    <w:p>
      <w:pPr>
        <w:ind w:firstLine="643" w:firstLineChars="200"/>
        <w:jc w:val="left"/>
        <w:rPr>
          <w:rFonts w:ascii="Times New Roman" w:hAnsi="Times New Roman" w:eastAsia="仿宋" w:cs="Times New Roman"/>
          <w:sz w:val="32"/>
          <w:szCs w:val="32"/>
        </w:rPr>
      </w:pPr>
      <w:bookmarkStart w:id="0" w:name="_Toc471398463"/>
      <w:r>
        <w:rPr>
          <w:rFonts w:hint="eastAsia" w:ascii="Times New Roman" w:hAnsi="Times New Roman" w:eastAsia="方正仿宋_GBK" w:cs="方正仿宋_GBK"/>
          <w:b/>
          <w:bCs/>
          <w:sz w:val="32"/>
          <w:szCs w:val="32"/>
        </w:rPr>
        <w:t>第一部分部门整体绩效目标</w:t>
      </w:r>
    </w:p>
    <w:p>
      <w:pPr>
        <w:autoSpaceDE w:val="0"/>
        <w:autoSpaceDN w:val="0"/>
        <w:adjustRightInd w:val="0"/>
        <w:ind w:left="198" w:firstLine="643" w:firstLineChars="200"/>
        <w:jc w:val="left"/>
        <w:rPr>
          <w:rFonts w:ascii="Times New Roman" w:hAnsi="Times New Roman" w:eastAsia="方正仿宋_GBK" w:cs="Times New Roman"/>
          <w:b/>
          <w:bCs/>
          <w:sz w:val="32"/>
          <w:szCs w:val="32"/>
        </w:rPr>
      </w:pPr>
      <w:r>
        <w:rPr>
          <w:rFonts w:hint="eastAsia" w:ascii="Times New Roman" w:hAnsi="Times New Roman" w:eastAsia="方正仿宋_GBK" w:cs="方正仿宋_GBK"/>
          <w:b/>
          <w:bCs/>
          <w:sz w:val="32"/>
          <w:szCs w:val="32"/>
        </w:rPr>
        <w:t>（一）总体绩效目标</w:t>
      </w:r>
      <w:r>
        <w:rPr>
          <w:rFonts w:ascii="Times New Roman" w:hAnsi="Times New Roman" w:eastAsia="方正仿宋_GBK" w:cs="方正仿宋_GBK"/>
          <w:b/>
          <w:bCs/>
          <w:sz w:val="32"/>
          <w:szCs w:val="32"/>
        </w:rPr>
        <w:fldChar w:fldCharType="begin"/>
      </w:r>
      <w:r>
        <w:rPr>
          <w:rFonts w:ascii="Times New Roman" w:hAnsi="Times New Roman" w:eastAsia="方正仿宋_GBK" w:cs="Times New Roman"/>
          <w:b/>
          <w:bCs/>
          <w:sz w:val="32"/>
          <w:szCs w:val="32"/>
        </w:rPr>
        <w:instrText xml:space="preserve">tc "</w:instrText>
      </w:r>
      <w:bookmarkStart w:id="1" w:name="_Toc29484628"/>
      <w:r>
        <w:rPr>
          <w:rFonts w:hint="eastAsia" w:ascii="Times New Roman" w:hAnsi="Times New Roman" w:eastAsia="方正仿宋_GBK" w:cs="方正仿宋_GBK"/>
          <w:b/>
          <w:bCs/>
          <w:sz w:val="32"/>
          <w:szCs w:val="32"/>
        </w:rPr>
        <w:instrText xml:space="preserve">总体绩效目标</w:instrText>
      </w:r>
      <w:bookmarkEnd w:id="1"/>
      <w:r>
        <w:rPr>
          <w:rFonts w:ascii="Times New Roman" w:hAnsi="Times New Roman" w:eastAsia="方正仿宋_GBK" w:cs="Times New Roman"/>
          <w:b/>
          <w:bCs/>
          <w:sz w:val="32"/>
          <w:szCs w:val="32"/>
        </w:rPr>
        <w:instrText xml:space="preserve">" \f A \l 01</w:instrText>
      </w:r>
      <w:r>
        <w:rPr>
          <w:rFonts w:ascii="Times New Roman" w:hAnsi="Times New Roman" w:eastAsia="方正仿宋_GBK" w:cs="方正仿宋_GBK"/>
          <w:b/>
          <w:bCs/>
          <w:sz w:val="32"/>
          <w:szCs w:val="32"/>
        </w:rPr>
        <w:fldChar w:fldCharType="end"/>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2020年，无极县法院在市委的正确领导下，在市人大及其常委会有力监督下，按照“巩固、完善、提高”的思路，以思想政治建设为引领，以队伍建设为根本，以作风建设为保证，狠抓执法办案，深化司法改革，强化司法公开，切实加强自身建设，忠实履行宪法和法律赋予的神圣职责，围绕中心、服务大局，为建设幸福和谐新无极提供坚强有力的司法保障和法律服务。</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一、进一步强化能动司法，在服务大局上有新贡献。全面贯彻落实市委重大决策部署，积极发挥审判职能作用，维护社会和谐，服务经济发展。</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二、进一步强化民本司法，在为民司法上有新作为。</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三、进一步强化规范司法，在司法公正上有新提高。</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四、进一步深化司法改革，在队伍建设上有新成效。推进司法改革，优化审执运行机制。实行员额法官与司法辅助人员的有效配置。</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五、开展惩治司法“微腐败”专项行动。以“一问责八清理”和“微腐败”两项行动为抓手，加大对执法办案、工作纪律、工作秩序、工作作风、会风等问题的整饬力度。以铁的手腕惩治司法腐败，确保法官清正，法院清廉，司法清明。</w:t>
      </w:r>
    </w:p>
    <w:p>
      <w:pPr>
        <w:autoSpaceDE w:val="0"/>
        <w:autoSpaceDN w:val="0"/>
        <w:adjustRightInd w:val="0"/>
        <w:ind w:left="198" w:firstLine="643" w:firstLineChars="200"/>
        <w:jc w:val="left"/>
        <w:rPr>
          <w:rFonts w:ascii="Times New Roman" w:hAnsi="Times New Roman" w:eastAsia="方正仿宋_GBK" w:cs="Times New Roman"/>
          <w:b/>
          <w:bCs/>
          <w:sz w:val="32"/>
          <w:szCs w:val="32"/>
        </w:rPr>
      </w:pPr>
      <w:r>
        <w:rPr>
          <w:rFonts w:hint="eastAsia" w:ascii="Times New Roman" w:hAnsi="Times New Roman" w:eastAsia="方正仿宋_GBK" w:cs="方正仿宋_GBK"/>
          <w:b/>
          <w:bCs/>
          <w:sz w:val="32"/>
          <w:szCs w:val="32"/>
        </w:rPr>
        <w:t>（二）分项绩效目标</w:t>
      </w:r>
      <w:r>
        <w:rPr>
          <w:rFonts w:ascii="Times New Roman" w:hAnsi="Times New Roman" w:eastAsia="方正仿宋_GBK" w:cs="方正仿宋_GBK"/>
          <w:b/>
          <w:bCs/>
          <w:sz w:val="32"/>
          <w:szCs w:val="32"/>
        </w:rPr>
        <w:fldChar w:fldCharType="begin"/>
      </w:r>
      <w:r>
        <w:rPr>
          <w:rFonts w:ascii="Times New Roman" w:hAnsi="Times New Roman" w:eastAsia="方正仿宋_GBK" w:cs="Times New Roman"/>
          <w:b/>
          <w:bCs/>
          <w:sz w:val="32"/>
          <w:szCs w:val="32"/>
        </w:rPr>
        <w:instrText xml:space="preserve">tc "</w:instrText>
      </w:r>
      <w:bookmarkStart w:id="2" w:name="_Toc29484629"/>
      <w:r>
        <w:rPr>
          <w:rFonts w:hint="eastAsia" w:ascii="Times New Roman" w:hAnsi="Times New Roman" w:eastAsia="方正仿宋_GBK" w:cs="方正仿宋_GBK"/>
          <w:b/>
          <w:bCs/>
          <w:sz w:val="32"/>
          <w:szCs w:val="32"/>
        </w:rPr>
        <w:instrText xml:space="preserve">分项绩效目标</w:instrText>
      </w:r>
      <w:bookmarkEnd w:id="2"/>
      <w:r>
        <w:rPr>
          <w:rFonts w:ascii="Times New Roman" w:hAnsi="Times New Roman" w:eastAsia="方正仿宋_GBK" w:cs="Times New Roman"/>
          <w:b/>
          <w:bCs/>
          <w:sz w:val="32"/>
          <w:szCs w:val="32"/>
        </w:rPr>
        <w:instrText xml:space="preserve">" \f A \l 01</w:instrText>
      </w:r>
      <w:r>
        <w:rPr>
          <w:rFonts w:ascii="Times New Roman" w:hAnsi="Times New Roman" w:eastAsia="方正仿宋_GBK" w:cs="方正仿宋_GBK"/>
          <w:b/>
          <w:bCs/>
          <w:sz w:val="32"/>
          <w:szCs w:val="32"/>
        </w:rPr>
        <w:fldChar w:fldCharType="end"/>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二、分项绩效目标</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（一）案件审判管理和执行</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审理本院管辖的刑民事、行政等一审案件，依法办理发生法律效力判决、其他法律文书的执行，做好审判管理工作。</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1、案件审判</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绩效目标：依法审判法律规定由县级人民法院管辖的刑事、民事、行政等一审案件。</w:t>
      </w:r>
      <w:r>
        <w:rPr>
          <w:rFonts w:hint="eastAsia" w:ascii="Times New Roman" w:hAnsi="Times New Roman" w:eastAsia="仿宋" w:cs="Times New Roman"/>
          <w:sz w:val="32"/>
          <w:szCs w:val="32"/>
        </w:rPr>
        <w:tab/>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绩效指标：管辖的案件应在法定期限内审结。</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2、案件执行</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绩效目标：执行本院已经发生法律效力的法律文书和法律规定由本院执行的其他生效法律文书及委托执行案件。</w:t>
      </w:r>
      <w:r>
        <w:rPr>
          <w:rFonts w:hint="eastAsia" w:ascii="Times New Roman" w:hAnsi="Times New Roman" w:eastAsia="仿宋" w:cs="Times New Roman"/>
          <w:sz w:val="32"/>
          <w:szCs w:val="32"/>
        </w:rPr>
        <w:tab/>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绩效指标：执行案件公开率，促进案件执结率。</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3、司法技术辅助</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绩效目标：开展司法技术辅助工作，以及对审判工作技术咨询、技术审核服务。</w:t>
      </w:r>
      <w:r>
        <w:rPr>
          <w:rFonts w:hint="eastAsia" w:ascii="Times New Roman" w:hAnsi="Times New Roman" w:eastAsia="仿宋" w:cs="Times New Roman"/>
          <w:sz w:val="32"/>
          <w:szCs w:val="32"/>
        </w:rPr>
        <w:tab/>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绩效指标：为案件审判提供技术支撑，提高办案质量。</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（二）司法救助和国家赔偿</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完成涉法涉诉类案件的息诉罢访工作，依法办理国家赔偿案。</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1、涉法涉诉</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绩效目标：完成涉法涉诉类上访案件的息诉罢访工作。</w:t>
      </w:r>
      <w:r>
        <w:rPr>
          <w:rFonts w:hint="eastAsia" w:ascii="Times New Roman" w:hAnsi="Times New Roman" w:eastAsia="仿宋" w:cs="Times New Roman"/>
          <w:sz w:val="32"/>
          <w:szCs w:val="32"/>
        </w:rPr>
        <w:tab/>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绩效指标：保障信访工作正常进行，提高信访案件结案率、信访受理满意度。</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2、司法救助</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绩效目标：对受到侵害但无法获得有效赔偿的当事人给予资助。</w:t>
      </w:r>
      <w:r>
        <w:rPr>
          <w:rFonts w:hint="eastAsia" w:ascii="Times New Roman" w:hAnsi="Times New Roman" w:eastAsia="仿宋" w:cs="Times New Roman"/>
          <w:sz w:val="32"/>
          <w:szCs w:val="32"/>
        </w:rPr>
        <w:tab/>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绩效指标：切实保护民生，让人民群众感受到司法以人为本，享受到司法人文关怀。</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3、国家赔偿</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绩效目标：依法办理国家赔偿案件，执行赔偿委员会决定事项，审查处理赔偿告诉申诉案件。</w:t>
      </w:r>
      <w:r>
        <w:rPr>
          <w:rFonts w:hint="eastAsia" w:ascii="Times New Roman" w:hAnsi="Times New Roman" w:eastAsia="仿宋" w:cs="Times New Roman"/>
          <w:sz w:val="32"/>
          <w:szCs w:val="32"/>
        </w:rPr>
        <w:tab/>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绩效指标：保护被侵害人的合法权益，促进行政机关、司法机关依法履行职责。</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（三）法院事务管理</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系统综合业务管理和综合事务管理，提高队伍素质和执法能力，高质高效完成各项工作。</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1、综合业务管理</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绩效目标：加强法院系统队伍建设，加强法院基础设施及信息化建设，加强培训及法院文化建设。</w:t>
      </w:r>
      <w:r>
        <w:rPr>
          <w:rFonts w:hint="eastAsia" w:ascii="Times New Roman" w:hAnsi="Times New Roman" w:eastAsia="仿宋" w:cs="Times New Roman"/>
          <w:sz w:val="32"/>
          <w:szCs w:val="32"/>
        </w:rPr>
        <w:tab/>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绩效指标：提高队伍素质和执法能力，推进信息公开，提升审判质效，改进司法工作作风，树立法院良好形象。</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2、综合事务管理</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绩效目标：管理全市法庭司法行政工作；承办其它应由县级人民法院负责的工作。</w:t>
      </w:r>
      <w:r>
        <w:rPr>
          <w:rFonts w:hint="eastAsia" w:ascii="Times New Roman" w:hAnsi="Times New Roman" w:eastAsia="仿宋" w:cs="Times New Roman"/>
          <w:sz w:val="32"/>
          <w:szCs w:val="32"/>
        </w:rPr>
        <w:tab/>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绩效指标：领导全市人民法庭的监察工作；高质高效完成年度各项工作。</w:t>
      </w:r>
    </w:p>
    <w:p>
      <w:pPr>
        <w:autoSpaceDE w:val="0"/>
        <w:autoSpaceDN w:val="0"/>
        <w:adjustRightInd w:val="0"/>
        <w:ind w:left="198" w:firstLine="643" w:firstLineChars="200"/>
        <w:jc w:val="left"/>
        <w:rPr>
          <w:rFonts w:ascii="Times New Roman" w:hAnsi="Times New Roman" w:eastAsia="方正仿宋_GBK" w:cs="Times New Roman"/>
          <w:b/>
          <w:bCs/>
          <w:sz w:val="32"/>
          <w:szCs w:val="32"/>
        </w:rPr>
      </w:pPr>
      <w:r>
        <w:rPr>
          <w:rFonts w:hint="eastAsia" w:ascii="Times New Roman" w:hAnsi="Times New Roman" w:eastAsia="方正仿宋_GBK" w:cs="方正仿宋_GBK"/>
          <w:b/>
          <w:bCs/>
          <w:sz w:val="32"/>
          <w:szCs w:val="32"/>
        </w:rPr>
        <w:t>（三）工作保障措施</w:t>
      </w:r>
      <w:r>
        <w:rPr>
          <w:rFonts w:ascii="Times New Roman" w:hAnsi="Times New Roman" w:eastAsia="方正仿宋_GBK" w:cs="方正仿宋_GBK"/>
          <w:b/>
          <w:bCs/>
          <w:sz w:val="32"/>
          <w:szCs w:val="32"/>
        </w:rPr>
        <w:fldChar w:fldCharType="begin"/>
      </w:r>
      <w:r>
        <w:rPr>
          <w:rFonts w:ascii="Times New Roman" w:hAnsi="Times New Roman" w:eastAsia="方正仿宋_GBK" w:cs="Times New Roman"/>
          <w:b/>
          <w:bCs/>
          <w:sz w:val="32"/>
          <w:szCs w:val="32"/>
        </w:rPr>
        <w:instrText xml:space="preserve">tc "</w:instrText>
      </w:r>
      <w:bookmarkStart w:id="3" w:name="_Toc29484630"/>
      <w:r>
        <w:rPr>
          <w:rFonts w:hint="eastAsia" w:ascii="Times New Roman" w:hAnsi="Times New Roman" w:eastAsia="方正仿宋_GBK" w:cs="方正仿宋_GBK"/>
          <w:b/>
          <w:bCs/>
          <w:sz w:val="32"/>
          <w:szCs w:val="32"/>
        </w:rPr>
        <w:instrText xml:space="preserve">工作保障措施</w:instrText>
      </w:r>
      <w:bookmarkEnd w:id="3"/>
      <w:r>
        <w:rPr>
          <w:rFonts w:ascii="Times New Roman" w:hAnsi="Times New Roman" w:eastAsia="方正仿宋_GBK" w:cs="Times New Roman"/>
          <w:b/>
          <w:bCs/>
          <w:sz w:val="32"/>
          <w:szCs w:val="32"/>
        </w:rPr>
        <w:instrText xml:space="preserve">" \f A \l 01</w:instrText>
      </w:r>
      <w:r>
        <w:rPr>
          <w:rFonts w:ascii="Times New Roman" w:hAnsi="Times New Roman" w:eastAsia="方正仿宋_GBK" w:cs="方正仿宋_GBK"/>
          <w:b/>
          <w:bCs/>
          <w:sz w:val="32"/>
          <w:szCs w:val="32"/>
        </w:rPr>
        <w:fldChar w:fldCharType="end"/>
      </w:r>
    </w:p>
    <w:p>
      <w:pPr>
        <w:ind w:firstLine="640"/>
        <w:jc w:val="left"/>
        <w:outlineLvl w:val="1"/>
        <w:rPr>
          <w:rFonts w:ascii="Times New Roman" w:hAnsi="Times New Roman" w:eastAsia="仿宋" w:cs="Times New Roman"/>
          <w:sz w:val="32"/>
          <w:szCs w:val="32"/>
        </w:rPr>
      </w:pPr>
      <w:r>
        <w:rPr>
          <w:rFonts w:hint="eastAsia" w:ascii="Times New Roman" w:hAnsi="Times New Roman" w:eastAsia="仿宋" w:cs="Times New Roman"/>
          <w:sz w:val="32"/>
          <w:szCs w:val="32"/>
        </w:rPr>
        <w:t>2020年，无极法院为实现年度绩效目标所采取的各项重要措施。可以根据预测可能存在的问题、环境变化的趋势，采取措施预做准备，控制偏差，保证计划目标的实现。</w:t>
      </w:r>
    </w:p>
    <w:p>
      <w:pPr>
        <w:ind w:firstLine="640"/>
        <w:jc w:val="left"/>
        <w:outlineLvl w:val="1"/>
        <w:rPr>
          <w:rFonts w:ascii="Times New Roman" w:hAnsi="Times New Roman" w:eastAsia="仿宋" w:cs="Times New Roman"/>
          <w:sz w:val="32"/>
          <w:szCs w:val="32"/>
        </w:rPr>
      </w:pPr>
      <w:r>
        <w:rPr>
          <w:rFonts w:hint="eastAsia" w:ascii="Times New Roman" w:hAnsi="Times New Roman" w:eastAsia="仿宋" w:cs="Times New Roman"/>
          <w:sz w:val="32"/>
          <w:szCs w:val="32"/>
        </w:rPr>
        <w:t>一是完善制度建设，加强制度管理。不断改进司法管理和司法权力运行监督机制，健全完善各项制度，制定完善预算绩效管理制度、资金管理办法、工作保障制度，为全年预算绩效目标的实现奠定制度基础。。</w:t>
      </w:r>
    </w:p>
    <w:p>
      <w:pPr>
        <w:ind w:firstLine="640" w:firstLineChars="200"/>
        <w:jc w:val="left"/>
        <w:outlineLvl w:val="1"/>
        <w:rPr>
          <w:rFonts w:ascii="Times New Roman" w:hAnsi="Times New Roman" w:eastAsia="仿宋" w:cs="Times New Roman"/>
          <w:sz w:val="32"/>
          <w:szCs w:val="32"/>
        </w:rPr>
      </w:pPr>
      <w:r>
        <w:rPr>
          <w:rFonts w:hint="eastAsia" w:ascii="Times New Roman" w:hAnsi="Times New Roman" w:eastAsia="仿宋" w:cs="Times New Roman"/>
          <w:sz w:val="32"/>
          <w:szCs w:val="32"/>
        </w:rPr>
        <w:t>二是加强支出管理。在加强制度管理的基础上，进一步扎牢制度的笼子，按要求开展绩效运行监控，发现问题及时采取措施，确保绩效目标如期保质实现。</w:t>
      </w:r>
    </w:p>
    <w:p>
      <w:pPr>
        <w:ind w:firstLine="640" w:firstLineChars="200"/>
        <w:jc w:val="left"/>
        <w:outlineLvl w:val="1"/>
        <w:rPr>
          <w:rFonts w:ascii="Times New Roman" w:hAnsi="Times New Roman" w:eastAsia="仿宋" w:cs="Times New Roman"/>
          <w:sz w:val="32"/>
          <w:szCs w:val="32"/>
        </w:rPr>
      </w:pPr>
      <w:r>
        <w:rPr>
          <w:rFonts w:hint="eastAsia" w:ascii="Times New Roman" w:hAnsi="Times New Roman" w:eastAsia="仿宋" w:cs="Times New Roman"/>
          <w:sz w:val="32"/>
          <w:szCs w:val="32"/>
        </w:rPr>
        <w:t>三是加强绩效运行监控。通过优化支出结构、编细编实预算、加快履行政府采购手续、尽快启动项目、及时支付资金、6月底前细化代编预算、按规定及时下达资金等多种措施，确保支出进度达标。充分发挥信息网络绩效运行等方面的优势，促进法院工作规范化、制度化。</w:t>
      </w:r>
    </w:p>
    <w:p>
      <w:pPr>
        <w:ind w:firstLine="640" w:firstLineChars="200"/>
        <w:jc w:val="left"/>
        <w:outlineLvl w:val="1"/>
        <w:rPr>
          <w:rFonts w:ascii="Times New Roman" w:hAnsi="Times New Roman" w:eastAsia="仿宋" w:cs="Times New Roman"/>
          <w:sz w:val="32"/>
          <w:szCs w:val="32"/>
        </w:rPr>
      </w:pPr>
      <w:r>
        <w:rPr>
          <w:rFonts w:hint="eastAsia" w:ascii="Times New Roman" w:hAnsi="Times New Roman" w:eastAsia="仿宋" w:cs="Times New Roman"/>
          <w:sz w:val="32"/>
          <w:szCs w:val="32"/>
        </w:rPr>
        <w:t>四是做好绩效自评。按要求开展上年度部门预算绩效自评和重点评价工作，对评价中发现的问题及时整改，调整优化支出结构，提高财政资金使用效益。</w:t>
      </w:r>
    </w:p>
    <w:p>
      <w:pPr>
        <w:ind w:firstLine="640" w:firstLineChars="200"/>
        <w:jc w:val="left"/>
        <w:outlineLvl w:val="1"/>
        <w:rPr>
          <w:rFonts w:ascii="方正仿宋_GBK" w:eastAsia="方正仿宋_GBK" w:cs="方正仿宋_GBK"/>
          <w:b/>
          <w:bCs/>
          <w:sz w:val="28"/>
          <w:szCs w:val="28"/>
        </w:rPr>
      </w:pPr>
      <w:r>
        <w:rPr>
          <w:rFonts w:hint="eastAsia" w:ascii="Times New Roman" w:hAnsi="Times New Roman" w:eastAsia="仿宋" w:cs="Times New Roman"/>
          <w:sz w:val="32"/>
          <w:szCs w:val="32"/>
        </w:rPr>
        <w:t>五是规范财务资产管理。完善财务管理制度，严格审批程序，加强固定资产登记、使用和报废处置管理，做到支出合理，物尽其用。</w:t>
      </w:r>
    </w:p>
    <w:p>
      <w:pPr>
        <w:ind w:firstLine="643" w:firstLineChars="200"/>
        <w:jc w:val="left"/>
        <w:rPr>
          <w:rFonts w:ascii="方正仿宋_GBK" w:eastAsia="方正仿宋_GBK" w:cs="方正仿宋_GBK"/>
          <w:b/>
          <w:bCs/>
          <w:sz w:val="28"/>
          <w:szCs w:val="28"/>
        </w:rPr>
      </w:pPr>
      <w:r>
        <w:rPr>
          <w:rFonts w:hint="eastAsia" w:ascii="Times New Roman" w:hAnsi="Times New Roman" w:eastAsia="方正仿宋_GBK" w:cs="方正仿宋_GBK"/>
          <w:b/>
          <w:bCs/>
          <w:sz w:val="32"/>
          <w:szCs w:val="32"/>
        </w:rPr>
        <w:t>第二部分预算项目绩效目标</w:t>
      </w:r>
    </w:p>
    <w:p>
      <w:pPr>
        <w:ind w:firstLine="562" w:firstLineChars="200"/>
        <w:jc w:val="left"/>
        <w:outlineLvl w:val="1"/>
        <w:rPr>
          <w:rFonts w:ascii="Times New Roman" w:hAnsi="宋体"/>
          <w:b/>
          <w:sz w:val="28"/>
        </w:rPr>
      </w:pPr>
      <w:r>
        <w:rPr>
          <w:rFonts w:hint="eastAsia" w:ascii="方正仿宋_GBK" w:eastAsia="方正仿宋_GBK"/>
          <w:b/>
          <w:sz w:val="28"/>
        </w:rPr>
        <w:t>1、法院加班补贴绩效目标表</w:t>
      </w:r>
      <w:r>
        <w:fldChar w:fldCharType="begin"/>
      </w:r>
      <w:r>
        <w:rPr>
          <w:rFonts w:hint="eastAsia" w:ascii="方正仿宋_GBK" w:eastAsia="方正仿宋_GBK"/>
          <w:b/>
          <w:sz w:val="28"/>
        </w:rPr>
        <w:instrText xml:space="preserve">TC </w:instrText>
      </w:r>
      <w:bookmarkStart w:id="4" w:name="_Toc34858792"/>
      <w:r>
        <w:rPr>
          <w:rFonts w:hint="eastAsia" w:ascii="方正仿宋_GBK" w:eastAsia="方正仿宋_GBK"/>
          <w:b/>
          <w:sz w:val="28"/>
        </w:rPr>
        <w:instrText xml:space="preserve">1、法院加班补贴绩效目标表</w:instrText>
      </w:r>
      <w:bookmarkEnd w:id="4"/>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161002</w:t>
            </w:r>
            <w:r>
              <w:rPr>
                <w:rFonts w:hint="eastAsia" w:ascii="方正书宋_GBK" w:eastAsia="方正书宋_GBK"/>
                <w:b/>
              </w:rPr>
              <w:t>无极县人民法院</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161-0302-JXN-SC27</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法院加班补贴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11.00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11.00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在职人员加班补贴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25.00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25.00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、提高工作效率</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、增加干警对工作的满意度</w:t>
            </w:r>
          </w:p>
        </w:tc>
      </w:tr>
    </w:tbl>
    <w:p>
      <w:pPr>
        <w:spacing w:line="14" w:lineRule="exact"/>
        <w:ind w:firstLine="420" w:firstLineChars="200"/>
        <w:jc w:val="center"/>
        <w:rPr>
          <w:rFonts w:ascii="Times New Roman"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案件结案率</w:t>
            </w:r>
            <w:r>
              <w:rPr>
                <w:rFonts w:ascii="方正书宋_GBK" w:eastAsia="方正书宋_GBK"/>
              </w:rPr>
              <w:t>%</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案件判决数与审判案件的比率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案件执结率</w:t>
            </w:r>
            <w:r>
              <w:rPr>
                <w:rFonts w:ascii="方正书宋_GBK" w:eastAsia="方正书宋_GBK"/>
              </w:rPr>
              <w:t>%</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案件执结数占案件总数的比率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88</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审限结案率</w:t>
            </w:r>
            <w:r>
              <w:rPr>
                <w:rFonts w:ascii="方正书宋_GBK" w:eastAsia="方正书宋_GBK"/>
              </w:rPr>
              <w:t>%</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法定审限内结案数占结案总数的比率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一审上诉率</w:t>
            </w:r>
            <w:r>
              <w:rPr>
                <w:rFonts w:ascii="方正书宋_GBK" w:eastAsia="方正书宋_GBK"/>
              </w:rPr>
              <w:t>%</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一审案件上诉数占一审案件的比率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案件流程合规率</w:t>
            </w:r>
            <w:r>
              <w:rPr>
                <w:rFonts w:ascii="方正书宋_GBK" w:eastAsia="方正书宋_GBK"/>
              </w:rPr>
              <w:t>%</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纳入审判管理流程案件与全部案件的比率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民事案件调解撤诉率</w:t>
            </w:r>
            <w:r>
              <w:rPr>
                <w:rFonts w:ascii="方正书宋_GBK" w:eastAsia="方正书宋_GBK"/>
              </w:rPr>
              <w:t>%</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调解后撤诉民事案件数占民事案件总数的比率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去年标准</w:t>
            </w:r>
          </w:p>
        </w:tc>
      </w:tr>
    </w:tbl>
    <w:p>
      <w:pPr>
        <w:spacing w:line="300" w:lineRule="exact"/>
        <w:ind w:firstLine="420" w:firstLineChars="200"/>
        <w:jc w:val="left"/>
        <w:sectPr>
          <w:pgSz w:w="16839" w:h="11907" w:orient="landscape"/>
          <w:pgMar w:top="1304" w:right="1984" w:bottom="1304" w:left="1134" w:header="851" w:footer="992" w:gutter="0"/>
          <w:cols w:space="425" w:num="1"/>
          <w:docGrid w:type="lines" w:linePitch="312" w:charSpace="0"/>
        </w:sectPr>
      </w:pPr>
    </w:p>
    <w:p>
      <w:pPr>
        <w:spacing w:line="300" w:lineRule="exact"/>
        <w:ind w:firstLine="420" w:firstLineChars="200"/>
        <w:jc w:val="left"/>
      </w:pPr>
    </w:p>
    <w:p>
      <w:pPr>
        <w:ind w:firstLine="1124" w:firstLineChars="400"/>
        <w:jc w:val="left"/>
        <w:outlineLvl w:val="1"/>
        <w:rPr>
          <w:rFonts w:ascii="Times New Roman" w:hAnsi="宋体"/>
          <w:b/>
          <w:sz w:val="28"/>
        </w:rPr>
      </w:pPr>
      <w:r>
        <w:rPr>
          <w:rFonts w:hint="eastAsia" w:ascii="方正仿宋_GBK" w:eastAsia="方正仿宋_GBK"/>
          <w:b/>
          <w:sz w:val="28"/>
        </w:rPr>
        <w:t>2、关于提前下达2020年法院建设补助资金绩效目标表</w:t>
      </w:r>
      <w:r>
        <w:fldChar w:fldCharType="begin"/>
      </w:r>
      <w:r>
        <w:rPr>
          <w:rFonts w:hint="eastAsia" w:ascii="方正仿宋_GBK" w:eastAsia="方正仿宋_GBK"/>
          <w:b/>
          <w:sz w:val="28"/>
        </w:rPr>
        <w:instrText xml:space="preserve">TC </w:instrText>
      </w:r>
      <w:bookmarkStart w:id="5" w:name="_Toc34858793"/>
      <w:r>
        <w:rPr>
          <w:rFonts w:hint="eastAsia" w:ascii="方正仿宋_GBK" w:eastAsia="方正仿宋_GBK"/>
          <w:b/>
          <w:sz w:val="28"/>
        </w:rPr>
        <w:instrText xml:space="preserve">2、关于提前下达2020年法院建设补助资金绩效目标表</w:instrText>
      </w:r>
      <w:bookmarkEnd w:id="5"/>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161002</w:t>
            </w:r>
            <w:r>
              <w:rPr>
                <w:rFonts w:hint="eastAsia" w:ascii="方正书宋_GBK" w:eastAsia="方正书宋_GBK"/>
                <w:b/>
              </w:rPr>
              <w:t>无极县人民法院</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161-0101-JSN-MDUA</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年法院建设补助资金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100.00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100.00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用于法院的智慧法院建设所需要的各种装备购置支出，包括防火墙建设等。从而提升法院信息化水平，充分利用审判大数据，提高审判质量和效率。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、提高办案效率</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、增强法院信息安全以及数字化法庭建设</w:t>
            </w:r>
          </w:p>
        </w:tc>
      </w:tr>
    </w:tbl>
    <w:p>
      <w:pPr>
        <w:spacing w:line="14" w:lineRule="exact"/>
        <w:ind w:firstLine="420" w:firstLineChars="200"/>
        <w:jc w:val="center"/>
        <w:rPr>
          <w:rFonts w:ascii="Times New Roman"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审限结案率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法定审限内结案数占结案数的比例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案件结案率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案件判决数占审判案件总数的比例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88</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案件信息合格率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正确案件信息数占全部案件信息数的比例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审判流程公开率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审判流程公开案件占全部案件的比例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执行公开率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执行案件公开数占执结案件数的比例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审判流程合规率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纳入审判管理流程案件占全部案件的比例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去年标准</w:t>
            </w:r>
          </w:p>
        </w:tc>
      </w:tr>
    </w:tbl>
    <w:p>
      <w:pPr>
        <w:spacing w:line="300" w:lineRule="exact"/>
        <w:ind w:firstLine="420" w:firstLineChars="200"/>
        <w:jc w:val="left"/>
        <w:sectPr>
          <w:pgSz w:w="16839" w:h="11907" w:orient="landscape"/>
          <w:pgMar w:top="1304" w:right="1984" w:bottom="1304" w:left="113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3、提前下达2020年基层公检法司转移支付资金-法院绩效目标表</w:t>
      </w:r>
      <w:r>
        <w:fldChar w:fldCharType="begin"/>
      </w:r>
      <w:r>
        <w:rPr>
          <w:rFonts w:hint="eastAsia" w:ascii="方正仿宋_GBK" w:eastAsia="方正仿宋_GBK"/>
          <w:b/>
          <w:sz w:val="28"/>
        </w:rPr>
        <w:instrText xml:space="preserve">TC </w:instrText>
      </w:r>
      <w:bookmarkStart w:id="6" w:name="_Toc34858794"/>
      <w:r>
        <w:rPr>
          <w:rFonts w:hint="eastAsia" w:ascii="方正仿宋_GBK" w:eastAsia="方正仿宋_GBK"/>
          <w:b/>
          <w:sz w:val="28"/>
        </w:rPr>
        <w:instrText xml:space="preserve">3、提前下达2020年基层公检法司转移支付资金-法院绩效目标表</w:instrText>
      </w:r>
      <w:bookmarkEnd w:id="6"/>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161002</w:t>
            </w:r>
            <w:r>
              <w:rPr>
                <w:rFonts w:hint="eastAsia" w:ascii="方正书宋_GBK" w:eastAsia="方正书宋_GBK"/>
                <w:b/>
              </w:rPr>
              <w:t>无极县人民法院</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161-0101-JSN-BM81</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提前下达</w:t>
            </w:r>
            <w:r>
              <w:rPr>
                <w:rFonts w:ascii="方正书宋_GBK" w:eastAsia="方正书宋_GBK"/>
              </w:rPr>
              <w:t>2020</w:t>
            </w:r>
            <w:r>
              <w:rPr>
                <w:rFonts w:hint="eastAsia" w:ascii="方正书宋_GBK" w:eastAsia="方正书宋_GBK"/>
              </w:rPr>
              <w:t>年基层公检法司转移支付资金</w:t>
            </w:r>
            <w:r>
              <w:rPr>
                <w:rFonts w:ascii="方正书宋_GBK" w:eastAsia="方正书宋_GBK"/>
              </w:rPr>
              <w:t>-</w:t>
            </w:r>
            <w:r>
              <w:rPr>
                <w:rFonts w:hint="eastAsia" w:ascii="方正书宋_GBK" w:eastAsia="方正书宋_GBK"/>
              </w:rPr>
              <w:t>法院</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51.80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51.80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用于各种办案经费包括差旅费、陪审费等，从而提高办案效率，更好地惩治犯罪分子，解决社会与矛盾和纠纷，维护公平正义。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、提高办案效率</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、提高群众对法院办案满意度</w:t>
            </w:r>
          </w:p>
        </w:tc>
      </w:tr>
    </w:tbl>
    <w:p>
      <w:pPr>
        <w:spacing w:line="14" w:lineRule="exact"/>
        <w:ind w:firstLine="420" w:firstLineChars="200"/>
        <w:jc w:val="center"/>
        <w:rPr>
          <w:rFonts w:ascii="Times New Roman"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审限结案率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法定审限内结案数占结案数的比例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平均审理天数（天）</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全部案件的审理天数与结案总数的比</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案件信息合格率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正确案件信息数占全部案件信息数的比例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审判流程公开率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审判流程公开案件占全部案件的比例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案件结案率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案件判决数占审判案件总数的比例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审判流程合规率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纳入审判管理流程案件占全部案件的比例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去年标准</w:t>
            </w:r>
          </w:p>
        </w:tc>
      </w:tr>
    </w:tbl>
    <w:p>
      <w:pPr>
        <w:spacing w:line="300" w:lineRule="exact"/>
        <w:ind w:firstLine="420" w:firstLineChars="200"/>
        <w:jc w:val="left"/>
        <w:sectPr>
          <w:pgSz w:w="16839" w:h="11907" w:orient="landscape"/>
          <w:pgMar w:top="1304" w:right="1984" w:bottom="1304" w:left="1134" w:header="851" w:footer="992" w:gutter="0"/>
          <w:cols w:space="425" w:num="1"/>
          <w:docGrid w:type="lines" w:linePitch="312" w:charSpace="0"/>
        </w:sectPr>
      </w:pPr>
    </w:p>
    <w:p>
      <w:pPr>
        <w:ind w:firstLine="562" w:firstLineChars="200"/>
        <w:jc w:val="left"/>
        <w:outlineLvl w:val="1"/>
        <w:rPr>
          <w:rFonts w:ascii="Times New Roman" w:hAnsi="宋体"/>
          <w:b/>
          <w:sz w:val="28"/>
        </w:rPr>
      </w:pPr>
      <w:r>
        <w:rPr>
          <w:rFonts w:hint="eastAsia" w:ascii="方正仿宋_GBK" w:eastAsia="方正仿宋_GBK"/>
          <w:b/>
          <w:sz w:val="28"/>
        </w:rPr>
        <w:t>4、提前下达2020年省级基层公检法司转移支付资金绩效目标表</w:t>
      </w:r>
      <w:r>
        <w:fldChar w:fldCharType="begin"/>
      </w:r>
      <w:r>
        <w:rPr>
          <w:rFonts w:hint="eastAsia" w:ascii="方正仿宋_GBK" w:eastAsia="方正仿宋_GBK"/>
          <w:b/>
          <w:sz w:val="28"/>
        </w:rPr>
        <w:instrText xml:space="preserve">TC </w:instrText>
      </w:r>
      <w:bookmarkStart w:id="7" w:name="_Toc34858795"/>
      <w:r>
        <w:rPr>
          <w:rFonts w:hint="eastAsia" w:ascii="方正仿宋_GBK" w:eastAsia="方正仿宋_GBK"/>
          <w:b/>
          <w:sz w:val="28"/>
        </w:rPr>
        <w:instrText xml:space="preserve">4、提前下达2020年省级基层公检法司转移支付资金绩效目标表</w:instrText>
      </w:r>
      <w:bookmarkEnd w:id="7"/>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1041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270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161002</w:t>
            </w:r>
            <w:r>
              <w:rPr>
                <w:rFonts w:hint="eastAsia" w:ascii="方正书宋_GBK" w:eastAsia="方正书宋_GBK"/>
                <w:b/>
              </w:rPr>
              <w:t>无极县人民法院</w:t>
            </w:r>
          </w:p>
        </w:tc>
        <w:tc>
          <w:tcPr>
            <w:tcW w:w="2706"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161-0101-JSN-7512</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5286" w:type="dxa"/>
            <w:gridSpan w:val="3"/>
            <w:vAlign w:val="center"/>
          </w:tcPr>
          <w:p>
            <w:pPr>
              <w:spacing w:line="300" w:lineRule="exact"/>
              <w:jc w:val="left"/>
              <w:rPr>
                <w:rFonts w:ascii="方正书宋_GBK" w:eastAsia="方正书宋_GBK"/>
              </w:rPr>
            </w:pPr>
            <w:r>
              <w:rPr>
                <w:rFonts w:hint="eastAsia" w:ascii="方正书宋_GBK" w:eastAsia="方正书宋_GBK"/>
              </w:rPr>
              <w:t>提前下达</w:t>
            </w:r>
            <w:r>
              <w:rPr>
                <w:rFonts w:ascii="方正书宋_GBK" w:eastAsia="方正书宋_GBK"/>
              </w:rPr>
              <w:t>2020</w:t>
            </w:r>
            <w:r>
              <w:rPr>
                <w:rFonts w:hint="eastAsia" w:ascii="方正书宋_GBK" w:eastAsia="方正书宋_GBK"/>
              </w:rPr>
              <w:t>年省级基层公检法司转移支付资金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22.20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22.20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2706"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9283" w:type="dxa"/>
            <w:gridSpan w:val="6"/>
            <w:vAlign w:val="center"/>
          </w:tcPr>
          <w:p>
            <w:pPr>
              <w:spacing w:line="300" w:lineRule="exact"/>
              <w:jc w:val="left"/>
              <w:rPr>
                <w:rFonts w:ascii="方正书宋_GBK" w:eastAsia="方正书宋_GBK"/>
              </w:rPr>
            </w:pPr>
            <w:r>
              <w:rPr>
                <w:rFonts w:hint="eastAsia" w:ascii="方正书宋_GBK" w:eastAsia="方正书宋_GBK"/>
              </w:rPr>
              <w:t>用于法院的智慧法院建设所需要的各种装备购置支出，包括防火墙建设等。从而提升法院信息化水平，充分利用审判大数据，提高审判质量和效率。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3982"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75.00</w:t>
            </w:r>
          </w:p>
        </w:tc>
        <w:tc>
          <w:tcPr>
            <w:tcW w:w="3982"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9283"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、提高办案效率</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、增强执法能力</w:t>
            </w:r>
          </w:p>
        </w:tc>
      </w:tr>
    </w:tbl>
    <w:p>
      <w:pPr>
        <w:spacing w:line="14" w:lineRule="exact"/>
        <w:ind w:firstLine="420" w:firstLineChars="200"/>
        <w:jc w:val="center"/>
        <w:rPr>
          <w:rFonts w:ascii="Times New Roman" w:hAnsi="宋体"/>
        </w:rPr>
      </w:pPr>
    </w:p>
    <w:tbl>
      <w:tblPr>
        <w:tblStyle w:val="7"/>
        <w:tblW w:w="104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274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747"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审限结案率</w:t>
            </w:r>
          </w:p>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法定审限内结案数占结案数的比例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96</w:t>
            </w:r>
          </w:p>
        </w:tc>
        <w:tc>
          <w:tcPr>
            <w:tcW w:w="2747" w:type="dxa"/>
            <w:vAlign w:val="center"/>
          </w:tcPr>
          <w:p>
            <w:pPr>
              <w:spacing w:line="300" w:lineRule="exact"/>
              <w:jc w:val="left"/>
              <w:rPr>
                <w:rFonts w:ascii="方正书宋_GBK" w:eastAsia="方正书宋_GBK"/>
              </w:rPr>
            </w:pPr>
            <w:r>
              <w:rPr>
                <w:rFonts w:hint="eastAsia" w:ascii="方正书宋_GBK" w:eastAsia="方正书宋_GBK"/>
              </w:rP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案件结案率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案件判决数占审判案件总数的比例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2747" w:type="dxa"/>
            <w:vAlign w:val="center"/>
          </w:tcPr>
          <w:p>
            <w:pPr>
              <w:spacing w:line="300" w:lineRule="exact"/>
              <w:jc w:val="left"/>
              <w:rPr>
                <w:rFonts w:ascii="方正书宋_GBK" w:eastAsia="方正书宋_GBK"/>
              </w:rPr>
            </w:pPr>
            <w:r>
              <w:rPr>
                <w:rFonts w:hint="eastAsia" w:ascii="方正书宋_GBK" w:eastAsia="方正书宋_GBK"/>
              </w:rP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执行案件结案率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实际执行案件结案数占应由本院执行的案件数的比例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2747" w:type="dxa"/>
            <w:vAlign w:val="center"/>
          </w:tcPr>
          <w:p>
            <w:pPr>
              <w:spacing w:line="300" w:lineRule="exact"/>
              <w:jc w:val="left"/>
              <w:rPr>
                <w:rFonts w:ascii="方正书宋_GBK" w:eastAsia="方正书宋_GBK"/>
              </w:rPr>
            </w:pPr>
            <w:r>
              <w:rPr>
                <w:rFonts w:hint="eastAsia" w:ascii="方正书宋_GBK" w:eastAsia="方正书宋_GBK"/>
              </w:rP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一审上诉率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一审案件上诉数占一审案件总数的比率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w:t>
            </w:r>
          </w:p>
        </w:tc>
        <w:tc>
          <w:tcPr>
            <w:tcW w:w="2747" w:type="dxa"/>
            <w:vAlign w:val="center"/>
          </w:tcPr>
          <w:p>
            <w:pPr>
              <w:spacing w:line="300" w:lineRule="exact"/>
              <w:jc w:val="left"/>
              <w:rPr>
                <w:rFonts w:ascii="方正书宋_GBK" w:eastAsia="方正书宋_GBK"/>
              </w:rPr>
            </w:pPr>
            <w:r>
              <w:rPr>
                <w:rFonts w:hint="eastAsia" w:ascii="方正书宋_GBK" w:eastAsia="方正书宋_GBK"/>
              </w:rP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案件流程合规率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纳入审判管理流程案件与全部案件的比率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2747" w:type="dxa"/>
            <w:vAlign w:val="center"/>
          </w:tcPr>
          <w:p>
            <w:pPr>
              <w:spacing w:line="300" w:lineRule="exact"/>
              <w:jc w:val="left"/>
              <w:rPr>
                <w:rFonts w:ascii="方正书宋_GBK" w:eastAsia="方正书宋_GBK"/>
              </w:rPr>
            </w:pPr>
            <w:r>
              <w:rPr>
                <w:rFonts w:hint="eastAsia" w:ascii="方正书宋_GBK" w:eastAsia="方正书宋_GBK"/>
              </w:rP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群众对法院办案的整体满意度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2747" w:type="dxa"/>
            <w:vAlign w:val="center"/>
          </w:tcPr>
          <w:p>
            <w:pPr>
              <w:spacing w:line="300" w:lineRule="exact"/>
              <w:jc w:val="left"/>
              <w:rPr>
                <w:rFonts w:ascii="方正书宋_GBK" w:eastAsia="方正书宋_GBK"/>
              </w:rPr>
            </w:pPr>
            <w:r>
              <w:rPr>
                <w:rFonts w:hint="eastAsia" w:ascii="方正书宋_GBK" w:eastAsia="方正书宋_GBK"/>
              </w:rP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改判发回重审率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被改判发回重审案件数占案件总数的比率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15</w:t>
            </w:r>
          </w:p>
        </w:tc>
        <w:tc>
          <w:tcPr>
            <w:tcW w:w="2747" w:type="dxa"/>
            <w:vAlign w:val="center"/>
          </w:tcPr>
          <w:p>
            <w:pPr>
              <w:spacing w:line="300" w:lineRule="exact"/>
              <w:jc w:val="left"/>
              <w:rPr>
                <w:rFonts w:ascii="方正书宋_GBK" w:eastAsia="方正书宋_GBK"/>
              </w:rPr>
            </w:pPr>
            <w:r>
              <w:rPr>
                <w:rFonts w:hint="eastAsia" w:ascii="方正书宋_GBK" w:eastAsia="方正书宋_GBK"/>
              </w:rPr>
              <w:t>去年标准</w:t>
            </w:r>
          </w:p>
        </w:tc>
      </w:tr>
    </w:tbl>
    <w:p>
      <w:pPr>
        <w:spacing w:line="300" w:lineRule="exact"/>
        <w:ind w:firstLine="420" w:firstLineChars="200"/>
        <w:jc w:val="left"/>
        <w:sectPr>
          <w:pgSz w:w="16839" w:h="11907" w:orient="landscape"/>
          <w:pgMar w:top="1304" w:right="1984" w:bottom="1304" w:left="1134" w:header="851" w:footer="992" w:gutter="0"/>
          <w:cols w:space="425" w:num="1"/>
          <w:docGrid w:type="lines" w:linePitch="312" w:charSpace="0"/>
        </w:sectPr>
      </w:pPr>
    </w:p>
    <w:p>
      <w:pPr>
        <w:ind w:firstLine="562" w:firstLineChars="200"/>
        <w:jc w:val="left"/>
        <w:outlineLvl w:val="1"/>
        <w:rPr>
          <w:rFonts w:ascii="Times New Roman" w:hAnsi="宋体"/>
          <w:b/>
          <w:sz w:val="28"/>
        </w:rPr>
      </w:pPr>
      <w:r>
        <w:rPr>
          <w:rFonts w:hint="eastAsia" w:ascii="方正仿宋_GBK" w:eastAsia="方正仿宋_GBK"/>
          <w:b/>
          <w:sz w:val="28"/>
        </w:rPr>
        <w:t>5、提前下达2020年中央政法纪检监察转移支付资金绩效目标表</w:t>
      </w:r>
      <w:r>
        <w:fldChar w:fldCharType="begin"/>
      </w:r>
      <w:r>
        <w:rPr>
          <w:rFonts w:hint="eastAsia" w:ascii="方正仿宋_GBK" w:eastAsia="方正仿宋_GBK"/>
          <w:b/>
          <w:sz w:val="28"/>
        </w:rPr>
        <w:instrText xml:space="preserve">TC </w:instrText>
      </w:r>
      <w:bookmarkStart w:id="8" w:name="_Toc34858796"/>
      <w:r>
        <w:rPr>
          <w:rFonts w:hint="eastAsia" w:ascii="方正仿宋_GBK" w:eastAsia="方正仿宋_GBK"/>
          <w:b/>
          <w:sz w:val="28"/>
        </w:rPr>
        <w:instrText xml:space="preserve">5、提前下达2020年中央政法纪检监察转移支付资金绩效目标表</w:instrText>
      </w:r>
      <w:bookmarkEnd w:id="8"/>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161002</w:t>
            </w:r>
            <w:r>
              <w:rPr>
                <w:rFonts w:hint="eastAsia" w:ascii="方正书宋_GBK" w:eastAsia="方正书宋_GBK"/>
                <w:b/>
              </w:rPr>
              <w:t>无极县人民法院</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161-0101-JZN-8UXZ</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提前下达</w:t>
            </w:r>
            <w:r>
              <w:rPr>
                <w:rFonts w:ascii="方正书宋_GBK" w:eastAsia="方正书宋_GBK"/>
              </w:rPr>
              <w:t>2020</w:t>
            </w:r>
            <w:r>
              <w:rPr>
                <w:rFonts w:hint="eastAsia" w:ascii="方正书宋_GBK" w:eastAsia="方正书宋_GBK"/>
              </w:rPr>
              <w:t>年中央政法纪检监察转移支付资金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109.20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109.20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用于各种办案经费包括差旅费、陪审费等，从而提高办案效率，更好地惩治犯罪分子，解决社会与矛盾和纠纷，维护公平正义。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、提高办案效率</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、增强群众对于法院办案的满意度</w:t>
            </w:r>
          </w:p>
        </w:tc>
      </w:tr>
    </w:tbl>
    <w:p>
      <w:pPr>
        <w:spacing w:line="14" w:lineRule="exact"/>
        <w:ind w:firstLine="420" w:firstLineChars="200"/>
        <w:jc w:val="center"/>
        <w:rPr>
          <w:rFonts w:ascii="Times New Roman"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审限结案率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法定审限内结案数占结案数的比例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案件结案率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案件判决数占审判案件总数的比例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案件信息合格率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正确案件信息数占全部案件信息数的比例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审判流程公开率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审判流程公开案件占全部案件的比例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执行公开率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执行案件公开数占执结案件数的比例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审判流程合规率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纳入审判管理流程案件占全部案件的比例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去年标准</w:t>
            </w:r>
          </w:p>
        </w:tc>
      </w:tr>
    </w:tbl>
    <w:p>
      <w:pPr>
        <w:spacing w:line="300" w:lineRule="exact"/>
        <w:ind w:firstLine="420" w:firstLineChars="200"/>
        <w:jc w:val="left"/>
        <w:sectPr>
          <w:pgSz w:w="16839" w:h="11907" w:orient="landscape"/>
          <w:pgMar w:top="1304" w:right="1984" w:bottom="1304" w:left="1134" w:header="851" w:footer="992" w:gutter="0"/>
          <w:cols w:space="425" w:num="1"/>
          <w:docGrid w:type="lines" w:linePitch="312" w:charSpace="0"/>
        </w:sectPr>
      </w:pPr>
    </w:p>
    <w:p>
      <w:pPr>
        <w:ind w:firstLine="562" w:firstLineChars="200"/>
        <w:jc w:val="left"/>
        <w:outlineLvl w:val="1"/>
        <w:rPr>
          <w:rFonts w:ascii="Times New Roman" w:hAnsi="宋体"/>
          <w:b/>
          <w:sz w:val="28"/>
        </w:rPr>
      </w:pPr>
      <w:r>
        <w:rPr>
          <w:rFonts w:hint="eastAsia" w:ascii="方正仿宋_GBK" w:eastAsia="方正仿宋_GBK"/>
          <w:b/>
          <w:sz w:val="28"/>
        </w:rPr>
        <w:t>6、提前下达2020年中央政法纪检监察转移支付资金-法院绩效目标表</w:t>
      </w:r>
      <w:r>
        <w:fldChar w:fldCharType="begin"/>
      </w:r>
      <w:r>
        <w:rPr>
          <w:rFonts w:hint="eastAsia" w:ascii="方正仿宋_GBK" w:eastAsia="方正仿宋_GBK"/>
          <w:b/>
          <w:sz w:val="28"/>
        </w:rPr>
        <w:instrText xml:space="preserve">TC </w:instrText>
      </w:r>
      <w:bookmarkStart w:id="9" w:name="_Toc34858797"/>
      <w:r>
        <w:rPr>
          <w:rFonts w:hint="eastAsia" w:ascii="方正仿宋_GBK" w:eastAsia="方正仿宋_GBK"/>
          <w:b/>
          <w:sz w:val="28"/>
        </w:rPr>
        <w:instrText xml:space="preserve">6、提前下达2020年中央政法纪检监察转移支付资金-法院绩效目标表</w:instrText>
      </w:r>
      <w:bookmarkEnd w:id="9"/>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1052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281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161002</w:t>
            </w:r>
            <w:r>
              <w:rPr>
                <w:rFonts w:hint="eastAsia" w:ascii="方正书宋_GBK" w:eastAsia="方正书宋_GBK"/>
                <w:b/>
              </w:rPr>
              <w:t>无极县人民法院</w:t>
            </w:r>
          </w:p>
        </w:tc>
        <w:tc>
          <w:tcPr>
            <w:tcW w:w="281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161-0101-JZN-0BHL</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5391" w:type="dxa"/>
            <w:gridSpan w:val="3"/>
            <w:vAlign w:val="center"/>
          </w:tcPr>
          <w:p>
            <w:pPr>
              <w:spacing w:line="300" w:lineRule="exact"/>
              <w:jc w:val="left"/>
              <w:rPr>
                <w:rFonts w:ascii="方正书宋_GBK" w:eastAsia="方正书宋_GBK"/>
              </w:rPr>
            </w:pPr>
            <w:r>
              <w:rPr>
                <w:rFonts w:hint="eastAsia" w:ascii="方正书宋_GBK" w:eastAsia="方正书宋_GBK"/>
              </w:rPr>
              <w:t>提前下达</w:t>
            </w:r>
            <w:r>
              <w:rPr>
                <w:rFonts w:ascii="方正书宋_GBK" w:eastAsia="方正书宋_GBK"/>
              </w:rPr>
              <w:t>2020</w:t>
            </w:r>
            <w:r>
              <w:rPr>
                <w:rFonts w:hint="eastAsia" w:ascii="方正书宋_GBK" w:eastAsia="方正书宋_GBK"/>
              </w:rPr>
              <w:t>年中央政法纪检监察转移支付资金</w:t>
            </w:r>
            <w:r>
              <w:rPr>
                <w:rFonts w:ascii="方正书宋_GBK" w:eastAsia="方正书宋_GBK"/>
              </w:rPr>
              <w:t>-</w:t>
            </w:r>
            <w:r>
              <w:rPr>
                <w:rFonts w:hint="eastAsia" w:ascii="方正书宋_GBK" w:eastAsia="方正书宋_GBK"/>
              </w:rPr>
              <w:t>法院</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47.80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47.80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281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9388" w:type="dxa"/>
            <w:gridSpan w:val="6"/>
            <w:vAlign w:val="center"/>
          </w:tcPr>
          <w:p>
            <w:pPr>
              <w:spacing w:line="300" w:lineRule="exact"/>
              <w:jc w:val="left"/>
              <w:rPr>
                <w:rFonts w:ascii="方正书宋_GBK" w:eastAsia="方正书宋_GBK"/>
              </w:rPr>
            </w:pPr>
            <w:r>
              <w:rPr>
                <w:rFonts w:hint="eastAsia" w:ascii="方正书宋_GBK" w:eastAsia="方正书宋_GBK"/>
              </w:rPr>
              <w:t>用于法院各种办案装备的购置，提升信息化水平，充分利用审判大数据，提高审判质量和效率，探索司法公开新途径。从而实现审判能力现代化。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408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75.00</w:t>
            </w:r>
          </w:p>
        </w:tc>
        <w:tc>
          <w:tcPr>
            <w:tcW w:w="408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938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、提高办案效率</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、维护法院信息安全</w:t>
            </w:r>
          </w:p>
        </w:tc>
      </w:tr>
    </w:tbl>
    <w:p>
      <w:pPr>
        <w:spacing w:line="14" w:lineRule="exact"/>
        <w:ind w:firstLine="420" w:firstLineChars="200"/>
        <w:jc w:val="center"/>
        <w:rPr>
          <w:rFonts w:ascii="Times New Roman" w:hAnsi="宋体"/>
        </w:rPr>
      </w:pPr>
    </w:p>
    <w:tbl>
      <w:tblPr>
        <w:tblStyle w:val="7"/>
        <w:tblW w:w="1003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23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324"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审限结案率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法定审限内结案数占结案数的比例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96</w:t>
            </w:r>
          </w:p>
        </w:tc>
        <w:tc>
          <w:tcPr>
            <w:tcW w:w="2324" w:type="dxa"/>
            <w:vAlign w:val="center"/>
          </w:tcPr>
          <w:p>
            <w:pPr>
              <w:spacing w:line="300" w:lineRule="exact"/>
              <w:jc w:val="left"/>
              <w:rPr>
                <w:rFonts w:ascii="方正书宋_GBK" w:eastAsia="方正书宋_GBK"/>
              </w:rPr>
            </w:pPr>
            <w:r>
              <w:rPr>
                <w:rFonts w:hint="eastAsia" w:ascii="方正书宋_GBK" w:eastAsia="方正书宋_GBK"/>
              </w:rP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案件结案率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案件判决数占审判案件总数的比例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2324" w:type="dxa"/>
            <w:vAlign w:val="center"/>
          </w:tcPr>
          <w:p>
            <w:pPr>
              <w:spacing w:line="300" w:lineRule="exact"/>
              <w:jc w:val="left"/>
              <w:rPr>
                <w:rFonts w:ascii="方正书宋_GBK" w:eastAsia="方正书宋_GBK"/>
              </w:rPr>
            </w:pPr>
            <w:r>
              <w:rPr>
                <w:rFonts w:hint="eastAsia" w:ascii="方正书宋_GBK" w:eastAsia="方正书宋_GBK"/>
              </w:rP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案件信息合格率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正确案件信息数占全部案件信息数的比例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2324" w:type="dxa"/>
            <w:vAlign w:val="center"/>
          </w:tcPr>
          <w:p>
            <w:pPr>
              <w:spacing w:line="300" w:lineRule="exact"/>
              <w:jc w:val="left"/>
              <w:rPr>
                <w:rFonts w:ascii="方正书宋_GBK" w:eastAsia="方正书宋_GBK"/>
              </w:rPr>
            </w:pPr>
            <w:r>
              <w:rPr>
                <w:rFonts w:hint="eastAsia" w:ascii="方正书宋_GBK" w:eastAsia="方正书宋_GBK"/>
              </w:rP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审判流程公开率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审判流程公开案件占全部案件的比例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2324" w:type="dxa"/>
            <w:vAlign w:val="center"/>
          </w:tcPr>
          <w:p>
            <w:pPr>
              <w:spacing w:line="300" w:lineRule="exact"/>
              <w:jc w:val="left"/>
              <w:rPr>
                <w:rFonts w:ascii="方正书宋_GBK" w:eastAsia="方正书宋_GBK"/>
              </w:rPr>
            </w:pPr>
            <w:r>
              <w:rPr>
                <w:rFonts w:hint="eastAsia" w:ascii="方正书宋_GBK" w:eastAsia="方正书宋_GBK"/>
              </w:rP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执行公开率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执行案件公开数占执结案件数的比例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2324" w:type="dxa"/>
            <w:vAlign w:val="center"/>
          </w:tcPr>
          <w:p>
            <w:pPr>
              <w:spacing w:line="300" w:lineRule="exact"/>
              <w:jc w:val="left"/>
              <w:rPr>
                <w:rFonts w:ascii="方正书宋_GBK" w:eastAsia="方正书宋_GBK"/>
              </w:rPr>
            </w:pPr>
            <w:r>
              <w:rPr>
                <w:rFonts w:hint="eastAsia" w:ascii="方正书宋_GBK" w:eastAsia="方正书宋_GBK"/>
              </w:rP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审判流程合规率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纳入审判管理流程案件占全部案件的比例</w:t>
            </w:r>
          </w:p>
        </w:tc>
        <w:tc>
          <w:tcPr>
            <w:tcW w:w="1276" w:type="dxa"/>
            <w:vAlign w:val="center"/>
          </w:tcPr>
          <w:p>
            <w:pPr>
              <w:spacing w:line="300" w:lineRule="exact"/>
              <w:jc w:val="left"/>
              <w:rPr>
                <w:rFonts w:hint="eastAsia" w:ascii="方正书宋_GBK" w:eastAsia="方正书宋_GBK"/>
                <w:lang w:eastAsia="zh-CN"/>
              </w:rPr>
            </w:pPr>
            <w:r>
              <w:rPr>
                <w:rFonts w:hint="eastAsia" w:ascii="方正书宋_GBK" w:eastAsia="方正书宋_GBK"/>
              </w:rPr>
              <w:t>≥</w:t>
            </w:r>
            <w:r>
              <w:rPr>
                <w:rFonts w:ascii="方正书宋_GBK" w:eastAsia="方正书宋_GBK"/>
              </w:rPr>
              <w:t>9</w:t>
            </w:r>
            <w:r>
              <w:rPr>
                <w:rFonts w:hint="eastAsia" w:ascii="方正书宋_GBK" w:eastAsia="方正书宋_GBK"/>
                <w:lang w:val="en-US" w:eastAsia="zh-CN"/>
              </w:rPr>
              <w:t>5</w:t>
            </w:r>
          </w:p>
        </w:tc>
        <w:tc>
          <w:tcPr>
            <w:tcW w:w="2324" w:type="dxa"/>
            <w:vAlign w:val="center"/>
          </w:tcPr>
          <w:p>
            <w:pPr>
              <w:spacing w:line="300" w:lineRule="exact"/>
              <w:jc w:val="left"/>
              <w:rPr>
                <w:rFonts w:ascii="方正书宋_GBK" w:eastAsia="方正书宋_GBK"/>
              </w:rPr>
            </w:pPr>
            <w:r>
              <w:rPr>
                <w:rFonts w:hint="eastAsia" w:ascii="方正书宋_GBK" w:eastAsia="方正书宋_GBK"/>
              </w:rPr>
              <w:t>去年标准</w:t>
            </w:r>
          </w:p>
        </w:tc>
      </w:tr>
      <w:bookmarkEnd w:id="0"/>
    </w:tbl>
    <w:p>
      <w:pPr>
        <w:jc w:val="left"/>
        <w:outlineLvl w:val="1"/>
        <w:rPr>
          <w:rFonts w:ascii="方正仿宋_GBK" w:eastAsia="方正仿宋_GBK" w:cs="方正仿宋_GBK"/>
          <w:b/>
          <w:bCs/>
          <w:sz w:val="28"/>
          <w:szCs w:val="28"/>
        </w:rPr>
      </w:pPr>
    </w:p>
    <w:p>
      <w:pPr>
        <w:autoSpaceDE w:val="0"/>
        <w:autoSpaceDN w:val="0"/>
        <w:adjustRightInd w:val="0"/>
        <w:jc w:val="left"/>
        <w:rPr>
          <w:rFonts w:ascii="黑体" w:hAnsi="黑体" w:eastAsia="黑体" w:cs="Times New Roman"/>
          <w:sz w:val="32"/>
          <w:szCs w:val="32"/>
        </w:rPr>
      </w:pPr>
      <w:r>
        <w:rPr>
          <w:rFonts w:hint="eastAsia" w:ascii="黑体" w:hAnsi="黑体" w:eastAsia="黑体" w:cs="黑体"/>
          <w:sz w:val="32"/>
          <w:szCs w:val="32"/>
        </w:rPr>
        <w:t>六、政府采购预算情况</w:t>
      </w:r>
    </w:p>
    <w:p>
      <w:pPr>
        <w:autoSpaceDE w:val="0"/>
        <w:autoSpaceDN w:val="0"/>
        <w:adjustRightInd w:val="0"/>
        <w:jc w:val="left"/>
        <w:rPr>
          <w:rFonts w:hint="eastAsia" w:ascii="Times New Roman" w:hAnsi="Times New Roman" w:eastAsia="仿宋" w:cs="仿宋"/>
          <w:sz w:val="32"/>
          <w:szCs w:val="32"/>
        </w:rPr>
      </w:pPr>
      <w:bookmarkStart w:id="10" w:name="_Toc471398468"/>
      <w:r>
        <w:rPr>
          <w:rFonts w:ascii="Times New Roman" w:hAnsi="Times New Roman" w:eastAsia="仿宋" w:cs="Times New Roman"/>
          <w:sz w:val="32"/>
          <w:szCs w:val="32"/>
        </w:rPr>
        <w:t>2020</w:t>
      </w:r>
      <w:r>
        <w:rPr>
          <w:rFonts w:hint="eastAsia" w:ascii="Times New Roman" w:hAnsi="Times New Roman" w:eastAsia="仿宋" w:cs="仿宋"/>
          <w:sz w:val="32"/>
          <w:szCs w:val="32"/>
        </w:rPr>
        <w:t>年，我部门安排政府采购预算</w:t>
      </w:r>
      <w:r>
        <w:rPr>
          <w:rFonts w:hint="eastAsia" w:ascii="Times New Roman" w:hAnsi="Times New Roman" w:eastAsia="仿宋" w:cs="Times New Roman"/>
          <w:sz w:val="32"/>
          <w:szCs w:val="32"/>
        </w:rPr>
        <w:t>0</w:t>
      </w:r>
      <w:r>
        <w:rPr>
          <w:rFonts w:hint="eastAsia" w:ascii="Times New Roman" w:hAnsi="Times New Roman" w:eastAsia="仿宋" w:cs="仿宋"/>
          <w:sz w:val="32"/>
          <w:szCs w:val="32"/>
        </w:rPr>
        <w:t>万元。</w:t>
      </w:r>
      <w:bookmarkEnd w:id="10"/>
    </w:p>
    <w:p>
      <w:pPr>
        <w:jc w:val="center"/>
        <w:rPr>
          <w:rFonts w:hint="eastAsia" w:ascii="Times New Roman" w:hAnsi="宋体"/>
          <w:sz w:val="36"/>
        </w:rPr>
      </w:pPr>
      <w:r>
        <w:rPr>
          <w:rFonts w:hint="eastAsia" w:ascii="方正小标宋_GBK" w:eastAsia="方正小标宋_GBK"/>
          <w:sz w:val="36"/>
        </w:rPr>
        <w:t>单位政府采购预算</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4"/>
        <w:gridCol w:w="1134"/>
        <w:gridCol w:w="1531"/>
        <w:gridCol w:w="1531"/>
        <w:gridCol w:w="709"/>
        <w:gridCol w:w="907"/>
        <w:gridCol w:w="907"/>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703" w:type="dxa"/>
            <w:gridSpan w:val="7"/>
            <w:tcBorders>
              <w:top w:val="single" w:color="FFFFFF" w:sz="6" w:space="0"/>
              <w:left w:val="single" w:color="FFFFFF" w:sz="6" w:space="0"/>
              <w:right w:val="single" w:color="FFFFFF" w:sz="6" w:space="0"/>
            </w:tcBorders>
            <w:noWrap w:val="0"/>
            <w:vAlign w:val="center"/>
          </w:tcPr>
          <w:p>
            <w:pPr>
              <w:spacing w:line="300" w:lineRule="exact"/>
              <w:jc w:val="left"/>
              <w:rPr>
                <w:rFonts w:hint="eastAsia" w:ascii="方正小标宋_GBK" w:eastAsia="方正小标宋_GBK"/>
                <w:sz w:val="24"/>
                <w:lang w:eastAsia="zh-CN"/>
              </w:rPr>
            </w:pPr>
            <w:r>
              <w:rPr>
                <w:rFonts w:ascii="方正小标宋_GBK" w:eastAsia="方正小标宋_GBK"/>
                <w:sz w:val="24"/>
              </w:rPr>
              <w:t>161</w:t>
            </w:r>
            <w:r>
              <w:rPr>
                <w:rFonts w:hint="eastAsia" w:ascii="方正小标宋_GBK" w:eastAsia="方正小标宋_GBK"/>
                <w:sz w:val="24"/>
                <w:lang w:val="en-US" w:eastAsia="zh-CN"/>
              </w:rPr>
              <w:t xml:space="preserve"> 法院</w:t>
            </w:r>
          </w:p>
        </w:tc>
        <w:tc>
          <w:tcPr>
            <w:tcW w:w="6804" w:type="dxa"/>
            <w:gridSpan w:val="6"/>
            <w:tcBorders>
              <w:top w:val="single" w:color="FFFFFF" w:sz="6" w:space="0"/>
              <w:left w:val="single" w:color="FFFFFF" w:sz="6" w:space="0"/>
              <w:right w:val="single" w:color="FFFFFF" w:sz="6" w:space="0"/>
            </w:tcBorders>
            <w:noWrap w:val="0"/>
            <w:vAlign w:val="center"/>
          </w:tcPr>
          <w:p>
            <w:pPr>
              <w:spacing w:line="300" w:lineRule="exact"/>
              <w:jc w:val="right"/>
              <w:rPr>
                <w:rFonts w:ascii="方正小标宋_GBK" w:eastAsia="方正小标宋_GBK"/>
                <w:sz w:val="24"/>
              </w:rPr>
            </w:pPr>
            <w:r>
              <w:rPr>
                <w:rFonts w:hint="eastAsia" w:ascii="方正小标宋_GBK" w:eastAsia="方正小标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3118" w:type="dxa"/>
            <w:gridSpan w:val="2"/>
            <w:noWrap w:val="0"/>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531"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531"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计量</w:t>
            </w:r>
            <w:r>
              <w:rPr>
                <w:rFonts w:ascii="方正书宋_GBK" w:eastAsia="方正书宋_GBK"/>
                <w:b/>
              </w:rPr>
              <w:t xml:space="preserve">  </w:t>
            </w:r>
            <w:r>
              <w:rPr>
                <w:rFonts w:hint="eastAsia" w:ascii="方正书宋_GBK" w:eastAsia="方正书宋_GBK"/>
                <w:b/>
              </w:rPr>
              <w:t>单位</w:t>
            </w:r>
          </w:p>
        </w:tc>
        <w:tc>
          <w:tcPr>
            <w:tcW w:w="907"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07"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6804" w:type="dxa"/>
            <w:gridSpan w:val="6"/>
            <w:noWrap w:val="0"/>
            <w:vAlign w:val="center"/>
          </w:tcPr>
          <w:p>
            <w:pPr>
              <w:spacing w:line="300" w:lineRule="exact"/>
              <w:jc w:val="center"/>
              <w:rPr>
                <w:rFonts w:ascii="方正书宋_GBK" w:eastAsia="方正书宋_GBK"/>
                <w:b/>
              </w:rPr>
            </w:pPr>
            <w:r>
              <w:rPr>
                <w:rFonts w:hint="eastAsia" w:ascii="方正书宋_GBK" w:eastAsia="方正书宋_GBK"/>
                <w:b/>
              </w:rPr>
              <w:t>政府采购金额（当年单位预算安排资金）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1984" w:type="dxa"/>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531" w:type="dxa"/>
            <w:vMerge w:val="continue"/>
            <w:noWrap w:val="0"/>
            <w:vAlign w:val="center"/>
          </w:tcPr>
          <w:p>
            <w:pPr>
              <w:spacing w:line="300" w:lineRule="exact"/>
              <w:jc w:val="left"/>
            </w:pPr>
          </w:p>
        </w:tc>
        <w:tc>
          <w:tcPr>
            <w:tcW w:w="1531" w:type="dxa"/>
            <w:vMerge w:val="continue"/>
            <w:noWrap w:val="0"/>
            <w:vAlign w:val="center"/>
          </w:tcPr>
          <w:p>
            <w:pPr>
              <w:spacing w:line="300" w:lineRule="exact"/>
              <w:jc w:val="left"/>
            </w:pPr>
          </w:p>
        </w:tc>
        <w:tc>
          <w:tcPr>
            <w:tcW w:w="709" w:type="dxa"/>
            <w:vMerge w:val="continue"/>
            <w:noWrap w:val="0"/>
            <w:vAlign w:val="center"/>
          </w:tcPr>
          <w:p>
            <w:pPr>
              <w:spacing w:line="300" w:lineRule="exact"/>
              <w:jc w:val="left"/>
            </w:pPr>
          </w:p>
        </w:tc>
        <w:tc>
          <w:tcPr>
            <w:tcW w:w="907" w:type="dxa"/>
            <w:vMerge w:val="continue"/>
            <w:noWrap w:val="0"/>
            <w:vAlign w:val="center"/>
          </w:tcPr>
          <w:p>
            <w:pPr>
              <w:spacing w:line="300" w:lineRule="exact"/>
              <w:jc w:val="left"/>
            </w:pPr>
          </w:p>
        </w:tc>
        <w:tc>
          <w:tcPr>
            <w:tcW w:w="907" w:type="dxa"/>
            <w:vMerge w:val="continue"/>
            <w:noWrap w:val="0"/>
            <w:vAlign w:val="center"/>
          </w:tcPr>
          <w:p>
            <w:pPr>
              <w:spacing w:line="300" w:lineRule="exact"/>
              <w:jc w:val="left"/>
            </w:pP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单位资金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984" w:type="dxa"/>
            <w:noWrap w:val="0"/>
            <w:vAlign w:val="center"/>
          </w:tcPr>
          <w:p>
            <w:pPr>
              <w:spacing w:line="300" w:lineRule="exact"/>
              <w:jc w:val="center"/>
              <w:rPr>
                <w:rFonts w:ascii="方正书宋_GBK" w:eastAsia="方正书宋_GBK"/>
                <w:b/>
              </w:rPr>
            </w:pPr>
          </w:p>
        </w:tc>
        <w:tc>
          <w:tcPr>
            <w:tcW w:w="1134" w:type="dxa"/>
            <w:noWrap w:val="0"/>
            <w:vAlign w:val="center"/>
          </w:tcPr>
          <w:p>
            <w:pPr>
              <w:spacing w:line="300" w:lineRule="exact"/>
              <w:jc w:val="right"/>
              <w:rPr>
                <w:rFonts w:ascii="方正书宋_GBK" w:eastAsia="方正书宋_GBK"/>
                <w:b/>
              </w:rPr>
            </w:pPr>
          </w:p>
        </w:tc>
        <w:tc>
          <w:tcPr>
            <w:tcW w:w="1531" w:type="dxa"/>
            <w:noWrap w:val="0"/>
            <w:vAlign w:val="center"/>
          </w:tcPr>
          <w:p>
            <w:pPr>
              <w:spacing w:line="300" w:lineRule="exact"/>
              <w:jc w:val="left"/>
              <w:rPr>
                <w:rFonts w:ascii="方正书宋_GBK" w:eastAsia="方正书宋_GBK"/>
                <w:b/>
              </w:rPr>
            </w:pPr>
          </w:p>
        </w:tc>
        <w:tc>
          <w:tcPr>
            <w:tcW w:w="1531" w:type="dxa"/>
            <w:noWrap w:val="0"/>
            <w:vAlign w:val="center"/>
          </w:tcPr>
          <w:p>
            <w:pPr>
              <w:spacing w:line="300" w:lineRule="exact"/>
              <w:jc w:val="left"/>
              <w:rPr>
                <w:rFonts w:ascii="方正书宋_GBK" w:eastAsia="方正书宋_GBK"/>
                <w:b/>
              </w:rPr>
            </w:pPr>
          </w:p>
        </w:tc>
        <w:tc>
          <w:tcPr>
            <w:tcW w:w="709" w:type="dxa"/>
            <w:noWrap w:val="0"/>
            <w:vAlign w:val="center"/>
          </w:tcPr>
          <w:p>
            <w:pPr>
              <w:spacing w:line="300" w:lineRule="exact"/>
              <w:jc w:val="center"/>
              <w:rPr>
                <w:rFonts w:ascii="方正书宋_GBK" w:eastAsia="方正书宋_GBK"/>
                <w:b/>
              </w:rPr>
            </w:pPr>
          </w:p>
        </w:tc>
        <w:tc>
          <w:tcPr>
            <w:tcW w:w="907" w:type="dxa"/>
            <w:noWrap w:val="0"/>
            <w:vAlign w:val="center"/>
          </w:tcPr>
          <w:p>
            <w:pPr>
              <w:spacing w:line="300" w:lineRule="exact"/>
              <w:jc w:val="right"/>
              <w:rPr>
                <w:rFonts w:ascii="方正书宋_GBK" w:eastAsia="方正书宋_GBK"/>
                <w:b/>
              </w:rPr>
            </w:pPr>
          </w:p>
        </w:tc>
        <w:tc>
          <w:tcPr>
            <w:tcW w:w="907" w:type="dxa"/>
            <w:noWrap w:val="0"/>
            <w:vAlign w:val="center"/>
          </w:tcPr>
          <w:p>
            <w:pPr>
              <w:spacing w:line="300" w:lineRule="exact"/>
              <w:jc w:val="right"/>
              <w:rPr>
                <w:rFonts w:ascii="方正书宋_GBK" w:eastAsia="方正书宋_GBK"/>
                <w:b/>
              </w:rPr>
            </w:pPr>
          </w:p>
        </w:tc>
        <w:tc>
          <w:tcPr>
            <w:tcW w:w="1134" w:type="dxa"/>
            <w:noWrap w:val="0"/>
            <w:vAlign w:val="center"/>
          </w:tcPr>
          <w:p>
            <w:pPr>
              <w:spacing w:line="300" w:lineRule="exact"/>
              <w:jc w:val="right"/>
              <w:rPr>
                <w:rFonts w:ascii="方正书宋_GBK" w:eastAsia="方正书宋_GBK"/>
                <w:b/>
              </w:rPr>
            </w:pPr>
          </w:p>
        </w:tc>
        <w:tc>
          <w:tcPr>
            <w:tcW w:w="1134" w:type="dxa"/>
            <w:noWrap w:val="0"/>
            <w:vAlign w:val="center"/>
          </w:tcPr>
          <w:p>
            <w:pPr>
              <w:spacing w:line="300" w:lineRule="exact"/>
              <w:jc w:val="right"/>
              <w:rPr>
                <w:rFonts w:ascii="方正书宋_GBK" w:eastAsia="方正书宋_GBK"/>
                <w:b/>
              </w:rPr>
            </w:pPr>
          </w:p>
        </w:tc>
        <w:tc>
          <w:tcPr>
            <w:tcW w:w="1134" w:type="dxa"/>
            <w:noWrap w:val="0"/>
            <w:vAlign w:val="center"/>
          </w:tcPr>
          <w:p>
            <w:pPr>
              <w:spacing w:line="300" w:lineRule="exact"/>
              <w:jc w:val="right"/>
              <w:rPr>
                <w:rFonts w:ascii="方正书宋_GBK" w:eastAsia="方正书宋_GBK"/>
                <w:b/>
              </w:rPr>
            </w:pPr>
          </w:p>
        </w:tc>
        <w:tc>
          <w:tcPr>
            <w:tcW w:w="1134" w:type="dxa"/>
            <w:noWrap w:val="0"/>
            <w:vAlign w:val="center"/>
          </w:tcPr>
          <w:p>
            <w:pPr>
              <w:spacing w:line="300" w:lineRule="exact"/>
              <w:jc w:val="right"/>
              <w:rPr>
                <w:rFonts w:ascii="方正书宋_GBK" w:eastAsia="方正书宋_GBK"/>
                <w:b/>
              </w:rPr>
            </w:pPr>
          </w:p>
        </w:tc>
        <w:tc>
          <w:tcPr>
            <w:tcW w:w="1134" w:type="dxa"/>
            <w:noWrap w:val="0"/>
            <w:vAlign w:val="center"/>
          </w:tcPr>
          <w:p>
            <w:pPr>
              <w:spacing w:line="300" w:lineRule="exact"/>
              <w:jc w:val="right"/>
              <w:rPr>
                <w:rFonts w:ascii="方正书宋_GBK" w:eastAsia="方正书宋_GBK"/>
                <w:b/>
              </w:rPr>
            </w:pPr>
          </w:p>
        </w:tc>
        <w:tc>
          <w:tcPr>
            <w:tcW w:w="1134" w:type="dxa"/>
            <w:noWrap w:val="0"/>
            <w:vAlign w:val="center"/>
          </w:tcPr>
          <w:p>
            <w:pPr>
              <w:spacing w:line="300" w:lineRule="exact"/>
              <w:jc w:val="right"/>
              <w:rPr>
                <w:rFonts w:ascii="方正书宋_GBK" w:eastAsia="方正书宋_GBK"/>
                <w:b/>
              </w:rPr>
            </w:pPr>
          </w:p>
        </w:tc>
      </w:tr>
    </w:tbl>
    <w:p>
      <w:pPr>
        <w:ind w:firstLine="420" w:firstLineChars="200"/>
        <w:jc w:val="left"/>
        <w:rPr>
          <w:rFonts w:hint="eastAsia" w:ascii="Times New Roman" w:hAnsi="Times New Roman" w:eastAsia="仿宋" w:cs="仿宋"/>
          <w:sz w:val="32"/>
          <w:szCs w:val="32"/>
        </w:rPr>
      </w:pPr>
      <w:r>
        <w:rPr>
          <w:rFonts w:hint="eastAsia" w:ascii="方正书宋_GBK" w:eastAsia="方正书宋_GBK"/>
        </w:rPr>
        <w:t>注：无政府采购预算，空表列示。</w:t>
      </w:r>
    </w:p>
    <w:p>
      <w:pPr>
        <w:autoSpaceDE w:val="0"/>
        <w:autoSpaceDN w:val="0"/>
        <w:adjustRightInd w:val="0"/>
        <w:jc w:val="left"/>
        <w:rPr>
          <w:rFonts w:ascii="黑体" w:hAnsi="黑体" w:eastAsia="黑体" w:cs="Times New Roman"/>
          <w:sz w:val="32"/>
          <w:szCs w:val="32"/>
        </w:rPr>
      </w:pPr>
      <w:r>
        <w:rPr>
          <w:rFonts w:hint="eastAsia" w:ascii="黑体" w:hAnsi="黑体" w:eastAsia="黑体" w:cs="黑体"/>
          <w:sz w:val="32"/>
          <w:szCs w:val="32"/>
        </w:rPr>
        <w:t>七、国有资产信息</w:t>
      </w:r>
    </w:p>
    <w:p>
      <w:pPr>
        <w:jc w:val="left"/>
        <w:outlineLvl w:val="1"/>
        <w:rPr>
          <w:rFonts w:ascii="Times New Roman" w:hAnsi="Times New Roman" w:eastAsia="仿宋" w:cs="Times New Roman"/>
          <w:sz w:val="32"/>
          <w:szCs w:val="32"/>
        </w:rPr>
      </w:pPr>
      <w:r>
        <w:rPr>
          <w:rFonts w:hint="eastAsia" w:ascii="Times New Roman" w:hAnsi="Times New Roman" w:eastAsia="仿宋" w:cs="Times New Roman"/>
          <w:sz w:val="32"/>
          <w:szCs w:val="32"/>
        </w:rPr>
        <w:t>无极县人民法院2019年末固定资产金额为1701.9万元（详见下表），本年度各单位（处室）拟购置固定资产总额为0万元。</w:t>
      </w:r>
    </w:p>
    <w:tbl>
      <w:tblPr>
        <w:tblStyle w:val="7"/>
        <w:tblpPr w:leftFromText="180" w:rightFromText="180" w:vertAnchor="text" w:horzAnchor="page" w:tblpX="1690" w:tblpY="288"/>
        <w:tblOverlap w:val="never"/>
        <w:tblW w:w="9282"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606"/>
        <w:gridCol w:w="2985"/>
        <w:gridCol w:w="269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5" w:hRule="atLeast"/>
        </w:trPr>
        <w:tc>
          <w:tcPr>
            <w:tcW w:w="9282" w:type="dxa"/>
            <w:gridSpan w:val="3"/>
            <w:tcBorders>
              <w:top w:val="nil"/>
              <w:left w:val="nil"/>
              <w:bottom w:val="nil"/>
              <w:right w:val="nil"/>
            </w:tcBorders>
            <w:vAlign w:val="center"/>
          </w:tcPr>
          <w:p>
            <w:pPr>
              <w:widowControl/>
              <w:jc w:val="center"/>
              <w:rPr>
                <w:rFonts w:ascii="宋体" w:cs="Times New Roman"/>
                <w:b/>
                <w:bCs/>
                <w:kern w:val="0"/>
                <w:sz w:val="32"/>
                <w:szCs w:val="32"/>
              </w:rPr>
            </w:pPr>
            <w:r>
              <w:rPr>
                <w:rFonts w:hint="eastAsia" w:ascii="宋体" w:hAnsi="宋体" w:cs="宋体"/>
                <w:b/>
                <w:bCs/>
                <w:kern w:val="0"/>
                <w:sz w:val="32"/>
                <w:szCs w:val="32"/>
              </w:rPr>
              <w:t>固定资产占用情况表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6591"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编制部门：无极县人民法院</w:t>
            </w:r>
          </w:p>
        </w:tc>
        <w:tc>
          <w:tcPr>
            <w:tcW w:w="2691"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截止时间：</w:t>
            </w:r>
            <w:r>
              <w:rPr>
                <w:rFonts w:ascii="Times New Roman" w:hAnsi="Times New Roman" w:eastAsia="仿宋" w:cs="Times New Roman"/>
                <w:kern w:val="0"/>
                <w:sz w:val="22"/>
                <w:szCs w:val="22"/>
              </w:rPr>
              <w:t>2019</w:t>
            </w:r>
            <w:r>
              <w:rPr>
                <w:rFonts w:hint="eastAsia" w:ascii="Times New Roman" w:hAnsi="Times New Roman" w:eastAsia="仿宋" w:cs="仿宋"/>
                <w:kern w:val="0"/>
                <w:sz w:val="22"/>
                <w:szCs w:val="22"/>
              </w:rPr>
              <w:t>年</w:t>
            </w:r>
            <w:r>
              <w:rPr>
                <w:rFonts w:ascii="Times New Roman" w:hAnsi="Times New Roman" w:eastAsia="仿宋" w:cs="Times New Roman"/>
                <w:kern w:val="0"/>
                <w:sz w:val="22"/>
                <w:szCs w:val="22"/>
              </w:rPr>
              <w:t>12</w:t>
            </w:r>
            <w:r>
              <w:rPr>
                <w:rFonts w:hint="eastAsia" w:ascii="Times New Roman" w:hAnsi="Times New Roman" w:eastAsia="仿宋" w:cs="仿宋"/>
                <w:kern w:val="0"/>
                <w:sz w:val="22"/>
                <w:szCs w:val="22"/>
              </w:rPr>
              <w:t>月</w:t>
            </w:r>
            <w:r>
              <w:rPr>
                <w:rFonts w:ascii="Times New Roman" w:hAnsi="Times New Roman" w:eastAsia="仿宋" w:cs="Times New Roman"/>
                <w:kern w:val="0"/>
                <w:sz w:val="22"/>
                <w:szCs w:val="22"/>
              </w:rPr>
              <w:t>31</w:t>
            </w:r>
            <w:r>
              <w:rPr>
                <w:rFonts w:hint="eastAsia" w:ascii="Times New Roman" w:hAnsi="Times New Roman" w:eastAsia="仿宋" w:cs="仿宋"/>
                <w:kern w:val="0"/>
                <w:sz w:val="22"/>
                <w:szCs w:val="22"/>
              </w:rPr>
              <w:t>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3606"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cs="Times New Roman"/>
                <w:b/>
                <w:bCs/>
                <w:kern w:val="0"/>
                <w:sz w:val="22"/>
                <w:szCs w:val="22"/>
              </w:rPr>
            </w:pPr>
            <w:r>
              <w:rPr>
                <w:rFonts w:hint="eastAsia" w:ascii="宋体" w:hAnsi="宋体" w:cs="宋体"/>
                <w:b/>
                <w:bCs/>
                <w:kern w:val="0"/>
                <w:sz w:val="22"/>
                <w:szCs w:val="22"/>
              </w:rPr>
              <w:t>项目</w:t>
            </w:r>
          </w:p>
        </w:tc>
        <w:tc>
          <w:tcPr>
            <w:tcW w:w="2985" w:type="dxa"/>
            <w:tcBorders>
              <w:top w:val="single" w:color="auto" w:sz="4" w:space="0"/>
              <w:left w:val="nil"/>
              <w:bottom w:val="single" w:color="auto" w:sz="4" w:space="0"/>
              <w:right w:val="single" w:color="auto" w:sz="4" w:space="0"/>
            </w:tcBorders>
            <w:vAlign w:val="center"/>
          </w:tcPr>
          <w:p>
            <w:pPr>
              <w:widowControl/>
              <w:jc w:val="center"/>
              <w:rPr>
                <w:rFonts w:ascii="宋体" w:cs="Times New Roman"/>
                <w:b/>
                <w:bCs/>
                <w:kern w:val="0"/>
                <w:sz w:val="22"/>
                <w:szCs w:val="22"/>
              </w:rPr>
            </w:pPr>
            <w:r>
              <w:rPr>
                <w:rFonts w:hint="eastAsia" w:ascii="宋体" w:hAnsi="宋体" w:cs="宋体"/>
                <w:b/>
                <w:bCs/>
                <w:kern w:val="0"/>
                <w:sz w:val="22"/>
                <w:szCs w:val="22"/>
              </w:rPr>
              <w:t>数量</w:t>
            </w:r>
          </w:p>
        </w:tc>
        <w:tc>
          <w:tcPr>
            <w:tcW w:w="2691" w:type="dxa"/>
            <w:tcBorders>
              <w:top w:val="single" w:color="auto" w:sz="4" w:space="0"/>
              <w:left w:val="nil"/>
              <w:bottom w:val="single" w:color="auto" w:sz="4" w:space="0"/>
              <w:right w:val="single" w:color="auto" w:sz="4" w:space="0"/>
            </w:tcBorders>
            <w:vAlign w:val="center"/>
          </w:tcPr>
          <w:p>
            <w:pPr>
              <w:widowControl/>
              <w:jc w:val="center"/>
              <w:rPr>
                <w:rFonts w:ascii="宋体" w:cs="Times New Roman"/>
                <w:b/>
                <w:bCs/>
                <w:kern w:val="0"/>
                <w:sz w:val="22"/>
                <w:szCs w:val="22"/>
              </w:rPr>
            </w:pPr>
            <w:r>
              <w:rPr>
                <w:rFonts w:hint="eastAsia" w:ascii="宋体" w:hAnsi="宋体" w:cs="宋体"/>
                <w:b/>
                <w:bCs/>
                <w:kern w:val="0"/>
                <w:sz w:val="22"/>
                <w:szCs w:val="22"/>
              </w:rPr>
              <w:t>价值（金额单位：万元）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3606"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资产总额</w:t>
            </w:r>
          </w:p>
        </w:tc>
        <w:tc>
          <w:tcPr>
            <w:tcW w:w="298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w:t>
            </w:r>
          </w:p>
        </w:tc>
        <w:tc>
          <w:tcPr>
            <w:tcW w:w="2691"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FF0000"/>
                <w:kern w:val="0"/>
                <w:sz w:val="22"/>
                <w:szCs w:val="22"/>
              </w:rPr>
            </w:pPr>
            <w:r>
              <w:rPr>
                <w:rFonts w:hint="eastAsia" w:ascii="Times New Roman" w:hAnsi="Times New Roman" w:eastAsia="仿宋" w:cs="Times New Roman"/>
                <w:color w:val="000000"/>
                <w:kern w:val="0"/>
                <w:sz w:val="22"/>
                <w:szCs w:val="22"/>
              </w:rPr>
              <w:t>1701.9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3606"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ascii="Times New Roman" w:hAnsi="Times New Roman" w:eastAsia="仿宋" w:cs="Times New Roman"/>
                <w:kern w:val="0"/>
                <w:sz w:val="22"/>
                <w:szCs w:val="22"/>
              </w:rPr>
              <w:t>1</w:t>
            </w:r>
            <w:r>
              <w:rPr>
                <w:rFonts w:hint="eastAsia" w:ascii="Times New Roman" w:hAnsi="Times New Roman" w:eastAsia="仿宋" w:cs="仿宋"/>
                <w:kern w:val="0"/>
                <w:sz w:val="22"/>
                <w:szCs w:val="22"/>
              </w:rPr>
              <w:t>、房屋（平方米）</w:t>
            </w:r>
          </w:p>
        </w:tc>
        <w:tc>
          <w:tcPr>
            <w:tcW w:w="298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hint="eastAsia" w:ascii="Times New Roman" w:hAnsi="Times New Roman" w:eastAsia="仿宋" w:cs="Times New Roman"/>
                <w:kern w:val="0"/>
                <w:sz w:val="22"/>
                <w:szCs w:val="22"/>
              </w:rPr>
              <w:t>3478.75</w:t>
            </w:r>
          </w:p>
        </w:tc>
        <w:tc>
          <w:tcPr>
            <w:tcW w:w="2691"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hint="eastAsia" w:ascii="Times New Roman" w:hAnsi="Times New Roman" w:eastAsia="仿宋" w:cs="Times New Roman"/>
                <w:kern w:val="0"/>
                <w:sz w:val="22"/>
                <w:szCs w:val="22"/>
              </w:rPr>
              <w:t>653.2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3606"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其中：办公用房（平方米）</w:t>
            </w:r>
          </w:p>
        </w:tc>
        <w:tc>
          <w:tcPr>
            <w:tcW w:w="298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hint="eastAsia" w:ascii="Times New Roman" w:hAnsi="Times New Roman" w:eastAsia="仿宋" w:cs="Times New Roman"/>
                <w:kern w:val="0"/>
                <w:sz w:val="22"/>
                <w:szCs w:val="22"/>
              </w:rPr>
              <w:t>290</w:t>
            </w:r>
          </w:p>
        </w:tc>
        <w:tc>
          <w:tcPr>
            <w:tcW w:w="2691"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hint="eastAsia" w:ascii="Times New Roman" w:hAnsi="Times New Roman" w:eastAsia="仿宋" w:cs="Times New Roman"/>
                <w:kern w:val="0"/>
                <w:sz w:val="22"/>
                <w:szCs w:val="22"/>
              </w:rPr>
              <w:t>54.5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3606"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ascii="Times New Roman" w:hAnsi="Times New Roman" w:eastAsia="仿宋" w:cs="Times New Roman"/>
                <w:kern w:val="0"/>
                <w:sz w:val="22"/>
                <w:szCs w:val="22"/>
              </w:rPr>
              <w:t>2</w:t>
            </w:r>
            <w:r>
              <w:rPr>
                <w:rFonts w:hint="eastAsia" w:ascii="Times New Roman" w:hAnsi="Times New Roman" w:eastAsia="仿宋" w:cs="仿宋"/>
                <w:kern w:val="0"/>
                <w:sz w:val="22"/>
                <w:szCs w:val="22"/>
              </w:rPr>
              <w:t>、车辆（台、辆）</w:t>
            </w:r>
          </w:p>
        </w:tc>
        <w:tc>
          <w:tcPr>
            <w:tcW w:w="298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hint="eastAsia" w:ascii="Times New Roman" w:hAnsi="Times New Roman" w:eastAsia="仿宋" w:cs="Times New Roman"/>
                <w:kern w:val="0"/>
                <w:sz w:val="22"/>
                <w:szCs w:val="22"/>
              </w:rPr>
              <w:t>17</w:t>
            </w:r>
          </w:p>
        </w:tc>
        <w:tc>
          <w:tcPr>
            <w:tcW w:w="2691"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hint="eastAsia" w:ascii="Times New Roman" w:hAnsi="Times New Roman" w:eastAsia="仿宋" w:cs="Times New Roman"/>
                <w:kern w:val="0"/>
                <w:sz w:val="22"/>
                <w:szCs w:val="22"/>
              </w:rPr>
              <w:t>139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3606"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ascii="Times New Roman" w:hAnsi="Times New Roman" w:eastAsia="仿宋" w:cs="Times New Roman"/>
                <w:kern w:val="0"/>
                <w:sz w:val="22"/>
                <w:szCs w:val="22"/>
              </w:rPr>
              <w:t>3</w:t>
            </w:r>
            <w:r>
              <w:rPr>
                <w:rFonts w:hint="eastAsia" w:ascii="Times New Roman" w:hAnsi="Times New Roman" w:eastAsia="仿宋" w:cs="仿宋"/>
                <w:kern w:val="0"/>
                <w:sz w:val="22"/>
                <w:szCs w:val="22"/>
              </w:rPr>
              <w:t>、单价在</w:t>
            </w:r>
            <w:r>
              <w:rPr>
                <w:rFonts w:ascii="Times New Roman" w:hAnsi="Times New Roman" w:eastAsia="仿宋" w:cs="Times New Roman"/>
                <w:kern w:val="0"/>
                <w:sz w:val="22"/>
                <w:szCs w:val="22"/>
              </w:rPr>
              <w:t>20</w:t>
            </w:r>
            <w:r>
              <w:rPr>
                <w:rFonts w:hint="eastAsia" w:ascii="Times New Roman" w:hAnsi="Times New Roman" w:eastAsia="仿宋" w:cs="仿宋"/>
                <w:kern w:val="0"/>
                <w:sz w:val="22"/>
                <w:szCs w:val="22"/>
              </w:rPr>
              <w:t>万元以上设备</w:t>
            </w:r>
          </w:p>
        </w:tc>
        <w:tc>
          <w:tcPr>
            <w:tcW w:w="298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w:t>
            </w:r>
          </w:p>
        </w:tc>
        <w:tc>
          <w:tcPr>
            <w:tcW w:w="2691"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3606"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ascii="Times New Roman" w:hAnsi="Times New Roman" w:eastAsia="仿宋" w:cs="Times New Roman"/>
                <w:kern w:val="0"/>
                <w:sz w:val="22"/>
                <w:szCs w:val="22"/>
              </w:rPr>
              <w:t>4</w:t>
            </w:r>
            <w:r>
              <w:rPr>
                <w:rFonts w:hint="eastAsia" w:ascii="Times New Roman" w:hAnsi="Times New Roman" w:eastAsia="仿宋" w:cs="仿宋"/>
                <w:kern w:val="0"/>
                <w:sz w:val="22"/>
                <w:szCs w:val="22"/>
              </w:rPr>
              <w:t>、其他固定资产</w:t>
            </w:r>
          </w:p>
        </w:tc>
        <w:tc>
          <w:tcPr>
            <w:tcW w:w="298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w:t>
            </w:r>
          </w:p>
        </w:tc>
        <w:tc>
          <w:tcPr>
            <w:tcW w:w="2691"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hint="eastAsia" w:ascii="Times New Roman" w:hAnsi="Times New Roman" w:eastAsia="仿宋" w:cs="Times New Roman"/>
                <w:kern w:val="0"/>
                <w:sz w:val="22"/>
                <w:szCs w:val="22"/>
              </w:rPr>
              <w:t>909.7</w:t>
            </w:r>
          </w:p>
        </w:tc>
      </w:tr>
    </w:tbl>
    <w:p>
      <w:pPr>
        <w:autoSpaceDE w:val="0"/>
        <w:autoSpaceDN w:val="0"/>
        <w:adjustRightInd w:val="0"/>
        <w:jc w:val="left"/>
        <w:rPr>
          <w:rFonts w:hint="eastAsia" w:ascii="黑体" w:hAnsi="黑体" w:eastAsia="黑体" w:cs="黑体"/>
          <w:sz w:val="32"/>
          <w:szCs w:val="32"/>
        </w:rPr>
      </w:pPr>
    </w:p>
    <w:p>
      <w:pPr>
        <w:autoSpaceDE w:val="0"/>
        <w:autoSpaceDN w:val="0"/>
        <w:adjustRightInd w:val="0"/>
        <w:jc w:val="left"/>
        <w:rPr>
          <w:rFonts w:hint="eastAsia" w:ascii="黑体" w:hAnsi="黑体" w:eastAsia="黑体" w:cs="黑体"/>
          <w:sz w:val="32"/>
          <w:szCs w:val="32"/>
        </w:rPr>
      </w:pPr>
    </w:p>
    <w:p>
      <w:pPr>
        <w:autoSpaceDE w:val="0"/>
        <w:autoSpaceDN w:val="0"/>
        <w:adjustRightInd w:val="0"/>
        <w:jc w:val="left"/>
        <w:rPr>
          <w:rFonts w:hint="eastAsia" w:ascii="黑体" w:hAnsi="黑体" w:eastAsia="黑体" w:cs="黑体"/>
          <w:sz w:val="32"/>
          <w:szCs w:val="32"/>
        </w:rPr>
      </w:pPr>
    </w:p>
    <w:p>
      <w:pPr>
        <w:autoSpaceDE w:val="0"/>
        <w:autoSpaceDN w:val="0"/>
        <w:adjustRightInd w:val="0"/>
        <w:jc w:val="left"/>
        <w:rPr>
          <w:rFonts w:hint="eastAsia" w:ascii="黑体" w:hAnsi="黑体" w:eastAsia="黑体" w:cs="黑体"/>
          <w:sz w:val="32"/>
          <w:szCs w:val="32"/>
        </w:rPr>
      </w:pPr>
    </w:p>
    <w:p>
      <w:pPr>
        <w:autoSpaceDE w:val="0"/>
        <w:autoSpaceDN w:val="0"/>
        <w:adjustRightInd w:val="0"/>
        <w:jc w:val="left"/>
        <w:rPr>
          <w:rFonts w:hint="eastAsia" w:ascii="黑体" w:hAnsi="黑体" w:eastAsia="黑体" w:cs="黑体"/>
          <w:sz w:val="32"/>
          <w:szCs w:val="32"/>
        </w:rPr>
      </w:pPr>
    </w:p>
    <w:p>
      <w:pPr>
        <w:autoSpaceDE w:val="0"/>
        <w:autoSpaceDN w:val="0"/>
        <w:adjustRightInd w:val="0"/>
        <w:jc w:val="left"/>
        <w:rPr>
          <w:rFonts w:hint="eastAsia" w:ascii="黑体" w:hAnsi="黑体" w:eastAsia="黑体" w:cs="黑体"/>
          <w:sz w:val="32"/>
          <w:szCs w:val="32"/>
        </w:rPr>
      </w:pPr>
    </w:p>
    <w:p>
      <w:pPr>
        <w:autoSpaceDE w:val="0"/>
        <w:autoSpaceDN w:val="0"/>
        <w:adjustRightInd w:val="0"/>
        <w:jc w:val="left"/>
        <w:rPr>
          <w:rFonts w:hint="eastAsia" w:ascii="黑体" w:hAnsi="黑体" w:eastAsia="黑体" w:cs="黑体"/>
          <w:sz w:val="32"/>
          <w:szCs w:val="32"/>
        </w:rPr>
      </w:pPr>
    </w:p>
    <w:p>
      <w:pPr>
        <w:autoSpaceDE w:val="0"/>
        <w:autoSpaceDN w:val="0"/>
        <w:adjustRightInd w:val="0"/>
        <w:jc w:val="left"/>
        <w:rPr>
          <w:rFonts w:hint="eastAsia" w:ascii="黑体" w:hAnsi="黑体" w:eastAsia="黑体" w:cs="黑体"/>
          <w:sz w:val="32"/>
          <w:szCs w:val="32"/>
        </w:rPr>
      </w:pPr>
    </w:p>
    <w:p>
      <w:pPr>
        <w:autoSpaceDE w:val="0"/>
        <w:autoSpaceDN w:val="0"/>
        <w:adjustRightInd w:val="0"/>
        <w:jc w:val="left"/>
        <w:rPr>
          <w:rFonts w:hint="eastAsia" w:ascii="黑体" w:hAnsi="黑体" w:eastAsia="黑体" w:cs="黑体"/>
          <w:sz w:val="32"/>
          <w:szCs w:val="32"/>
        </w:rPr>
      </w:pPr>
    </w:p>
    <w:p>
      <w:pPr>
        <w:autoSpaceDE w:val="0"/>
        <w:autoSpaceDN w:val="0"/>
        <w:adjustRightInd w:val="0"/>
        <w:jc w:val="left"/>
        <w:rPr>
          <w:rFonts w:hint="eastAsia" w:ascii="黑体" w:hAnsi="黑体" w:eastAsia="黑体" w:cs="黑体"/>
          <w:sz w:val="32"/>
          <w:szCs w:val="32"/>
        </w:rPr>
      </w:pPr>
    </w:p>
    <w:p>
      <w:pPr>
        <w:autoSpaceDE w:val="0"/>
        <w:autoSpaceDN w:val="0"/>
        <w:adjustRightInd w:val="0"/>
        <w:jc w:val="left"/>
        <w:rPr>
          <w:rFonts w:hint="eastAsia" w:ascii="黑体" w:hAnsi="黑体" w:eastAsia="黑体" w:cs="黑体"/>
          <w:sz w:val="32"/>
          <w:szCs w:val="32"/>
        </w:rPr>
      </w:pPr>
    </w:p>
    <w:p>
      <w:pPr>
        <w:autoSpaceDE w:val="0"/>
        <w:autoSpaceDN w:val="0"/>
        <w:adjustRightInd w:val="0"/>
        <w:jc w:val="left"/>
        <w:rPr>
          <w:rFonts w:hint="eastAsia" w:ascii="黑体" w:hAnsi="黑体" w:eastAsia="黑体" w:cs="黑体"/>
          <w:sz w:val="32"/>
          <w:szCs w:val="32"/>
        </w:rPr>
      </w:pPr>
    </w:p>
    <w:p>
      <w:pPr>
        <w:autoSpaceDE w:val="0"/>
        <w:autoSpaceDN w:val="0"/>
        <w:adjustRightInd w:val="0"/>
        <w:jc w:val="left"/>
        <w:rPr>
          <w:rFonts w:hint="eastAsia" w:ascii="黑体" w:hAnsi="黑体" w:eastAsia="黑体" w:cs="黑体"/>
          <w:sz w:val="32"/>
          <w:szCs w:val="32"/>
        </w:rPr>
      </w:pPr>
    </w:p>
    <w:p>
      <w:pPr>
        <w:autoSpaceDE w:val="0"/>
        <w:autoSpaceDN w:val="0"/>
        <w:adjustRightInd w:val="0"/>
        <w:jc w:val="left"/>
        <w:rPr>
          <w:rFonts w:ascii="黑体" w:hAnsi="黑体" w:eastAsia="黑体" w:cs="Times New Roman"/>
          <w:sz w:val="32"/>
          <w:szCs w:val="32"/>
        </w:rPr>
      </w:pPr>
      <w:r>
        <w:rPr>
          <w:rFonts w:hint="eastAsia" w:ascii="黑体" w:hAnsi="黑体" w:eastAsia="黑体" w:cs="黑体"/>
          <w:sz w:val="32"/>
          <w:szCs w:val="32"/>
        </w:rPr>
        <w:t>八、名词解释</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仿宋"/>
          <w:sz w:val="32"/>
          <w:szCs w:val="32"/>
        </w:rPr>
        <w:t>、一般公共预算拨款收入：指</w:t>
      </w:r>
      <w:r>
        <w:rPr>
          <w:rFonts w:hint="eastAsia" w:ascii="Times New Roman" w:hAnsi="Times New Roman" w:eastAsia="仿宋" w:cs="仿宋"/>
          <w:sz w:val="32"/>
          <w:szCs w:val="32"/>
          <w:lang w:val="en-US" w:eastAsia="zh-CN"/>
        </w:rPr>
        <w:t>县</w:t>
      </w:r>
      <w:r>
        <w:rPr>
          <w:rFonts w:hint="eastAsia" w:ascii="Times New Roman" w:hAnsi="Times New Roman" w:eastAsia="仿宋" w:cs="仿宋"/>
          <w:sz w:val="32"/>
          <w:szCs w:val="32"/>
        </w:rPr>
        <w:t>级财政当年拨付的资金。</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仿宋"/>
          <w:sz w:val="32"/>
          <w:szCs w:val="32"/>
        </w:rPr>
        <w:t>、事业收入：指事业单位开展专业业务活动及辅助活动所取得的收入。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仿宋"/>
          <w:sz w:val="32"/>
          <w:szCs w:val="32"/>
        </w:rPr>
        <w:t>、其他收入：指除“一般公共预算拨款收入”、“事业收入”等以外的收入。主要是按规定动用的租房收入、存款利息收入等。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4</w:t>
      </w:r>
      <w:r>
        <w:rPr>
          <w:rFonts w:hint="eastAsia" w:ascii="Times New Roman" w:hAnsi="Times New Roman" w:eastAsia="仿宋" w:cs="仿宋"/>
          <w:sz w:val="32"/>
          <w:szCs w:val="32"/>
        </w:rPr>
        <w:t>、基本支出：指为保障机构正常运转、完成日常工作任务而发生的人员支出和公用支出。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5</w:t>
      </w:r>
      <w:r>
        <w:rPr>
          <w:rFonts w:hint="eastAsia" w:ascii="Times New Roman" w:hAnsi="Times New Roman" w:eastAsia="仿宋" w:cs="仿宋"/>
          <w:sz w:val="32"/>
          <w:szCs w:val="32"/>
        </w:rPr>
        <w:t>、项目支出：指在基本支出之外为完成特定行政任务和事业发展目标所发生的支出。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6</w:t>
      </w:r>
      <w:r>
        <w:rPr>
          <w:rFonts w:hint="eastAsia" w:ascii="Times New Roman" w:hAnsi="Times New Roman" w:eastAsia="仿宋" w:cs="仿宋"/>
          <w:sz w:val="32"/>
          <w:szCs w:val="32"/>
        </w:rPr>
        <w:t>、上缴上级支出：指下级单位上缴上级的支出。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7</w:t>
      </w:r>
      <w:r>
        <w:rPr>
          <w:rFonts w:hint="eastAsia" w:ascii="Times New Roman" w:hAnsi="Times New Roman" w:eastAsia="仿宋" w:cs="仿宋"/>
          <w:sz w:val="32"/>
          <w:szCs w:val="32"/>
        </w:rPr>
        <w:t>、“三公”经费：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8</w:t>
      </w:r>
      <w:r>
        <w:rPr>
          <w:rFonts w:hint="eastAsia" w:ascii="Times New Roman" w:hAnsi="Times New Roman" w:eastAsia="仿宋" w:cs="仿宋"/>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9</w:t>
      </w:r>
      <w:r>
        <w:rPr>
          <w:rFonts w:hint="eastAsia" w:ascii="Times New Roman" w:hAnsi="Times New Roman" w:eastAsia="仿宋" w:cs="仿宋"/>
          <w:sz w:val="32"/>
          <w:szCs w:val="32"/>
        </w:rPr>
        <w:t>、上年结转：指以前年度尚未完成、结转到本年仍按原规定用途继续使用的资金。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10</w:t>
      </w:r>
      <w:r>
        <w:rPr>
          <w:rFonts w:hint="eastAsia" w:ascii="Times New Roman" w:hAnsi="Times New Roman" w:eastAsia="仿宋" w:cs="仿宋"/>
          <w:sz w:val="32"/>
          <w:szCs w:val="32"/>
        </w:rPr>
        <w:t>、事业单位经营支出：指事业单位在专业业务活动及其辅助活动之外开展非独立核算经营活动发生的支出。</w:t>
      </w:r>
    </w:p>
    <w:p>
      <w:pPr>
        <w:rPr>
          <w:rFonts w:ascii="宋体-方正超大字符集" w:hAnsi="宋体-方正超大字符集" w:eastAsia="宋体-方正超大字符集" w:cs="Times New Roman"/>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仿宋"/>
          <w:sz w:val="32"/>
          <w:szCs w:val="32"/>
        </w:rPr>
        <w:t>我部门无其他需要说明的事项。</w:t>
      </w:r>
    </w:p>
    <w:sectPr>
      <w:footerReference r:id="rId3"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宋体"/>
    <w:panose1 w:val="00000000000000000000"/>
    <w:charset w:val="86"/>
    <w:family w:val="auto"/>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001010101"/>
    <w:charset w:val="86"/>
    <w:family w:val="auto"/>
    <w:pitch w:val="default"/>
    <w:sig w:usb0="00000000" w:usb1="00000000" w:usb2="00000000" w:usb3="00000000" w:csb0="00040000" w:csb1="00000000"/>
  </w:font>
  <w:font w:name="方正仿宋_GBK">
    <w:altName w:val="宋体"/>
    <w:panose1 w:val="00000000000000000000"/>
    <w:charset w:val="86"/>
    <w:family w:val="auto"/>
    <w:pitch w:val="default"/>
    <w:sig w:usb0="00000000" w:usb1="00000000" w:usb2="00000010" w:usb3="00000000" w:csb0="00040000" w:csb1="00000000"/>
  </w:font>
  <w:font w:name="方正书宋_GBK">
    <w:altName w:val="宋体"/>
    <w:panose1 w:val="00000000000000000000"/>
    <w:charset w:val="86"/>
    <w:family w:val="auto"/>
    <w:pitch w:val="default"/>
    <w:sig w:usb0="00000000" w:usb1="00000000" w:usb2="00000010" w:usb3="00000000" w:csb0="00040000" w:csb1="00000000"/>
  </w:font>
  <w:font w:name="宋体-方正超大字符集">
    <w:altName w:val="宋体"/>
    <w:panose1 w:val="03000509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4"/>
      </w:rPr>
    </w:pPr>
    <w:r>
      <w:fldChar w:fldCharType="begin"/>
    </w:r>
    <w:r>
      <w:rPr>
        <w:rStyle w:val="14"/>
      </w:rPr>
      <w:instrText xml:space="preserve">PAGE  </w:instrText>
    </w:r>
    <w:r>
      <w:fldChar w:fldCharType="separate"/>
    </w:r>
    <w:r>
      <w:rPr>
        <w:rStyle w:val="14"/>
      </w:rPr>
      <w:t>13</w:t>
    </w:r>
    <w:r>
      <w:fldChar w:fldCharType="end"/>
    </w:r>
  </w:p>
  <w:p>
    <w:pPr>
      <w:pStyle w:val="2"/>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1"/>
  <w:bordersDoNotSurroundFooter w:val="1"/>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noLineBreaksAfter w:lang="zh-CN" w:val="$([{£¥·‘“〈《「『【〔〖〝﹙﹛﹝＄（．［｛￡￥"/>
  <w:noLineBreaksBefore w:lang="zh-CN" w:val="!%),.:;&gt;?]}¢¨°·ˇˉ―‖’”…‰′″›℃∶、。〃〉》」』】〕〗〞︶︺︾﹀﹄﹚﹜﹞！＂％＇），．：；？］｀｜｝～￠"/>
  <w:compat>
    <w:spaceForUL/>
    <w:balanceSingleByteDoubleByteWidth/>
    <w:doNotLeaveBackslashAlone/>
    <w:ulTrailSpace/>
    <w:doNotExpandShiftReturn/>
    <w:adjustLineHeightInTable/>
    <w:doNotWrapTextWithPunct/>
    <w:doNotUseEastAsianBreakRules/>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2"/>
  </w:compat>
  <w:rsids>
    <w:rsidRoot w:val="00000000"/>
    <w:rsid w:val="08395CB1"/>
    <w:rsid w:val="14A41F5E"/>
    <w:rsid w:val="2FC26CC8"/>
    <w:rsid w:val="517214AD"/>
    <w:rsid w:val="7975712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Calibr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character" w:default="1" w:styleId="8">
    <w:name w:val="Default Paragraph Font"/>
    <w:uiPriority w:val="0"/>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0"/>
    <w:qFormat/>
    <w:uiPriority w:val="0"/>
    <w:pPr>
      <w:tabs>
        <w:tab w:val="center" w:pos="4153"/>
        <w:tab w:val="right" w:pos="8306"/>
      </w:tabs>
      <w:snapToGrid w:val="0"/>
      <w:jc w:val="left"/>
    </w:pPr>
    <w:rPr>
      <w:rFonts w:ascii="Times New Roman" w:hAnsi="Times New Roman" w:eastAsia="宋体" w:cs="Times New Roman"/>
      <w:sz w:val="18"/>
      <w:szCs w:val="18"/>
    </w:rPr>
  </w:style>
  <w:style w:type="paragraph" w:styleId="3">
    <w:name w:val="header"/>
    <w:basedOn w:val="1"/>
    <w:link w:val="11"/>
    <w:qFormat/>
    <w:uiPriority w:val="0"/>
    <w:pPr>
      <w:pBdr>
        <w:bottom w:val="single" w:color="auto" w:sz="6" w:space="1"/>
      </w:pBdr>
      <w:tabs>
        <w:tab w:val="center" w:pos="4153"/>
        <w:tab w:val="right" w:pos="8306"/>
      </w:tabs>
      <w:snapToGrid w:val="0"/>
      <w:jc w:val="center"/>
    </w:pPr>
    <w:rPr>
      <w:rFonts w:ascii="Times New Roman" w:hAnsi="Times New Roman" w:eastAsia="宋体" w:cs="Times New Roman"/>
      <w:sz w:val="18"/>
      <w:szCs w:val="18"/>
    </w:rPr>
  </w:style>
  <w:style w:type="paragraph" w:styleId="4">
    <w:name w:val="toc 1"/>
    <w:basedOn w:val="1"/>
    <w:next w:val="1"/>
    <w:qFormat/>
    <w:uiPriority w:val="0"/>
    <w:rPr>
      <w:rFonts w:ascii="Times New Roman" w:hAnsi="Times New Roman" w:cs="Times New Roman"/>
    </w:rPr>
  </w:style>
  <w:style w:type="paragraph" w:styleId="5">
    <w:name w:val="footnote text"/>
    <w:basedOn w:val="1"/>
    <w:link w:val="12"/>
    <w:qFormat/>
    <w:uiPriority w:val="0"/>
    <w:pPr>
      <w:snapToGrid w:val="0"/>
      <w:jc w:val="left"/>
    </w:pPr>
    <w:rPr>
      <w:rFonts w:ascii="Calibri" w:hAnsi="Calibri" w:cs="Calibri"/>
      <w:sz w:val="18"/>
      <w:szCs w:val="18"/>
    </w:rPr>
  </w:style>
  <w:style w:type="paragraph" w:styleId="6">
    <w:name w:val="toc 2"/>
    <w:basedOn w:val="1"/>
    <w:next w:val="1"/>
    <w:qFormat/>
    <w:uiPriority w:val="0"/>
    <w:pPr>
      <w:ind w:left="420" w:leftChars="200"/>
    </w:pPr>
    <w:rPr>
      <w:rFonts w:ascii="Times New Roman" w:hAnsi="Times New Roman" w:cs="Times New Roman"/>
    </w:rPr>
  </w:style>
  <w:style w:type="character" w:styleId="9">
    <w:name w:val="footnote reference"/>
    <w:basedOn w:val="8"/>
    <w:qFormat/>
    <w:uiPriority w:val="0"/>
    <w:rPr>
      <w:vertAlign w:val="superscript"/>
    </w:rPr>
  </w:style>
  <w:style w:type="character" w:customStyle="1" w:styleId="10">
    <w:name w:val="页脚 Char"/>
    <w:basedOn w:val="8"/>
    <w:link w:val="2"/>
    <w:uiPriority w:val="0"/>
    <w:rPr>
      <w:rFonts w:ascii="Times New Roman" w:hAnsi="Times New Roman" w:eastAsia="宋体" w:cs="Times New Roman"/>
      <w:sz w:val="18"/>
      <w:szCs w:val="18"/>
    </w:rPr>
  </w:style>
  <w:style w:type="character" w:customStyle="1" w:styleId="11">
    <w:name w:val="页眉 Char"/>
    <w:basedOn w:val="8"/>
    <w:link w:val="3"/>
    <w:qFormat/>
    <w:uiPriority w:val="0"/>
    <w:rPr>
      <w:rFonts w:ascii="Times New Roman" w:hAnsi="Times New Roman" w:eastAsia="宋体" w:cs="Times New Roman"/>
      <w:sz w:val="18"/>
      <w:szCs w:val="18"/>
    </w:rPr>
  </w:style>
  <w:style w:type="character" w:customStyle="1" w:styleId="12">
    <w:name w:val="脚注文本 Char"/>
    <w:basedOn w:val="8"/>
    <w:link w:val="5"/>
    <w:uiPriority w:val="0"/>
    <w:rPr>
      <w:rFonts w:ascii="Calibri" w:hAnsi="Calibri" w:cs="Calibri"/>
      <w:sz w:val="18"/>
      <w:szCs w:val="18"/>
    </w:rPr>
  </w:style>
  <w:style w:type="paragraph" w:customStyle="1" w:styleId="13">
    <w:name w:val="Char"/>
    <w:basedOn w:val="1"/>
    <w:qFormat/>
    <w:uiPriority w:val="0"/>
    <w:rPr>
      <w:rFonts w:ascii="Times New Roman" w:hAnsi="Times New Roman" w:cs="Times New Roman"/>
    </w:rPr>
  </w:style>
  <w:style w:type="character" w:customStyle="1" w:styleId="14">
    <w:name w:val="页码1"/>
    <w:qFormat/>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14</Pages>
  <Words>6295</Words>
  <Characters>6798</Characters>
  <Paragraphs>680</Paragraphs>
  <TotalTime>8</TotalTime>
  <ScaleCrop>false</ScaleCrop>
  <LinksUpToDate>false</LinksUpToDate>
  <CharactersWithSpaces>6815</CharactersWithSpaces>
  <Application>WPS Office_11.1.0.10495_F1E327BC-269C-435d-A152-05C5408002CA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2021-04-25T09:28:00Z</dcterms:created>
  <dc:creator>guest</dc:creator>
  <cp:lastModifiedBy>李润泽</cp:lastModifiedBy>
  <cp:lastPrinted>2020-01-10T23:53:00Z</cp:lastPrinted>
  <dcterms:modified xsi:type="dcterms:W3CDTF">2021-05-22T02:48:43Z</dcterms:modified>
  <dc:title>o</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2052-11.1.0.10495</vt:lpwstr>
  </property>
  <property fmtid="{D5CDD505-2E9C-101B-9397-08002B2CF9AE}" pid="3" name="ICV">
    <vt:lpwstr>5ab18d3fb1784421a768ea92015e0111</vt:lpwstr>
  </property>
</Properties>
</file>