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方正小标宋_GBK"/>
          <w:sz w:val="44"/>
          <w:szCs w:val="44"/>
        </w:rPr>
      </w:pPr>
      <w:r>
        <w:rPr>
          <w:rFonts w:hint="eastAsia" w:ascii="方正小标宋_GBK" w:hAnsi="Times New Roman" w:eastAsia="方正小标宋_GBK" w:cs="方正小标宋_GBK"/>
          <w:sz w:val="44"/>
          <w:szCs w:val="44"/>
        </w:rPr>
        <w:t>无极县工商业联合会</w:t>
      </w:r>
    </w:p>
    <w:p>
      <w:pPr>
        <w:adjustRightInd w:val="0"/>
        <w:snapToGrid w:val="0"/>
        <w:jc w:val="center"/>
        <w:rPr>
          <w:rFonts w:ascii="方正小标宋_GBK" w:hAnsi="Times New Roman" w:eastAsia="方正小标宋_GBK" w:cs="Times New Roman"/>
          <w:sz w:val="44"/>
          <w:szCs w:val="44"/>
        </w:rPr>
      </w:pPr>
      <w:r>
        <w:rPr>
          <w:rFonts w:ascii="方正小标宋_GBK" w:hAnsi="Times New Roman" w:eastAsia="方正小标宋_GBK" w:cs="方正小标宋_GBK"/>
          <w:sz w:val="44"/>
          <w:szCs w:val="44"/>
        </w:rPr>
        <w:t>2020</w:t>
      </w:r>
      <w:r>
        <w:rPr>
          <w:rFonts w:hint="eastAsia" w:ascii="方正小标宋_GBK" w:hAnsi="Times New Roman" w:eastAsia="方正小标宋_GBK" w:cs="方正小标宋_GBK"/>
          <w:sz w:val="44"/>
          <w:szCs w:val="44"/>
        </w:rPr>
        <w:t>年部门预算信息公开情况说明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按照《预算法》、《地方预决算公开操作规程》和《河北省省级预算公开办法》规定，现将无极县工商业联合会</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年部门预算公开如下：</w:t>
      </w:r>
    </w:p>
    <w:p>
      <w:pPr>
        <w:ind w:firstLine="640"/>
        <w:rPr>
          <w:rFonts w:ascii="黑体" w:hAnsi="黑体" w:eastAsia="黑体" w:cs="Times New Roman"/>
          <w:sz w:val="32"/>
          <w:szCs w:val="32"/>
        </w:rPr>
      </w:pPr>
      <w:r>
        <w:rPr>
          <w:rFonts w:hint="eastAsia" w:ascii="黑体" w:hAnsi="黑体" w:eastAsia="黑体" w:cs="黑体"/>
          <w:sz w:val="32"/>
          <w:szCs w:val="32"/>
        </w:rPr>
        <w:t>一、部门职责及机构设置情况</w:t>
      </w:r>
    </w:p>
    <w:p>
      <w:pPr>
        <w:ind w:firstLine="640"/>
        <w:rPr>
          <w:rFonts w:ascii="仿宋" w:hAnsi="仿宋" w:eastAsia="仿宋" w:cs="仿宋"/>
          <w:sz w:val="32"/>
          <w:szCs w:val="32"/>
        </w:rPr>
      </w:pPr>
      <w:r>
        <w:rPr>
          <w:rFonts w:hint="eastAsia" w:ascii="仿宋" w:hAnsi="仿宋" w:eastAsia="仿宋" w:cs="仿宋"/>
          <w:b/>
          <w:bCs/>
          <w:sz w:val="32"/>
          <w:szCs w:val="32"/>
        </w:rPr>
        <w:t>部门职责：</w:t>
      </w:r>
      <w:r>
        <w:rPr>
          <w:rFonts w:hint="eastAsia" w:ascii="仿宋" w:hAnsi="仿宋" w:eastAsia="仿宋" w:cs="仿宋"/>
          <w:sz w:val="32"/>
          <w:szCs w:val="32"/>
        </w:rPr>
        <w:t>根据《工商联职能配置、内设机构和人员编制规定》， 工商联的主要职责是：</w:t>
      </w:r>
    </w:p>
    <w:p>
      <w:pPr>
        <w:ind w:firstLine="640" w:firstLineChars="200"/>
        <w:rPr>
          <w:rFonts w:ascii="仿宋" w:hAnsi="仿宋" w:eastAsia="仿宋" w:cs="仿宋"/>
          <w:sz w:val="32"/>
          <w:szCs w:val="32"/>
        </w:rPr>
      </w:pPr>
      <w:r>
        <w:rPr>
          <w:rFonts w:hint="eastAsia" w:ascii="仿宋" w:hAnsi="仿宋" w:eastAsia="仿宋" w:cs="仿宋"/>
          <w:sz w:val="32"/>
          <w:szCs w:val="32"/>
        </w:rPr>
        <w:t>一、对会员进行团结、帮助、引导、教育，提高会员素质；</w:t>
      </w:r>
    </w:p>
    <w:p>
      <w:pPr>
        <w:ind w:firstLine="640"/>
        <w:rPr>
          <w:rFonts w:ascii="仿宋" w:hAnsi="仿宋" w:eastAsia="仿宋" w:cs="仿宋"/>
          <w:sz w:val="32"/>
          <w:szCs w:val="32"/>
        </w:rPr>
      </w:pPr>
      <w:r>
        <w:rPr>
          <w:rFonts w:hint="eastAsia" w:ascii="仿宋" w:hAnsi="仿宋" w:eastAsia="仿宋" w:cs="仿宋"/>
          <w:sz w:val="32"/>
          <w:szCs w:val="32"/>
        </w:rPr>
        <w:t>二、维护会员合法权益，反映会员意见、要求和建议，在会员政府之间发挥桥梁作用，当好政府管理非公有制的助手；</w:t>
      </w:r>
    </w:p>
    <w:p>
      <w:pPr>
        <w:ind w:firstLine="640"/>
        <w:rPr>
          <w:rFonts w:ascii="仿宋" w:hAnsi="仿宋" w:eastAsia="仿宋" w:cs="仿宋"/>
          <w:sz w:val="32"/>
          <w:szCs w:val="32"/>
        </w:rPr>
      </w:pPr>
      <w:r>
        <w:rPr>
          <w:rFonts w:hint="eastAsia" w:ascii="仿宋" w:hAnsi="仿宋" w:eastAsia="仿宋" w:cs="仿宋"/>
          <w:sz w:val="32"/>
          <w:szCs w:val="32"/>
        </w:rPr>
        <w:t>三、开展工商专业培训，提供信息、科技、法律咨询等服务；</w:t>
      </w:r>
    </w:p>
    <w:p>
      <w:pPr>
        <w:ind w:firstLine="640"/>
        <w:rPr>
          <w:rFonts w:ascii="仿宋" w:hAnsi="仿宋" w:eastAsia="仿宋" w:cs="仿宋"/>
          <w:sz w:val="32"/>
          <w:szCs w:val="32"/>
        </w:rPr>
      </w:pPr>
      <w:r>
        <w:rPr>
          <w:rFonts w:hint="eastAsia" w:ascii="仿宋" w:hAnsi="仿宋" w:eastAsia="仿宋" w:cs="仿宋"/>
          <w:sz w:val="32"/>
          <w:szCs w:val="32"/>
        </w:rPr>
        <w:t>四、组织会员举办和参加各种展销会、交易会，开拓国内、国际市场，加强与国外工商社团的联系，引进人才、资金、技术；</w:t>
      </w:r>
    </w:p>
    <w:p>
      <w:pPr>
        <w:ind w:firstLine="640"/>
        <w:rPr>
          <w:rFonts w:ascii="仿宋" w:hAnsi="仿宋" w:eastAsia="仿宋" w:cs="仿宋"/>
          <w:sz w:val="32"/>
          <w:szCs w:val="32"/>
        </w:rPr>
      </w:pPr>
      <w:r>
        <w:rPr>
          <w:rFonts w:hint="eastAsia" w:ascii="仿宋" w:hAnsi="仿宋" w:eastAsia="仿宋" w:cs="仿宋"/>
          <w:sz w:val="32"/>
          <w:szCs w:val="32"/>
        </w:rPr>
        <w:t>五、做好非公经济代表人士整治安排的推荐工作；</w:t>
      </w:r>
    </w:p>
    <w:p>
      <w:pPr>
        <w:ind w:firstLine="640"/>
        <w:rPr>
          <w:rFonts w:ascii="仿宋" w:hAnsi="仿宋" w:eastAsia="仿宋" w:cs="仿宋"/>
          <w:sz w:val="32"/>
          <w:szCs w:val="32"/>
        </w:rPr>
      </w:pPr>
      <w:r>
        <w:rPr>
          <w:rFonts w:hint="eastAsia" w:ascii="仿宋" w:hAnsi="仿宋" w:eastAsia="仿宋" w:cs="仿宋"/>
          <w:sz w:val="32"/>
          <w:szCs w:val="32"/>
        </w:rPr>
        <w:t>六、为会员提供有关证明，协调关系，调节纠纷；</w:t>
      </w:r>
    </w:p>
    <w:p>
      <w:pPr>
        <w:ind w:firstLine="640"/>
        <w:rPr>
          <w:rFonts w:ascii="Times New Roman" w:hAnsi="Times New Roman" w:eastAsia="仿宋" w:cs="Times New Roman"/>
          <w:sz w:val="32"/>
          <w:szCs w:val="32"/>
        </w:rPr>
      </w:pPr>
      <w:r>
        <w:rPr>
          <w:rFonts w:hint="eastAsia" w:ascii="仿宋" w:hAnsi="仿宋" w:eastAsia="仿宋" w:cs="仿宋"/>
          <w:sz w:val="32"/>
          <w:szCs w:val="32"/>
        </w:rPr>
        <w:t>七、承办政府和有关部门委托事项。</w:t>
      </w:r>
    </w:p>
    <w:p>
      <w:pPr>
        <w:rPr>
          <w:rFonts w:ascii="仿宋" w:hAnsi="仿宋" w:eastAsia="仿宋" w:cs="Times New Roman"/>
          <w:sz w:val="32"/>
          <w:szCs w:val="32"/>
        </w:rPr>
      </w:pPr>
    </w:p>
    <w:p>
      <w:pPr>
        <w:ind w:firstLine="643" w:firstLineChars="200"/>
        <w:rPr>
          <w:rFonts w:ascii="仿宋" w:hAnsi="仿宋" w:eastAsia="仿宋" w:cs="Times New Roman"/>
          <w:b/>
          <w:bCs/>
          <w:sz w:val="32"/>
          <w:szCs w:val="32"/>
        </w:rPr>
      </w:pPr>
      <w:r>
        <w:rPr>
          <w:rFonts w:hint="eastAsia" w:ascii="仿宋" w:hAnsi="仿宋" w:eastAsia="仿宋" w:cs="仿宋"/>
          <w:b/>
          <w:bCs/>
          <w:sz w:val="32"/>
          <w:szCs w:val="32"/>
        </w:rPr>
        <w:t>机构设置：</w:t>
      </w:r>
    </w:p>
    <w:p>
      <w:pPr>
        <w:jc w:val="center"/>
        <w:outlineLvl w:val="0"/>
        <w:rPr>
          <w:rFonts w:ascii="Times New Roman" w:hAnsi="Times New Roman" w:eastAsia="方正小标宋_GBK" w:cs="Times New Roman"/>
          <w:sz w:val="32"/>
          <w:szCs w:val="32"/>
        </w:rPr>
      </w:pPr>
      <w:r>
        <w:rPr>
          <w:rFonts w:hint="eastAsia" w:ascii="Times New Roman" w:hAnsi="Times New Roman" w:eastAsia="方正小标宋_GBK" w:cs="方正小标宋_GBK"/>
          <w:sz w:val="32"/>
          <w:szCs w:val="32"/>
        </w:rPr>
        <w:t>部门机构设置情况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单位名称</w:t>
            </w:r>
          </w:p>
        </w:tc>
        <w:tc>
          <w:tcPr>
            <w:tcW w:w="1134"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单位性质</w:t>
            </w:r>
          </w:p>
        </w:tc>
        <w:tc>
          <w:tcPr>
            <w:tcW w:w="1276"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单位规格</w:t>
            </w:r>
          </w:p>
        </w:tc>
        <w:tc>
          <w:tcPr>
            <w:tcW w:w="2902" w:type="dxa"/>
            <w:vMerge w:val="restart"/>
            <w:vAlign w:val="center"/>
          </w:tcPr>
          <w:p>
            <w:pPr>
              <w:spacing w:line="300" w:lineRule="exact"/>
              <w:jc w:val="center"/>
              <w:rPr>
                <w:rFonts w:ascii="Times New Roman" w:hAnsi="Times New Roman" w:eastAsia="方正书宋_GBK" w:cs="Times New Roman"/>
                <w:b/>
                <w:bCs/>
              </w:rPr>
            </w:pPr>
            <w:r>
              <w:rPr>
                <w:rFonts w:hint="eastAsia" w:ascii="Times New Roman" w:hAnsi="Times New Roman" w:eastAsia="方正书宋_GBK" w:cs="方正书宋_GBK"/>
                <w:b/>
                <w:bCs/>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rPr>
            </w:pPr>
          </w:p>
        </w:tc>
        <w:tc>
          <w:tcPr>
            <w:tcW w:w="1134" w:type="dxa"/>
            <w:vMerge w:val="continue"/>
            <w:vAlign w:val="center"/>
          </w:tcPr>
          <w:p>
            <w:pPr>
              <w:spacing w:line="300" w:lineRule="exact"/>
              <w:jc w:val="left"/>
              <w:outlineLvl w:val="0"/>
              <w:rPr>
                <w:rFonts w:ascii="Times New Roman" w:hAnsi="Times New Roman" w:cs="Times New Roman"/>
              </w:rPr>
            </w:pPr>
          </w:p>
        </w:tc>
        <w:tc>
          <w:tcPr>
            <w:tcW w:w="1276" w:type="dxa"/>
            <w:vMerge w:val="continue"/>
            <w:vAlign w:val="center"/>
          </w:tcPr>
          <w:p>
            <w:pPr>
              <w:spacing w:line="300" w:lineRule="exact"/>
              <w:jc w:val="left"/>
              <w:outlineLvl w:val="0"/>
              <w:rPr>
                <w:rFonts w:ascii="Times New Roman" w:hAnsi="Times New Roman" w:cs="Times New Roman"/>
              </w:rPr>
            </w:pPr>
          </w:p>
        </w:tc>
        <w:tc>
          <w:tcPr>
            <w:tcW w:w="2902" w:type="dxa"/>
            <w:vMerge w:val="continue"/>
            <w:vAlign w:val="center"/>
          </w:tcPr>
          <w:p>
            <w:pPr>
              <w:spacing w:line="300" w:lineRule="exact"/>
              <w:jc w:val="left"/>
              <w:outlineLvl w:val="0"/>
              <w:rPr>
                <w:rFonts w:ascii="Times New Roman" w:hAnsi="Times New Roman" w:cs="Times New Roman"/>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rPr>
            </w:pPr>
            <w:r>
              <w:rPr>
                <w:rFonts w:hint="eastAsia" w:ascii="方正书宋_GBK" w:eastAsia="方正书宋_GBK" w:cs="方正书宋_GBK"/>
              </w:rPr>
              <w:t>无极县工商业联合会</w:t>
            </w:r>
          </w:p>
        </w:tc>
        <w:tc>
          <w:tcPr>
            <w:tcW w:w="1134"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行政</w:t>
            </w:r>
          </w:p>
        </w:tc>
        <w:tc>
          <w:tcPr>
            <w:tcW w:w="1276"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正科级</w:t>
            </w:r>
          </w:p>
        </w:tc>
        <w:tc>
          <w:tcPr>
            <w:tcW w:w="2902" w:type="dxa"/>
            <w:vAlign w:val="center"/>
          </w:tcPr>
          <w:p>
            <w:pPr>
              <w:spacing w:line="300" w:lineRule="exact"/>
              <w:jc w:val="center"/>
              <w:rPr>
                <w:rFonts w:ascii="Times New Roman" w:hAnsi="Times New Roman" w:eastAsia="方正书宋_GBK" w:cs="Times New Roman"/>
              </w:rPr>
            </w:pPr>
            <w:r>
              <w:rPr>
                <w:rFonts w:hint="eastAsia" w:ascii="方正书宋_GBK" w:eastAsia="方正书宋_GBK" w:cs="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方正书宋_GBK" w:eastAsia="方正书宋_GBK" w:cs="方正书宋_GBK"/>
              </w:rPr>
            </w:pPr>
            <w:r>
              <w:rPr>
                <w:rFonts w:hint="eastAsia" w:ascii="方正书宋_GBK" w:eastAsia="方正书宋_GBK" w:cs="方正书宋_GBK"/>
              </w:rPr>
              <w:t>无极县工商业联合会办公室</w:t>
            </w:r>
          </w:p>
        </w:tc>
        <w:tc>
          <w:tcPr>
            <w:tcW w:w="1134"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行政</w:t>
            </w:r>
          </w:p>
        </w:tc>
        <w:tc>
          <w:tcPr>
            <w:tcW w:w="1276"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股级</w:t>
            </w:r>
          </w:p>
        </w:tc>
        <w:tc>
          <w:tcPr>
            <w:tcW w:w="2902" w:type="dxa"/>
            <w:vAlign w:val="center"/>
          </w:tcPr>
          <w:p>
            <w:pPr>
              <w:spacing w:line="300" w:lineRule="exact"/>
              <w:jc w:val="center"/>
              <w:rPr>
                <w:rFonts w:ascii="方正书宋_GBK" w:eastAsia="方正书宋_GBK" w:cs="方正书宋_GBK"/>
              </w:rPr>
            </w:pPr>
            <w:r>
              <w:rPr>
                <w:rFonts w:hint="eastAsia" w:ascii="方正书宋_GBK" w:eastAsia="方正书宋_GBK" w:cs="方正书宋_GBK"/>
              </w:rPr>
              <w:t>财政拨款</w:t>
            </w:r>
          </w:p>
        </w:tc>
      </w:tr>
    </w:tbl>
    <w:p>
      <w:pPr>
        <w:rPr>
          <w:rFonts w:cs="Times New Roman"/>
        </w:rPr>
      </w:pPr>
    </w:p>
    <w:p>
      <w:pPr>
        <w:ind w:firstLine="640"/>
        <w:rPr>
          <w:rFonts w:ascii="黑体" w:hAnsi="黑体" w:eastAsia="黑体" w:cs="Times New Roman"/>
          <w:sz w:val="32"/>
          <w:szCs w:val="32"/>
        </w:rPr>
      </w:pPr>
      <w:r>
        <w:rPr>
          <w:rFonts w:hint="eastAsia" w:ascii="黑体" w:hAnsi="黑体" w:eastAsia="黑体" w:cs="黑体"/>
          <w:sz w:val="32"/>
          <w:szCs w:val="32"/>
        </w:rPr>
        <w:t>二、部门预算安排的总体情况</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按照预算管理有关规定，目前我单位部门预算的编制实行综合预算管理，即全部收入和支出都反映的预算中。</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反映本部门当年全部收入。</w:t>
      </w:r>
      <w:r>
        <w:rPr>
          <w:rFonts w:ascii="Times New Roman" w:hAnsi="Times New Roman" w:eastAsia="仿宋" w:cs="Times New Roman"/>
          <w:sz w:val="32"/>
          <w:szCs w:val="32"/>
        </w:rPr>
        <w:t>2020</w:t>
      </w:r>
      <w:r>
        <w:rPr>
          <w:rFonts w:hint="eastAsia" w:ascii="Times New Roman" w:hAnsi="Times New Roman" w:eastAsia="仿宋" w:cs="仿宋"/>
          <w:sz w:val="32"/>
          <w:szCs w:val="32"/>
        </w:rPr>
        <w:t>年预算收入57.71万元，其中：一般公共预算收入57.71万元，基金预算收入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万元，财政专户核拨收入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万元，其他来源收入</w:t>
      </w:r>
      <w:r>
        <w:rPr>
          <w:rFonts w:ascii="Times New Roman" w:hAnsi="Times New Roman" w:eastAsia="仿宋" w:cs="Times New Roman"/>
          <w:sz w:val="32"/>
          <w:szCs w:val="32"/>
        </w:rPr>
        <w:t>0</w:t>
      </w:r>
      <w:r>
        <w:rPr>
          <w:rFonts w:hint="eastAsia" w:ascii="Times New Roman" w:hAnsi="Times New Roman" w:eastAsia="仿宋" w:cs="仿宋"/>
          <w:sz w:val="32"/>
          <w:szCs w:val="32"/>
        </w:rPr>
        <w:t>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仿宋"/>
          <w:sz w:val="32"/>
          <w:szCs w:val="32"/>
        </w:rPr>
        <w:t>收支预算总表支出栏、基本支出表、项目支出表按经济分类和支出功能分类科目编制，反映河无极县工商业联合会年度部门预算中支出预算的总体情况。</w:t>
      </w:r>
      <w:r>
        <w:rPr>
          <w:rFonts w:ascii="Times New Roman" w:hAnsi="Times New Roman" w:eastAsia="仿宋" w:cs="Times New Roman"/>
          <w:sz w:val="32"/>
          <w:szCs w:val="32"/>
        </w:rPr>
        <w:t>2020</w:t>
      </w:r>
      <w:r>
        <w:rPr>
          <w:rFonts w:hint="eastAsia" w:ascii="Times New Roman" w:hAnsi="Times New Roman" w:eastAsia="仿宋" w:cs="仿宋"/>
          <w:sz w:val="32"/>
          <w:szCs w:val="32"/>
        </w:rPr>
        <w:t>年部门支出预算为57.71万元，其中基本支出57.71万元，包括人员经费51.03万元和日常公用经费</w:t>
      </w:r>
      <w:r>
        <w:rPr>
          <w:rFonts w:hint="eastAsia" w:ascii="Times New Roman" w:hAnsi="Times New Roman" w:eastAsia="仿宋" w:cs="Times New Roman"/>
          <w:sz w:val="32"/>
          <w:szCs w:val="32"/>
        </w:rPr>
        <w:t>6.68</w:t>
      </w:r>
      <w:r>
        <w:rPr>
          <w:rFonts w:hint="eastAsia" w:ascii="Times New Roman" w:hAnsi="Times New Roman" w:eastAsia="仿宋" w:cs="仿宋"/>
          <w:sz w:val="32"/>
          <w:szCs w:val="32"/>
        </w:rPr>
        <w:t>万元；项目支出0万元；其他支出0万元。</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、比上年增减情况</w:t>
      </w:r>
    </w:p>
    <w:p>
      <w:pPr>
        <w:ind w:firstLine="640"/>
        <w:rPr>
          <w:rFonts w:ascii="Times New Roman" w:hAnsi="Times New Roman" w:eastAsia="仿宋" w:cs="Times New Roman"/>
          <w:sz w:val="32"/>
          <w:szCs w:val="32"/>
        </w:rPr>
      </w:pPr>
      <w:r>
        <w:rPr>
          <w:rFonts w:ascii="Times New Roman" w:hAnsi="Times New Roman" w:eastAsia="仿宋" w:cs="Times New Roman"/>
          <w:color w:val="000000"/>
          <w:sz w:val="32"/>
          <w:szCs w:val="32"/>
        </w:rPr>
        <w:t>2020</w:t>
      </w:r>
      <w:r>
        <w:rPr>
          <w:rFonts w:hint="eastAsia" w:ascii="Times New Roman" w:hAnsi="Times New Roman" w:eastAsia="仿宋" w:cs="仿宋"/>
          <w:color w:val="000000"/>
          <w:sz w:val="32"/>
          <w:szCs w:val="32"/>
        </w:rPr>
        <w:t>年部门预算收支安排</w:t>
      </w:r>
      <w:r>
        <w:rPr>
          <w:rFonts w:hint="eastAsia" w:ascii="Times New Roman" w:hAnsi="Times New Roman" w:eastAsia="仿宋" w:cs="Times New Roman"/>
          <w:sz w:val="32"/>
          <w:szCs w:val="32"/>
        </w:rPr>
        <w:t>57.71</w:t>
      </w:r>
      <w:r>
        <w:rPr>
          <w:rFonts w:hint="eastAsia" w:ascii="Times New Roman" w:hAnsi="Times New Roman" w:eastAsia="仿宋" w:cs="仿宋"/>
          <w:color w:val="000000"/>
          <w:sz w:val="32"/>
          <w:szCs w:val="32"/>
        </w:rPr>
        <w:t>万元，其中基本支出57.71万元，</w:t>
      </w:r>
      <w:r>
        <w:rPr>
          <w:rFonts w:hint="eastAsia" w:ascii="Times New Roman" w:hAnsi="Times New Roman" w:eastAsia="仿宋" w:cs="仿宋"/>
          <w:sz w:val="32"/>
          <w:szCs w:val="32"/>
        </w:rPr>
        <w:t>包括人员经费51.03万元和日常公用经费6.68万元，较2019年增加4.6万元，原因是人员工资增加并增发了通讯补；其他支出无增减变化。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黑体"/>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年，我部门机关运行经费共计安排</w:t>
      </w:r>
      <w:r>
        <w:rPr>
          <w:rFonts w:hint="eastAsia" w:ascii="Times New Roman" w:hAnsi="Times New Roman" w:eastAsia="仿宋" w:cs="Times New Roman"/>
          <w:sz w:val="32"/>
          <w:szCs w:val="32"/>
        </w:rPr>
        <w:t>6.68</w:t>
      </w:r>
      <w:r>
        <w:rPr>
          <w:rFonts w:hint="eastAsia" w:ascii="Times New Roman" w:hAnsi="Times New Roman" w:eastAsia="仿宋" w:cs="仿宋"/>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四、财政拨款“三公”经费预算情况及增减变化原因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ascii="Times New Roman" w:hAnsi="Times New Roman" w:eastAsia="仿宋" w:cs="Times New Roman"/>
          <w:sz w:val="32"/>
          <w:szCs w:val="32"/>
        </w:rPr>
        <w:t>2020</w:t>
      </w:r>
      <w:r>
        <w:rPr>
          <w:rFonts w:hint="eastAsia" w:ascii="Times New Roman" w:hAnsi="Times New Roman" w:eastAsia="仿宋" w:cs="仿宋"/>
          <w:sz w:val="32"/>
          <w:szCs w:val="32"/>
        </w:rPr>
        <w:t>年，我部门财政拨款“三公”经费预算安排</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黑体"/>
          <w:sz w:val="32"/>
          <w:szCs w:val="32"/>
        </w:rPr>
        <w:t>五、预算绩效信息</w:t>
      </w:r>
    </w:p>
    <w:p>
      <w:pPr>
        <w:ind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方正仿宋_GBK" w:cs="方正仿宋_GBK"/>
          <w:b/>
          <w:bCs/>
          <w:sz w:val="32"/>
          <w:szCs w:val="32"/>
        </w:rPr>
        <w:t>第一部分部门整体绩效目标</w:t>
      </w:r>
    </w:p>
    <w:p>
      <w:pPr>
        <w:autoSpaceDE w:val="0"/>
        <w:autoSpaceDN w:val="0"/>
        <w:adjustRightInd w:val="0"/>
        <w:ind w:left="198" w:firstLine="640"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（一）总体绩效目标</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1" w:name="_Toc29484628"/>
      <w:r>
        <w:rPr>
          <w:rFonts w:hint="eastAsia" w:ascii="Times New Roman" w:hAnsi="Times New Roman" w:eastAsia="方正仿宋_GBK" w:cs="方正仿宋_GBK"/>
          <w:b/>
          <w:bCs/>
          <w:sz w:val="32"/>
          <w:szCs w:val="32"/>
        </w:rPr>
        <w:instrText xml:space="preserve">总体绩效目标</w:instrText>
      </w:r>
      <w:bookmarkEnd w:id="1"/>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autoSpaceDE w:val="0"/>
        <w:autoSpaceDN w:val="0"/>
        <w:adjustRightInd w:val="0"/>
        <w:ind w:left="198" w:firstLine="640" w:firstLineChars="200"/>
        <w:jc w:val="left"/>
        <w:rPr>
          <w:rFonts w:ascii="Times New Roman" w:hAnsi="Times New Roman" w:eastAsia="仿宋" w:cs="仿宋"/>
          <w:sz w:val="32"/>
          <w:szCs w:val="32"/>
        </w:rPr>
      </w:pPr>
      <w:r>
        <w:rPr>
          <w:rFonts w:hint="eastAsia" w:ascii="Times New Roman" w:hAnsi="Times New Roman" w:eastAsia="仿宋" w:cs="仿宋"/>
          <w:sz w:val="32"/>
          <w:szCs w:val="32"/>
        </w:rPr>
        <w:t>全面贯彻党的十九大精神，坚持以习近平新时代中国特色社会主义思想为统领，扎实推进县委县政府工作部署落地落实。认真履行工商联章程，努力做好会员各项服务工作。推进学习培训、商会交流和异地商会建设，积极参政议政和搭建企业融资平台，努力做好非公有制经济人士思想政治工作，全面促进我县非公有制经济健康发展。</w:t>
      </w:r>
    </w:p>
    <w:p>
      <w:pPr>
        <w:autoSpaceDE w:val="0"/>
        <w:autoSpaceDN w:val="0"/>
        <w:adjustRightInd w:val="0"/>
        <w:ind w:left="198" w:firstLine="640" w:firstLineChars="200"/>
        <w:jc w:val="left"/>
        <w:rPr>
          <w:rFonts w:ascii="Times New Roman" w:hAnsi="Times New Roman" w:eastAsia="方正仿宋_GBK" w:cs="Times New Roman"/>
          <w:b/>
          <w:bCs/>
          <w:sz w:val="32"/>
          <w:szCs w:val="32"/>
        </w:rPr>
      </w:pPr>
      <w:r>
        <w:rPr>
          <w:rFonts w:hint="eastAsia" w:ascii="Times New Roman" w:hAnsi="Times New Roman" w:eastAsia="方正仿宋_GBK" w:cs="方正仿宋_GBK"/>
          <w:b/>
          <w:bCs/>
          <w:sz w:val="32"/>
          <w:szCs w:val="32"/>
        </w:rPr>
        <w:t>（二）分项绩效目标</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2" w:name="_Toc29484629"/>
      <w:r>
        <w:rPr>
          <w:rFonts w:hint="eastAsia" w:ascii="Times New Roman" w:hAnsi="Times New Roman" w:eastAsia="方正仿宋_GBK" w:cs="方正仿宋_GBK"/>
          <w:b/>
          <w:bCs/>
          <w:sz w:val="32"/>
          <w:szCs w:val="32"/>
        </w:rPr>
        <w:instrText xml:space="preserve">分项绩效目标</w:instrText>
      </w:r>
      <w:bookmarkEnd w:id="2"/>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（一）履行工商联章程，做好各项服务工作，搞好交流培训。</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绩效目标：做好企业家教育学习培训会议工作，促进我县非公有制经济快速健康发展。</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绩效指标：推进学习培训、商会交流和异地商会建设，组织企业家培训3次，参训企业家≥90%。外出学习考察1次。</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（二）按照工商联章程做好常委会、执委会的召开，完成会议各项议程。</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绩效目标：搞好工商联班子建设，提升工商联影响力</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绩效指标：组织召开常委会两次、执委会一次，常委会参会人数≥90%，执委会参会人数≥95%，做到工商联班子健全，凝聚力和战斗力强，圆满完成上级工商联和县委下达的各项工作任务。</w:t>
      </w:r>
    </w:p>
    <w:p>
      <w:pPr>
        <w:numPr>
          <w:ilvl w:val="0"/>
          <w:numId w:val="1"/>
        </w:numPr>
        <w:autoSpaceDE w:val="0"/>
        <w:autoSpaceDN w:val="0"/>
        <w:adjustRightInd w:val="0"/>
        <w:ind w:left="198" w:firstLine="640" w:firstLineChars="200"/>
        <w:jc w:val="left"/>
        <w:rPr>
          <w:rFonts w:ascii="Times New Roman" w:hAnsi="Times New Roman" w:eastAsia="方正仿宋_GBK" w:cs="方正仿宋_GBK"/>
          <w:b/>
          <w:bCs/>
          <w:sz w:val="32"/>
          <w:szCs w:val="32"/>
        </w:rPr>
      </w:pPr>
      <w:r>
        <w:rPr>
          <w:rFonts w:hint="eastAsia" w:ascii="Times New Roman" w:hAnsi="Times New Roman" w:eastAsia="方正仿宋_GBK" w:cs="方正仿宋_GBK"/>
          <w:b/>
          <w:bCs/>
          <w:sz w:val="32"/>
          <w:szCs w:val="32"/>
        </w:rPr>
        <w:t>工作保障措施</w:t>
      </w:r>
      <w:r>
        <w:rPr>
          <w:rFonts w:ascii="Times New Roman" w:hAnsi="Times New Roman" w:eastAsia="方正仿宋_GBK" w:cs="方正仿宋_GBK"/>
          <w:b/>
          <w:bCs/>
          <w:sz w:val="32"/>
          <w:szCs w:val="32"/>
        </w:rPr>
        <w:fldChar w:fldCharType="begin"/>
      </w:r>
      <w:r>
        <w:rPr>
          <w:rFonts w:ascii="Times New Roman" w:hAnsi="Times New Roman" w:eastAsia="方正仿宋_GBK" w:cs="Times New Roman"/>
          <w:b/>
          <w:bCs/>
          <w:sz w:val="32"/>
          <w:szCs w:val="32"/>
        </w:rPr>
        <w:instrText xml:space="preserve">tc "</w:instrText>
      </w:r>
      <w:bookmarkStart w:id="3" w:name="_Toc29484630"/>
      <w:r>
        <w:rPr>
          <w:rFonts w:hint="eastAsia" w:ascii="Times New Roman" w:hAnsi="Times New Roman" w:eastAsia="方正仿宋_GBK" w:cs="方正仿宋_GBK"/>
          <w:b/>
          <w:bCs/>
          <w:sz w:val="32"/>
          <w:szCs w:val="32"/>
        </w:rPr>
        <w:instrText xml:space="preserve">工作保障措施</w:instrText>
      </w:r>
      <w:bookmarkEnd w:id="3"/>
      <w:r>
        <w:rPr>
          <w:rFonts w:ascii="Times New Roman" w:hAnsi="Times New Roman" w:eastAsia="方正仿宋_GBK" w:cs="Times New Roman"/>
          <w:b/>
          <w:bCs/>
          <w:sz w:val="32"/>
          <w:szCs w:val="32"/>
        </w:rPr>
        <w:instrText xml:space="preserve">" \f A \l 01</w:instrText>
      </w:r>
      <w:r>
        <w:rPr>
          <w:rFonts w:ascii="Times New Roman" w:hAnsi="Times New Roman" w:eastAsia="方正仿宋_GBK" w:cs="方正仿宋_GBK"/>
          <w:b/>
          <w:bCs/>
          <w:sz w:val="32"/>
          <w:szCs w:val="32"/>
        </w:rPr>
        <w:fldChar w:fldCharType="end"/>
      </w:r>
    </w:p>
    <w:p>
      <w:pPr>
        <w:autoSpaceDE w:val="0"/>
        <w:autoSpaceDN w:val="0"/>
        <w:adjustRightInd w:val="0"/>
        <w:ind w:left="420" w:leftChars="200"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1、积极引导，认真做好非公有制经济人士思想政治工作，参与新农村建设和社会公益事业。</w:t>
      </w:r>
    </w:p>
    <w:p>
      <w:pPr>
        <w:autoSpaceDE w:val="0"/>
        <w:autoSpaceDN w:val="0"/>
        <w:adjustRightInd w:val="0"/>
        <w:ind w:firstLine="960" w:firstLineChars="3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2、开拓思想，拓展商会组织网络，建立异地商会。</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 3、多措并举，通过理想信念主题教育、创建诚信企业、教育培训等活动，提高非公经济人士素质。</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 4、严格按照工商联章程开展工作，按时召开执委会、</w:t>
      </w:r>
      <w:r>
        <w:rPr>
          <w:rFonts w:hint="eastAsia" w:ascii="Times New Roman" w:hAnsi="Times New Roman" w:eastAsia="仿宋" w:cs="Times New Roman"/>
          <w:sz w:val="32"/>
          <w:szCs w:val="32"/>
          <w:lang w:eastAsia="zh-CN"/>
        </w:rPr>
        <w:t>常</w:t>
      </w:r>
      <w:r>
        <w:rPr>
          <w:rFonts w:hint="eastAsia" w:ascii="Times New Roman" w:hAnsi="Times New Roman" w:eastAsia="仿宋" w:cs="Times New Roman"/>
          <w:sz w:val="32"/>
          <w:szCs w:val="32"/>
        </w:rPr>
        <w:t>委会。</w:t>
      </w:r>
    </w:p>
    <w:p>
      <w:pPr>
        <w:ind w:firstLine="640" w:firstLineChars="200"/>
        <w:jc w:val="left"/>
        <w:rPr>
          <w:rFonts w:ascii="方正楷体_GBK" w:eastAsia="方正楷体_GBK"/>
          <w:b/>
          <w:sz w:val="32"/>
          <w:szCs w:val="32"/>
        </w:rPr>
      </w:pPr>
      <w:r>
        <w:rPr>
          <w:rFonts w:hint="eastAsia" w:ascii="方正楷体_GBK" w:eastAsia="方正楷体_GBK"/>
          <w:b/>
          <w:sz w:val="32"/>
          <w:szCs w:val="32"/>
        </w:rPr>
        <w:t>第二部分  专项资金绩效目标：</w:t>
      </w:r>
      <w:r>
        <w:rPr>
          <w:rFonts w:ascii="方正楷体_GBK" w:eastAsia="方正楷体_GBK"/>
          <w:b/>
          <w:sz w:val="32"/>
          <w:szCs w:val="32"/>
        </w:rPr>
        <w:t xml:space="preserve"> </w:t>
      </w:r>
    </w:p>
    <w:p>
      <w:pPr>
        <w:ind w:left="420"/>
        <w:jc w:val="left"/>
        <w:outlineLvl w:val="1"/>
        <w:rPr>
          <w:rFonts w:hint="eastAsia" w:ascii="黑体" w:hAnsi="黑体" w:eastAsia="仿宋"/>
          <w:szCs w:val="32"/>
          <w:lang w:eastAsia="zh-CN"/>
        </w:rPr>
      </w:pPr>
      <w:r>
        <w:rPr>
          <w:rFonts w:hint="eastAsia" w:ascii="Times New Roman" w:hAnsi="Times New Roman" w:eastAsia="仿宋" w:cs="Times New Roman"/>
          <w:sz w:val="32"/>
          <w:szCs w:val="32"/>
        </w:rPr>
        <w:t>本单位20</w:t>
      </w:r>
      <w:r>
        <w:rPr>
          <w:rFonts w:hint="eastAsia" w:ascii="Times New Roman" w:hAnsi="Times New Roman" w:eastAsia="仿宋" w:cs="Times New Roman"/>
          <w:sz w:val="32"/>
          <w:szCs w:val="32"/>
          <w:lang w:val="en-US" w:eastAsia="zh-CN"/>
        </w:rPr>
        <w:t>20</w:t>
      </w:r>
      <w:r>
        <w:rPr>
          <w:rFonts w:hint="eastAsia" w:ascii="Times New Roman" w:hAnsi="Times New Roman" w:eastAsia="仿宋" w:cs="Times New Roman"/>
          <w:sz w:val="32"/>
          <w:szCs w:val="32"/>
        </w:rPr>
        <w:t>年预算没有</w:t>
      </w:r>
      <w:r>
        <w:rPr>
          <w:rFonts w:hint="eastAsia" w:ascii="Times New Roman" w:hAnsi="Times New Roman" w:eastAsia="仿宋" w:cs="Times New Roman"/>
          <w:sz w:val="32"/>
          <w:szCs w:val="32"/>
          <w:lang w:eastAsia="zh-CN"/>
        </w:rPr>
        <w:t>专项资金</w:t>
      </w:r>
    </w:p>
    <w:p>
      <w:pPr>
        <w:ind w:firstLine="560"/>
        <w:rPr>
          <w:rFonts w:ascii="Times New Roman" w:hAnsi="Times New Roman" w:eastAsia="方正仿宋_GBK" w:cs="Times New Roman"/>
          <w:b/>
          <w:bCs/>
          <w:sz w:val="32"/>
          <w:szCs w:val="32"/>
        </w:rPr>
      </w:pPr>
      <w:r>
        <w:rPr>
          <w:rFonts w:hint="eastAsia" w:eastAsia="方正仿宋_GBK"/>
          <w:b/>
          <w:sz w:val="32"/>
          <w:szCs w:val="32"/>
        </w:rPr>
        <w:t>第三部分  预算项目绩效目标：</w:t>
      </w:r>
    </w:p>
    <w:p>
      <w:pPr>
        <w:ind w:left="420"/>
        <w:jc w:val="left"/>
        <w:outlineLvl w:val="1"/>
        <w:rPr>
          <w:rFonts w:ascii="Times New Roman" w:hAnsi="Times New Roman" w:eastAsia="仿宋" w:cs="Times New Roman"/>
          <w:sz w:val="32"/>
          <w:szCs w:val="32"/>
        </w:rPr>
      </w:pPr>
      <w:r>
        <w:rPr>
          <w:rFonts w:hint="eastAsia" w:ascii="Times New Roman" w:hAnsi="Times New Roman" w:eastAsia="仿宋" w:cs="Times New Roman"/>
          <w:sz w:val="32"/>
          <w:szCs w:val="32"/>
        </w:rPr>
        <w:t xml:space="preserve">  本单位2020年预算没有项目</w:t>
      </w:r>
    </w:p>
    <w:bookmarkEnd w:id="0"/>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六、政府采购预算情况</w:t>
      </w:r>
    </w:p>
    <w:p>
      <w:pPr>
        <w:autoSpaceDE w:val="0"/>
        <w:autoSpaceDN w:val="0"/>
        <w:adjustRightInd w:val="0"/>
        <w:ind w:firstLine="640" w:firstLineChars="200"/>
        <w:jc w:val="left"/>
        <w:rPr>
          <w:rFonts w:hint="eastAsia" w:ascii="Times New Roman" w:hAnsi="Times New Roman" w:eastAsia="仿宋" w:cs="仿宋"/>
          <w:sz w:val="32"/>
          <w:szCs w:val="32"/>
          <w:lang w:val="en-US" w:eastAsia="zh-CN"/>
        </w:rPr>
      </w:pPr>
      <w:bookmarkStart w:id="4" w:name="_Toc471398468"/>
      <w:r>
        <w:rPr>
          <w:rFonts w:ascii="Times New Roman" w:hAnsi="Times New Roman" w:eastAsia="仿宋" w:cs="Times New Roman"/>
          <w:sz w:val="32"/>
          <w:szCs w:val="32"/>
        </w:rPr>
        <w:t xml:space="preserve"> 2020</w:t>
      </w:r>
      <w:r>
        <w:rPr>
          <w:rFonts w:hint="eastAsia" w:ascii="Times New Roman" w:hAnsi="Times New Roman" w:eastAsia="仿宋" w:cs="仿宋"/>
          <w:sz w:val="32"/>
          <w:szCs w:val="32"/>
        </w:rPr>
        <w:t>年，我部门安排政府采购预算</w:t>
      </w:r>
      <w:r>
        <w:rPr>
          <w:rFonts w:hint="eastAsia" w:ascii="Times New Roman" w:hAnsi="Times New Roman" w:eastAsia="仿宋" w:cs="Times New Roman"/>
          <w:sz w:val="32"/>
          <w:szCs w:val="32"/>
        </w:rPr>
        <w:t>0</w:t>
      </w:r>
      <w:r>
        <w:rPr>
          <w:rFonts w:hint="eastAsia" w:ascii="Times New Roman" w:hAnsi="Times New Roman" w:eastAsia="仿宋" w:cs="仿宋"/>
          <w:sz w:val="32"/>
          <w:szCs w:val="32"/>
        </w:rPr>
        <w:t>万元。</w:t>
      </w:r>
      <w:bookmarkEnd w:id="4"/>
      <w:r>
        <w:rPr>
          <w:rFonts w:hint="eastAsia" w:ascii="Times New Roman" w:hAnsi="Times New Roman" w:eastAsia="仿宋" w:cs="仿宋"/>
          <w:sz w:val="32"/>
          <w:szCs w:val="32"/>
          <w:lang w:eastAsia="zh-CN"/>
        </w:rPr>
        <w:t>具体内容见下表</w:t>
      </w:r>
    </w:p>
    <w:p>
      <w:pPr>
        <w:jc w:val="center"/>
        <w:rPr>
          <w:rFonts w:hint="eastAsia" w:ascii="Times New Roman" w:hAnsi="宋体"/>
          <w:sz w:val="36"/>
        </w:rPr>
      </w:pPr>
      <w:r>
        <w:rPr>
          <w:rFonts w:hint="eastAsia" w:ascii="方正小标宋_GBK" w:eastAsia="方正小标宋_GBK"/>
          <w:sz w:val="36"/>
        </w:rPr>
        <w:t>部门政府采购预算</w:t>
      </w:r>
    </w:p>
    <w:tbl>
      <w:tblPr>
        <w:tblStyle w:val="7"/>
        <w:tblW w:w="15507"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84"/>
        <w:gridCol w:w="1134"/>
        <w:gridCol w:w="1531"/>
        <w:gridCol w:w="1531"/>
        <w:gridCol w:w="709"/>
        <w:gridCol w:w="907"/>
        <w:gridCol w:w="907"/>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8703" w:type="dxa"/>
            <w:gridSpan w:val="7"/>
            <w:tcBorders>
              <w:top w:val="single" w:color="FFFFFF" w:sz="6" w:space="0"/>
              <w:left w:val="single" w:color="FFFFFF" w:sz="6" w:space="0"/>
              <w:right w:val="single" w:color="FFFFFF" w:sz="6" w:space="0"/>
            </w:tcBorders>
            <w:noWrap w:val="0"/>
            <w:vAlign w:val="center"/>
          </w:tcPr>
          <w:p>
            <w:pPr>
              <w:spacing w:line="300" w:lineRule="exact"/>
              <w:jc w:val="left"/>
              <w:rPr>
                <w:rFonts w:ascii="方正小标宋_GBK" w:eastAsia="方正小标宋_GBK"/>
                <w:sz w:val="24"/>
              </w:rPr>
            </w:pPr>
            <w:r>
              <w:rPr>
                <w:rFonts w:ascii="方正小标宋_GBK" w:eastAsia="方正小标宋_GBK"/>
                <w:sz w:val="24"/>
              </w:rPr>
              <w:t>714</w:t>
            </w:r>
            <w:r>
              <w:rPr>
                <w:rFonts w:hint="eastAsia" w:ascii="方正小标宋_GBK" w:eastAsia="方正小标宋_GBK"/>
                <w:sz w:val="24"/>
              </w:rPr>
              <w:t>工商联</w:t>
            </w:r>
          </w:p>
        </w:tc>
        <w:tc>
          <w:tcPr>
            <w:tcW w:w="6804" w:type="dxa"/>
            <w:gridSpan w:val="6"/>
            <w:tcBorders>
              <w:top w:val="single" w:color="FFFFFF" w:sz="6" w:space="0"/>
              <w:left w:val="single" w:color="FFFFFF" w:sz="6" w:space="0"/>
              <w:right w:val="single" w:color="FFFFFF" w:sz="6" w:space="0"/>
            </w:tcBorders>
            <w:noWrap w:val="0"/>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3118" w:type="dxa"/>
            <w:gridSpan w:val="2"/>
            <w:noWrap w:val="0"/>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53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531"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709"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w:t>
            </w:r>
            <w:r>
              <w:rPr>
                <w:rFonts w:hint="eastAsia" w:ascii="方正书宋_GBK" w:eastAsia="方正书宋_GBK"/>
                <w:b/>
              </w:rPr>
              <w:t>单位</w:t>
            </w:r>
          </w:p>
        </w:tc>
        <w:tc>
          <w:tcPr>
            <w:tcW w:w="90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907" w:type="dxa"/>
            <w:vMerge w:val="restart"/>
            <w:noWrap w:val="0"/>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804" w:type="dxa"/>
            <w:gridSpan w:val="6"/>
            <w:noWrap w:val="0"/>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tblHeader/>
          <w:jc w:val="center"/>
        </w:trPr>
        <w:tc>
          <w:tcPr>
            <w:tcW w:w="1984" w:type="dxa"/>
            <w:noWrap w:val="0"/>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531" w:type="dxa"/>
            <w:vMerge w:val="continue"/>
            <w:noWrap w:val="0"/>
            <w:vAlign w:val="center"/>
          </w:tcPr>
          <w:p>
            <w:pPr>
              <w:spacing w:line="300" w:lineRule="exact"/>
              <w:jc w:val="left"/>
            </w:pPr>
          </w:p>
        </w:tc>
        <w:tc>
          <w:tcPr>
            <w:tcW w:w="1531" w:type="dxa"/>
            <w:vMerge w:val="continue"/>
            <w:noWrap w:val="0"/>
            <w:vAlign w:val="center"/>
          </w:tcPr>
          <w:p>
            <w:pPr>
              <w:spacing w:line="300" w:lineRule="exact"/>
              <w:jc w:val="left"/>
            </w:pPr>
          </w:p>
        </w:tc>
        <w:tc>
          <w:tcPr>
            <w:tcW w:w="709" w:type="dxa"/>
            <w:vMerge w:val="continue"/>
            <w:noWrap w:val="0"/>
            <w:vAlign w:val="center"/>
          </w:tcPr>
          <w:p>
            <w:pPr>
              <w:spacing w:line="300" w:lineRule="exact"/>
              <w:jc w:val="left"/>
            </w:pPr>
          </w:p>
        </w:tc>
        <w:tc>
          <w:tcPr>
            <w:tcW w:w="907" w:type="dxa"/>
            <w:vMerge w:val="continue"/>
            <w:noWrap w:val="0"/>
            <w:vAlign w:val="center"/>
          </w:tcPr>
          <w:p>
            <w:pPr>
              <w:spacing w:line="300" w:lineRule="exact"/>
              <w:jc w:val="left"/>
            </w:pPr>
          </w:p>
        </w:tc>
        <w:tc>
          <w:tcPr>
            <w:tcW w:w="907" w:type="dxa"/>
            <w:vMerge w:val="continue"/>
            <w:noWrap w:val="0"/>
            <w:vAlign w:val="center"/>
          </w:tcPr>
          <w:p>
            <w:pPr>
              <w:spacing w:line="300" w:lineRule="exact"/>
              <w:jc w:val="left"/>
            </w:pP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1134" w:type="dxa"/>
            <w:noWrap w:val="0"/>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984" w:type="dxa"/>
            <w:noWrap w:val="0"/>
            <w:vAlign w:val="center"/>
          </w:tcPr>
          <w:p>
            <w:pPr>
              <w:spacing w:line="300" w:lineRule="exact"/>
              <w:jc w:val="center"/>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531" w:type="dxa"/>
            <w:noWrap w:val="0"/>
            <w:vAlign w:val="center"/>
          </w:tcPr>
          <w:p>
            <w:pPr>
              <w:spacing w:line="300" w:lineRule="exact"/>
              <w:jc w:val="left"/>
              <w:rPr>
                <w:rFonts w:ascii="方正书宋_GBK" w:eastAsia="方正书宋_GBK"/>
                <w:b/>
              </w:rPr>
            </w:pPr>
          </w:p>
        </w:tc>
        <w:tc>
          <w:tcPr>
            <w:tcW w:w="1531" w:type="dxa"/>
            <w:noWrap w:val="0"/>
            <w:vAlign w:val="center"/>
          </w:tcPr>
          <w:p>
            <w:pPr>
              <w:spacing w:line="300" w:lineRule="exact"/>
              <w:jc w:val="left"/>
              <w:rPr>
                <w:rFonts w:ascii="方正书宋_GBK" w:eastAsia="方正书宋_GBK"/>
                <w:b/>
              </w:rPr>
            </w:pPr>
          </w:p>
        </w:tc>
        <w:tc>
          <w:tcPr>
            <w:tcW w:w="709" w:type="dxa"/>
            <w:noWrap w:val="0"/>
            <w:vAlign w:val="center"/>
          </w:tcPr>
          <w:p>
            <w:pPr>
              <w:spacing w:line="300" w:lineRule="exact"/>
              <w:jc w:val="center"/>
              <w:rPr>
                <w:rFonts w:ascii="方正书宋_GBK" w:eastAsia="方正书宋_GBK"/>
                <w:b/>
              </w:rPr>
            </w:pPr>
          </w:p>
        </w:tc>
        <w:tc>
          <w:tcPr>
            <w:tcW w:w="907" w:type="dxa"/>
            <w:noWrap w:val="0"/>
            <w:vAlign w:val="center"/>
          </w:tcPr>
          <w:p>
            <w:pPr>
              <w:spacing w:line="300" w:lineRule="exact"/>
              <w:jc w:val="right"/>
              <w:rPr>
                <w:rFonts w:ascii="方正书宋_GBK" w:eastAsia="方正书宋_GBK"/>
                <w:b/>
              </w:rPr>
            </w:pPr>
          </w:p>
        </w:tc>
        <w:tc>
          <w:tcPr>
            <w:tcW w:w="907"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c>
          <w:tcPr>
            <w:tcW w:w="1134" w:type="dxa"/>
            <w:noWrap w:val="0"/>
            <w:vAlign w:val="center"/>
          </w:tcPr>
          <w:p>
            <w:pPr>
              <w:spacing w:line="300" w:lineRule="exact"/>
              <w:jc w:val="right"/>
              <w:rPr>
                <w:rFonts w:ascii="方正书宋_GBK" w:eastAsia="方正书宋_GBK"/>
                <w:b/>
              </w:rPr>
            </w:pPr>
          </w:p>
        </w:tc>
      </w:tr>
    </w:tbl>
    <w:p>
      <w:pPr>
        <w:ind w:firstLine="640" w:firstLineChars="200"/>
        <w:jc w:val="left"/>
        <w:rPr>
          <w:rFonts w:hint="eastAsia" w:ascii="Times New Roman" w:hAnsi="Times New Roman" w:eastAsia="仿宋" w:cs="仿宋"/>
          <w:sz w:val="32"/>
          <w:szCs w:val="32"/>
        </w:rPr>
      </w:pPr>
      <w:r>
        <w:rPr>
          <w:rFonts w:hint="eastAsia" w:ascii="仿宋" w:hAnsi="仿宋" w:eastAsia="仿宋" w:cs="仿宋"/>
          <w:sz w:val="32"/>
          <w:szCs w:val="32"/>
        </w:rPr>
        <w:t>注：无政府采购预算，空表列示。</w:t>
      </w: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七、国有资产信息</w:t>
      </w:r>
    </w:p>
    <w:p>
      <w:pPr>
        <w:ind w:firstLine="640"/>
        <w:rPr>
          <w:rFonts w:ascii="Times New Roman" w:hAnsi="Times New Roman" w:eastAsia="仿宋" w:cs="Times New Roman"/>
          <w:color w:val="000000"/>
          <w:sz w:val="32"/>
          <w:szCs w:val="32"/>
        </w:rPr>
      </w:pPr>
      <w:r>
        <w:rPr>
          <w:rFonts w:hint="eastAsia" w:ascii="Times New Roman" w:hAnsi="Times New Roman" w:eastAsia="仿宋" w:cs="仿宋"/>
          <w:color w:val="000000"/>
          <w:sz w:val="32"/>
          <w:szCs w:val="32"/>
        </w:rPr>
        <w:t>无极县工商业联合会</w:t>
      </w:r>
      <w:r>
        <w:rPr>
          <w:rFonts w:ascii="Times New Roman" w:hAnsi="Times New Roman" w:eastAsia="仿宋" w:cs="Times New Roman"/>
          <w:color w:val="000000"/>
          <w:sz w:val="32"/>
          <w:szCs w:val="32"/>
        </w:rPr>
        <w:t>2019</w:t>
      </w:r>
      <w:r>
        <w:rPr>
          <w:rFonts w:hint="eastAsia" w:ascii="Times New Roman" w:hAnsi="Times New Roman" w:eastAsia="仿宋" w:cs="仿宋"/>
          <w:color w:val="000000"/>
          <w:sz w:val="32"/>
          <w:szCs w:val="32"/>
        </w:rPr>
        <w:t>年末固定资产金额为</w:t>
      </w:r>
      <w:r>
        <w:rPr>
          <w:rFonts w:hint="eastAsia" w:ascii="Times New Roman" w:hAnsi="Times New Roman" w:eastAsia="仿宋" w:cs="Times New Roman"/>
          <w:color w:val="000000"/>
          <w:sz w:val="32"/>
          <w:szCs w:val="32"/>
        </w:rPr>
        <w:t>2.6058</w:t>
      </w:r>
      <w:r>
        <w:rPr>
          <w:rFonts w:hint="eastAsia" w:ascii="Times New Roman" w:hAnsi="Times New Roman" w:eastAsia="仿宋" w:cs="仿宋"/>
          <w:color w:val="000000"/>
          <w:sz w:val="32"/>
          <w:szCs w:val="32"/>
        </w:rPr>
        <w:t>万元（详见下表），本年度本单位（处室）不计划购置固定资产。</w:t>
      </w:r>
    </w:p>
    <w:tbl>
      <w:tblPr>
        <w:tblStyle w:val="7"/>
        <w:tblW w:w="13482" w:type="dxa"/>
        <w:tblInd w:w="-106" w:type="dxa"/>
        <w:tblLayout w:type="fixed"/>
        <w:tblCellMar>
          <w:top w:w="0" w:type="dxa"/>
          <w:left w:w="108" w:type="dxa"/>
          <w:bottom w:w="0" w:type="dxa"/>
          <w:right w:w="108" w:type="dxa"/>
        </w:tblCellMar>
      </w:tblPr>
      <w:tblGrid>
        <w:gridCol w:w="5224"/>
        <w:gridCol w:w="3155"/>
        <w:gridCol w:w="5103"/>
      </w:tblGrid>
      <w:tr>
        <w:tblPrEx>
          <w:tblCellMar>
            <w:top w:w="0" w:type="dxa"/>
            <w:left w:w="108" w:type="dxa"/>
            <w:bottom w:w="0" w:type="dxa"/>
            <w:right w:w="108" w:type="dxa"/>
          </w:tblCellMar>
        </w:tblPrEx>
        <w:trPr>
          <w:trHeight w:val="705" w:hRule="atLeast"/>
        </w:trPr>
        <w:tc>
          <w:tcPr>
            <w:tcW w:w="13482" w:type="dxa"/>
            <w:gridSpan w:val="3"/>
            <w:tcBorders>
              <w:top w:val="nil"/>
              <w:left w:val="nil"/>
              <w:bottom w:val="nil"/>
              <w:right w:val="nil"/>
            </w:tcBorders>
            <w:vAlign w:val="center"/>
          </w:tcPr>
          <w:p>
            <w:pPr>
              <w:widowControl/>
              <w:jc w:val="center"/>
              <w:rPr>
                <w:rFonts w:ascii="宋体" w:cs="Times New Roman"/>
                <w:b/>
                <w:bCs/>
                <w:kern w:val="0"/>
                <w:sz w:val="32"/>
                <w:szCs w:val="32"/>
              </w:rPr>
            </w:pPr>
            <w:r>
              <w:rPr>
                <w:rFonts w:hint="eastAsia" w:ascii="宋体" w:hAnsi="宋体" w:cs="宋体"/>
                <w:b/>
                <w:bCs/>
                <w:kern w:val="0"/>
                <w:sz w:val="32"/>
                <w:szCs w:val="32"/>
              </w:rPr>
              <w:t>无极县县直部门固定资产占用情况表</w:t>
            </w: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编制部门：无极县工商业联合会</w:t>
            </w:r>
          </w:p>
        </w:tc>
        <w:tc>
          <w:tcPr>
            <w:tcW w:w="5103" w:type="dxa"/>
            <w:tcBorders>
              <w:top w:val="nil"/>
              <w:left w:val="nil"/>
              <w:bottom w:val="nil"/>
              <w:right w:val="nil"/>
            </w:tcBorders>
            <w:vAlign w:val="center"/>
          </w:tcPr>
          <w:p>
            <w:pPr>
              <w:widowControl/>
              <w:ind w:firstLine="1320" w:firstLineChars="600"/>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截止时间：</w:t>
            </w:r>
            <w:r>
              <w:rPr>
                <w:rFonts w:ascii="Times New Roman" w:hAnsi="Times New Roman" w:eastAsia="仿宋" w:cs="Times New Roman"/>
                <w:kern w:val="0"/>
                <w:sz w:val="22"/>
                <w:szCs w:val="22"/>
              </w:rPr>
              <w:t>2019</w:t>
            </w:r>
            <w:r>
              <w:rPr>
                <w:rFonts w:hint="eastAsia" w:ascii="Times New Roman" w:hAnsi="Times New Roman" w:eastAsia="仿宋" w:cs="仿宋"/>
                <w:kern w:val="0"/>
                <w:sz w:val="22"/>
                <w:szCs w:val="22"/>
              </w:rPr>
              <w:t>年</w:t>
            </w:r>
            <w:r>
              <w:rPr>
                <w:rFonts w:ascii="Times New Roman" w:hAnsi="Times New Roman" w:eastAsia="仿宋" w:cs="Times New Roman"/>
                <w:kern w:val="0"/>
                <w:sz w:val="22"/>
                <w:szCs w:val="22"/>
              </w:rPr>
              <w:t>12</w:t>
            </w:r>
            <w:r>
              <w:rPr>
                <w:rFonts w:hint="eastAsia" w:ascii="Times New Roman" w:hAnsi="Times New Roman" w:eastAsia="仿宋" w:cs="仿宋"/>
                <w:kern w:val="0"/>
                <w:sz w:val="22"/>
                <w:szCs w:val="22"/>
              </w:rPr>
              <w:t>月</w:t>
            </w:r>
            <w:r>
              <w:rPr>
                <w:rFonts w:ascii="Times New Roman" w:hAnsi="Times New Roman" w:eastAsia="仿宋" w:cs="Times New Roman"/>
                <w:kern w:val="0"/>
                <w:sz w:val="22"/>
                <w:szCs w:val="22"/>
              </w:rPr>
              <w:t>31</w:t>
            </w:r>
            <w:r>
              <w:rPr>
                <w:rFonts w:hint="eastAsia" w:ascii="Times New Roman" w:hAnsi="Times New Roman" w:eastAsia="仿宋" w:cs="仿宋"/>
                <w:kern w:val="0"/>
                <w:sz w:val="22"/>
                <w:szCs w:val="22"/>
              </w:rPr>
              <w:t>日</w:t>
            </w:r>
          </w:p>
        </w:tc>
      </w:tr>
      <w:tr>
        <w:tblPrEx>
          <w:tblCellMar>
            <w:top w:w="0" w:type="dxa"/>
            <w:left w:w="108" w:type="dxa"/>
            <w:bottom w:w="0" w:type="dxa"/>
            <w:right w:w="108" w:type="dxa"/>
          </w:tblCellMar>
        </w:tblPrEx>
        <w:trPr>
          <w:trHeight w:val="645" w:hRule="atLeast"/>
        </w:trPr>
        <w:tc>
          <w:tcPr>
            <w:tcW w:w="5224"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项目</w:t>
            </w:r>
          </w:p>
        </w:tc>
        <w:tc>
          <w:tcPr>
            <w:tcW w:w="3155"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数量</w:t>
            </w:r>
          </w:p>
        </w:tc>
        <w:tc>
          <w:tcPr>
            <w:tcW w:w="5103" w:type="dxa"/>
            <w:tcBorders>
              <w:top w:val="single" w:color="auto" w:sz="4" w:space="0"/>
              <w:left w:val="nil"/>
              <w:bottom w:val="single" w:color="auto" w:sz="4" w:space="0"/>
              <w:right w:val="single" w:color="auto" w:sz="4" w:space="0"/>
            </w:tcBorders>
            <w:vAlign w:val="center"/>
          </w:tcPr>
          <w:p>
            <w:pPr>
              <w:widowControl/>
              <w:jc w:val="center"/>
              <w:rPr>
                <w:rFonts w:ascii="宋体" w:cs="Times New Roman"/>
                <w:b/>
                <w:bCs/>
                <w:kern w:val="0"/>
                <w:sz w:val="22"/>
                <w:szCs w:val="22"/>
              </w:rPr>
            </w:pPr>
            <w:r>
              <w:rPr>
                <w:rFonts w:hint="eastAsia" w:ascii="宋体" w:hAnsi="宋体" w:cs="宋体"/>
                <w:b/>
                <w:bCs/>
                <w:kern w:val="0"/>
                <w:sz w:val="22"/>
                <w:szCs w:val="2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资产总额</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color w:val="FF0000"/>
                <w:kern w:val="0"/>
                <w:sz w:val="22"/>
                <w:szCs w:val="22"/>
              </w:rPr>
            </w:pPr>
            <w:r>
              <w:rPr>
                <w:rFonts w:hint="eastAsia" w:ascii="Times New Roman" w:hAnsi="Times New Roman" w:eastAsia="仿宋" w:cs="Times New Roman"/>
                <w:color w:val="000000"/>
                <w:kern w:val="0"/>
                <w:sz w:val="22"/>
                <w:szCs w:val="22"/>
              </w:rPr>
              <w:t>2.6058</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1、房屋（平方米）</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nil"/>
              <w:right w:val="single" w:color="auto" w:sz="4" w:space="0"/>
            </w:tcBorders>
            <w:vAlign w:val="center"/>
          </w:tcPr>
          <w:p>
            <w:pPr>
              <w:widowControl/>
              <w:jc w:val="left"/>
              <w:rPr>
                <w:rFonts w:ascii="Times New Roman" w:hAnsi="Times New Roman" w:eastAsia="仿宋" w:cs="Times New Roman"/>
                <w:kern w:val="0"/>
                <w:sz w:val="22"/>
                <w:szCs w:val="22"/>
              </w:rPr>
            </w:pPr>
            <w:r>
              <w:rPr>
                <w:rFonts w:hint="eastAsia" w:ascii="Times New Roman" w:hAnsi="Times New Roman" w:eastAsia="仿宋" w:cs="仿宋"/>
                <w:kern w:val="0"/>
                <w:sz w:val="22"/>
                <w:szCs w:val="22"/>
              </w:rPr>
              <w:t>其中：办公用房（平方米）</w:t>
            </w:r>
          </w:p>
        </w:tc>
        <w:tc>
          <w:tcPr>
            <w:tcW w:w="3155" w:type="dxa"/>
            <w:tcBorders>
              <w:top w:val="nil"/>
              <w:left w:val="nil"/>
              <w:bottom w:val="nil"/>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w:t>
            </w:r>
          </w:p>
        </w:tc>
        <w:tc>
          <w:tcPr>
            <w:tcW w:w="5103" w:type="dxa"/>
            <w:tcBorders>
              <w:top w:val="nil"/>
              <w:left w:val="nil"/>
              <w:bottom w:val="nil"/>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nil"/>
              <w:right w:val="single" w:color="auto" w:sz="4" w:space="0"/>
            </w:tcBorders>
            <w:vAlign w:val="center"/>
          </w:tcPr>
          <w:p>
            <w:pPr>
              <w:widowControl/>
              <w:jc w:val="left"/>
              <w:rPr>
                <w:rFonts w:ascii="Times New Roman" w:hAnsi="Times New Roman" w:eastAsia="仿宋" w:cs="仿宋"/>
                <w:kern w:val="0"/>
                <w:sz w:val="22"/>
                <w:szCs w:val="22"/>
              </w:rPr>
            </w:pPr>
            <w:r>
              <w:rPr>
                <w:rFonts w:hint="eastAsia" w:ascii="Times New Roman" w:hAnsi="Times New Roman" w:eastAsia="仿宋" w:cs="仿宋"/>
                <w:kern w:val="0"/>
                <w:sz w:val="22"/>
                <w:szCs w:val="22"/>
              </w:rPr>
              <w:t>2、车辆（台、辆）</w:t>
            </w:r>
          </w:p>
        </w:tc>
        <w:tc>
          <w:tcPr>
            <w:tcW w:w="3155" w:type="dxa"/>
            <w:tcBorders>
              <w:top w:val="nil"/>
              <w:left w:val="nil"/>
              <w:bottom w:val="nil"/>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w:t>
            </w:r>
          </w:p>
        </w:tc>
        <w:tc>
          <w:tcPr>
            <w:tcW w:w="5103" w:type="dxa"/>
            <w:tcBorders>
              <w:top w:val="nil"/>
              <w:left w:val="nil"/>
              <w:bottom w:val="nil"/>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nil"/>
              <w:right w:val="single" w:color="auto" w:sz="4" w:space="0"/>
            </w:tcBorders>
            <w:vAlign w:val="center"/>
          </w:tcPr>
          <w:p>
            <w:pPr>
              <w:widowControl/>
              <w:jc w:val="left"/>
              <w:rPr>
                <w:rFonts w:ascii="Times New Roman" w:hAnsi="Times New Roman" w:eastAsia="仿宋" w:cs="仿宋"/>
                <w:kern w:val="0"/>
                <w:sz w:val="22"/>
                <w:szCs w:val="22"/>
              </w:rPr>
            </w:pPr>
            <w:r>
              <w:rPr>
                <w:rFonts w:hint="eastAsia" w:ascii="Times New Roman" w:hAnsi="Times New Roman" w:eastAsia="仿宋" w:cs="仿宋"/>
                <w:kern w:val="0"/>
                <w:sz w:val="22"/>
                <w:szCs w:val="22"/>
              </w:rPr>
              <w:t>3、单价在20万元以上设备</w:t>
            </w:r>
          </w:p>
        </w:tc>
        <w:tc>
          <w:tcPr>
            <w:tcW w:w="3155" w:type="dxa"/>
            <w:tcBorders>
              <w:top w:val="nil"/>
              <w:left w:val="nil"/>
              <w:bottom w:val="nil"/>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w:t>
            </w:r>
          </w:p>
        </w:tc>
        <w:tc>
          <w:tcPr>
            <w:tcW w:w="5103" w:type="dxa"/>
            <w:tcBorders>
              <w:top w:val="nil"/>
              <w:left w:val="nil"/>
              <w:bottom w:val="nil"/>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w:t>
            </w:r>
          </w:p>
        </w:tc>
      </w:tr>
      <w:tr>
        <w:tblPrEx>
          <w:tblCellMar>
            <w:top w:w="0" w:type="dxa"/>
            <w:left w:w="108" w:type="dxa"/>
            <w:bottom w:w="0" w:type="dxa"/>
            <w:right w:w="108" w:type="dxa"/>
          </w:tblCellMar>
        </w:tblPrEx>
        <w:trPr>
          <w:trHeight w:val="645" w:hRule="atLeast"/>
        </w:trPr>
        <w:tc>
          <w:tcPr>
            <w:tcW w:w="5224"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仿宋"/>
                <w:kern w:val="0"/>
                <w:sz w:val="22"/>
                <w:szCs w:val="22"/>
              </w:rPr>
            </w:pPr>
            <w:r>
              <w:rPr>
                <w:rFonts w:hint="eastAsia" w:ascii="Times New Roman" w:hAnsi="Times New Roman" w:eastAsia="仿宋" w:cs="仿宋"/>
                <w:kern w:val="0"/>
                <w:sz w:val="22"/>
                <w:szCs w:val="22"/>
              </w:rPr>
              <w:t>4、其他固定资产</w:t>
            </w:r>
          </w:p>
        </w:tc>
        <w:tc>
          <w:tcPr>
            <w:tcW w:w="3155"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w:t>
            </w:r>
          </w:p>
        </w:tc>
        <w:tc>
          <w:tcPr>
            <w:tcW w:w="5103"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szCs w:val="22"/>
              </w:rPr>
            </w:pPr>
            <w:r>
              <w:rPr>
                <w:rFonts w:hint="eastAsia" w:ascii="Times New Roman" w:hAnsi="Times New Roman" w:eastAsia="仿宋" w:cs="Times New Roman"/>
                <w:kern w:val="0"/>
                <w:sz w:val="22"/>
                <w:szCs w:val="22"/>
              </w:rPr>
              <w:t>2.6058</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黑体"/>
          <w:sz w:val="32"/>
          <w:szCs w:val="32"/>
        </w:rPr>
        <w:t>八、名词解释</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w:t>
      </w:r>
      <w:r>
        <w:rPr>
          <w:rFonts w:hint="eastAsia" w:ascii="Times New Roman" w:hAnsi="Times New Roman" w:eastAsia="仿宋" w:cs="仿宋"/>
          <w:sz w:val="32"/>
          <w:szCs w:val="32"/>
        </w:rPr>
        <w:t>、一般公共预算拨款收入：指</w:t>
      </w:r>
      <w:r>
        <w:rPr>
          <w:rFonts w:hint="eastAsia" w:ascii="Times New Roman" w:hAnsi="Times New Roman" w:eastAsia="仿宋" w:cs="仿宋"/>
          <w:sz w:val="32"/>
          <w:szCs w:val="32"/>
          <w:lang w:val="en-US" w:eastAsia="zh-CN"/>
        </w:rPr>
        <w:t>县</w:t>
      </w:r>
      <w:bookmarkStart w:id="5" w:name="_GoBack"/>
      <w:bookmarkEnd w:id="5"/>
      <w:r>
        <w:rPr>
          <w:rFonts w:hint="eastAsia" w:ascii="Times New Roman" w:hAnsi="Times New Roman" w:eastAsia="仿宋" w:cs="仿宋"/>
          <w:sz w:val="32"/>
          <w:szCs w:val="32"/>
        </w:rPr>
        <w:t>级财政当年拨付的资金。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2</w:t>
      </w:r>
      <w:r>
        <w:rPr>
          <w:rFonts w:hint="eastAsia" w:ascii="Times New Roman" w:hAnsi="Times New Roman" w:eastAsia="仿宋" w:cs="仿宋"/>
          <w:sz w:val="32"/>
          <w:szCs w:val="32"/>
        </w:rPr>
        <w:t>、事业收入：指事业单位开展专业业务活动及辅助活动所取得的收入。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3</w:t>
      </w:r>
      <w:r>
        <w:rPr>
          <w:rFonts w:hint="eastAsia" w:ascii="Times New Roman" w:hAnsi="Times New Roman" w:eastAsia="仿宋" w:cs="仿宋"/>
          <w:sz w:val="32"/>
          <w:szCs w:val="32"/>
        </w:rPr>
        <w:t>、其他收入：指除“一般公共预算拨款收入”、“事业收入”等以外的收入。主要是按规定动用的租房收入、存款利息收入等。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4</w:t>
      </w:r>
      <w:r>
        <w:rPr>
          <w:rFonts w:hint="eastAsia" w:ascii="Times New Roman" w:hAnsi="Times New Roman" w:eastAsia="仿宋" w:cs="仿宋"/>
          <w:sz w:val="32"/>
          <w:szCs w:val="32"/>
        </w:rPr>
        <w:t>、基本支出：指为保障机构正常运转、完成日常工作任务而发生的人员支出和公用支出。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5</w:t>
      </w:r>
      <w:r>
        <w:rPr>
          <w:rFonts w:hint="eastAsia" w:ascii="Times New Roman" w:hAnsi="Times New Roman" w:eastAsia="仿宋" w:cs="仿宋"/>
          <w:sz w:val="32"/>
          <w:szCs w:val="32"/>
        </w:rPr>
        <w:t>、项目支出：指在基本支出之外为完成特定行政任务和事业发展目标所发生的支出。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6</w:t>
      </w:r>
      <w:r>
        <w:rPr>
          <w:rFonts w:hint="eastAsia" w:ascii="Times New Roman" w:hAnsi="Times New Roman" w:eastAsia="仿宋" w:cs="仿宋"/>
          <w:sz w:val="32"/>
          <w:szCs w:val="32"/>
        </w:rPr>
        <w:t>、上缴上级支出：指下级单位上缴上级的支出。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7</w:t>
      </w:r>
      <w:r>
        <w:rPr>
          <w:rFonts w:hint="eastAsia" w:ascii="Times New Roman" w:hAnsi="Times New Roman" w:eastAsia="仿宋" w:cs="仿宋"/>
          <w:sz w:val="32"/>
          <w:szCs w:val="32"/>
        </w:rPr>
        <w:t>、“三公”经费：纳入省级财政预算管理的“三公”经费，是指省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8</w:t>
      </w:r>
      <w:r>
        <w:rPr>
          <w:rFonts w:hint="eastAsia" w:ascii="Times New Roman" w:hAnsi="Times New Roman" w:eastAsia="仿宋" w:cs="仿宋"/>
          <w:sz w:val="32"/>
          <w:szCs w:val="32"/>
        </w:rPr>
        <w:t>、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9</w:t>
      </w:r>
      <w:r>
        <w:rPr>
          <w:rFonts w:hint="eastAsia" w:ascii="Times New Roman" w:hAnsi="Times New Roman" w:eastAsia="仿宋" w:cs="仿宋"/>
          <w:sz w:val="32"/>
          <w:szCs w:val="32"/>
        </w:rPr>
        <w:t>、上年结转：指以前年度尚未完成、结转到本年仍按原规定用途继续使用的资金。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ascii="Times New Roman" w:hAnsi="Times New Roman" w:eastAsia="仿宋" w:cs="Times New Roman"/>
          <w:sz w:val="32"/>
          <w:szCs w:val="32"/>
        </w:rPr>
        <w:t>10</w:t>
      </w:r>
      <w:r>
        <w:rPr>
          <w:rFonts w:hint="eastAsia" w:ascii="Times New Roman" w:hAnsi="Times New Roman" w:eastAsia="仿宋" w:cs="仿宋"/>
          <w:sz w:val="32"/>
          <w:szCs w:val="32"/>
        </w:rPr>
        <w:t>、事业单位经营支出：指事业单位在专业业务活动及其辅助活动之外开展非独立核算经营活动发生的支出。</w:t>
      </w:r>
    </w:p>
    <w:p>
      <w:pPr>
        <w:autoSpaceDE w:val="0"/>
        <w:autoSpaceDN w:val="0"/>
        <w:adjustRightInd w:val="0"/>
        <w:ind w:firstLine="640" w:firstLineChars="200"/>
        <w:jc w:val="left"/>
        <w:rPr>
          <w:rFonts w:ascii="黑体" w:hAnsi="黑体" w:eastAsia="黑体" w:cs="黑体"/>
          <w:sz w:val="32"/>
          <w:szCs w:val="32"/>
        </w:rPr>
      </w:pPr>
      <w:r>
        <w:rPr>
          <w:rFonts w:hint="eastAsia" w:ascii="黑体" w:hAnsi="黑体" w:eastAsia="黑体" w:cs="黑体"/>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仿宋"/>
          <w:sz w:val="32"/>
          <w:szCs w:val="32"/>
        </w:rPr>
        <w:t>我部门无其他需要说明的事项。</w:t>
      </w:r>
    </w:p>
    <w:sectPr>
      <w:footerReference r:id="rId3"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ACF3C50" w:usb2="00000016" w:usb3="00000000" w:csb0="0004001F" w:csb1="00000000"/>
  </w:font>
  <w:font w:name="仿宋">
    <w:panose1 w:val="02010609060101010101"/>
    <w:charset w:val="86"/>
    <w:family w:val="modern"/>
    <w:pitch w:val="default"/>
    <w:sig w:usb0="800002BF" w:usb1="38CF7CFA" w:usb2="00000016" w:usb3="00000000" w:csb0="00040001" w:csb1="00000000"/>
  </w:font>
  <w:font w:name="方正书宋_GBK">
    <w:altName w:val="微软雅黑"/>
    <w:panose1 w:val="00000000000000000000"/>
    <w:charset w:val="86"/>
    <w:family w:val="script"/>
    <w:pitch w:val="default"/>
    <w:sig w:usb0="00000000" w:usb1="00000000" w:usb2="00000010" w:usb3="00000000" w:csb0="00040000" w:csb1="00000000"/>
  </w:font>
  <w:font w:name="方正仿宋_GBK">
    <w:altName w:val="微软雅黑"/>
    <w:panose1 w:val="00000000000000000000"/>
    <w:charset w:val="86"/>
    <w:family w:val="script"/>
    <w:pitch w:val="default"/>
    <w:sig w:usb0="00000000" w:usb1="00000000" w:usb2="00000010" w:usb3="00000000" w:csb0="00040000" w:csb1="00000000"/>
  </w:font>
  <w:font w:name="方正楷体_GBK">
    <w:altName w:val="微软雅黑"/>
    <w:panose1 w:val="00000000000000000000"/>
    <w:charset w:val="86"/>
    <w:family w:val="script"/>
    <w:pitch w:val="default"/>
    <w:sig w:usb0="00000000" w:usb1="00000000" w:usb2="0000001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4"/>
      </w:rPr>
    </w:pPr>
    <w:r>
      <w:rPr>
        <w:rStyle w:val="14"/>
      </w:rPr>
      <w:fldChar w:fldCharType="begin"/>
    </w:r>
    <w:r>
      <w:rPr>
        <w:rStyle w:val="14"/>
      </w:rPr>
      <w:instrText xml:space="preserve">PAGE  </w:instrText>
    </w:r>
    <w:r>
      <w:rPr>
        <w:rStyle w:val="14"/>
      </w:rPr>
      <w:fldChar w:fldCharType="separate"/>
    </w:r>
    <w:r>
      <w:rPr>
        <w:rStyle w:val="14"/>
      </w:rPr>
      <w:t>6</w:t>
    </w:r>
    <w:r>
      <w:rPr>
        <w:rStyle w:val="14"/>
      </w:rP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FC82CAC"/>
    <w:multiLevelType w:val="singleLevel"/>
    <w:tmpl w:val="0FC82CAC"/>
    <w:lvl w:ilvl="0" w:tentative="0">
      <w:start w:val="3"/>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oNotHyphenateCaps/>
  <w:drawingGridHorizontalSpacing w:val="105"/>
  <w:drawingGridVerticalSpacing w:val="156"/>
  <w:displayHorizontalDrawingGridEvery w:val="0"/>
  <w:displayVerticalDrawingGridEvery w:val="2"/>
  <w:characterSpacingControl w:val="compressPunctuation"/>
  <w:noLineBreaksAfter w:lang="zh-CN" w:val="$([{£¥·‘“〈《「『【〔〖〝﹙﹛﹝＄（．［｛￡￥"/>
  <w:noLineBreaksBefore w:lang="zh-CN" w:val="!%),.:;&gt;?]}¢¨°·ˇˉ―‖’”…‰′″›℃∶、。〃〉》」』】〕〗〞︶︺︾﹀﹄﹚﹜﹞！＂％＇），．：；？］｀｜｝～￠"/>
  <w:doNotValidateAgainstSchema/>
  <w:doNotDemarcateInvalidXml/>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EE71BA"/>
    <w:rsid w:val="000A4739"/>
    <w:rsid w:val="000C7140"/>
    <w:rsid w:val="001C6BBE"/>
    <w:rsid w:val="00274039"/>
    <w:rsid w:val="002D4B1E"/>
    <w:rsid w:val="002F70D2"/>
    <w:rsid w:val="00323B29"/>
    <w:rsid w:val="0039059E"/>
    <w:rsid w:val="003B52B7"/>
    <w:rsid w:val="005A4D55"/>
    <w:rsid w:val="007F0341"/>
    <w:rsid w:val="008744EF"/>
    <w:rsid w:val="00942EA6"/>
    <w:rsid w:val="009A24DF"/>
    <w:rsid w:val="009A521C"/>
    <w:rsid w:val="00CB6ECC"/>
    <w:rsid w:val="00D469AB"/>
    <w:rsid w:val="00D607DA"/>
    <w:rsid w:val="00DC6EE5"/>
    <w:rsid w:val="00EE71BA"/>
    <w:rsid w:val="00F07E83"/>
    <w:rsid w:val="00F2217E"/>
    <w:rsid w:val="00F867E4"/>
    <w:rsid w:val="00FE653D"/>
    <w:rsid w:val="00FF6A4E"/>
    <w:rsid w:val="03255F1A"/>
    <w:rsid w:val="056D17C0"/>
    <w:rsid w:val="05D57CBD"/>
    <w:rsid w:val="06F873F5"/>
    <w:rsid w:val="0E6D7052"/>
    <w:rsid w:val="14744A15"/>
    <w:rsid w:val="147A5CFB"/>
    <w:rsid w:val="16AC3E26"/>
    <w:rsid w:val="18910BDB"/>
    <w:rsid w:val="19114474"/>
    <w:rsid w:val="1D972420"/>
    <w:rsid w:val="246E0CB0"/>
    <w:rsid w:val="24EF7967"/>
    <w:rsid w:val="2BD6212A"/>
    <w:rsid w:val="2BDF3FFC"/>
    <w:rsid w:val="2F0E1E27"/>
    <w:rsid w:val="32FF734F"/>
    <w:rsid w:val="382E068B"/>
    <w:rsid w:val="3C591B70"/>
    <w:rsid w:val="3CE364C5"/>
    <w:rsid w:val="44F306F1"/>
    <w:rsid w:val="461F3A9C"/>
    <w:rsid w:val="49CC19D8"/>
    <w:rsid w:val="4A18305C"/>
    <w:rsid w:val="4BF01B36"/>
    <w:rsid w:val="4C187D52"/>
    <w:rsid w:val="4F0C55AD"/>
    <w:rsid w:val="51342613"/>
    <w:rsid w:val="522D40F4"/>
    <w:rsid w:val="54B61B6F"/>
    <w:rsid w:val="587A1A01"/>
    <w:rsid w:val="5AC22E14"/>
    <w:rsid w:val="61690177"/>
    <w:rsid w:val="65322565"/>
    <w:rsid w:val="6BD619C2"/>
    <w:rsid w:val="6F8B38FF"/>
    <w:rsid w:val="71BE6A4F"/>
    <w:rsid w:val="7584152E"/>
    <w:rsid w:val="75D15872"/>
    <w:rsid w:val="77215FCE"/>
    <w:rsid w:val="7E7062BA"/>
  </w:rsids>
  <m:mathPr>
    <m:mathFont m:val="Cambria Math"/>
    <m:brkBin m:val="before"/>
    <m:brkBinSub m:val="--"/>
    <m:smallFrac m:val="1"/>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ocked="1"/>
    <w:lsdException w:qFormat="1" w:uiPriority="0" w:name="heading 2" w:locked="1"/>
    <w:lsdException w:qFormat="1" w:uiPriority="0" w:name="heading 3" w:locked="1"/>
    <w:lsdException w:qFormat="1" w:uiPriority="0" w:name="heading 4" w:locked="1"/>
    <w:lsdException w:qFormat="1" w:uiPriority="0" w:name="heading 5" w:locked="1"/>
    <w:lsdException w:qFormat="1" w:uiPriority="0" w:name="heading 6" w:locked="1"/>
    <w:lsdException w:qFormat="1" w:uiPriority="0" w:name="heading 7" w:locked="1"/>
    <w:lsdException w:qFormat="1" w:uiPriority="0" w:name="heading 8" w:locked="1"/>
    <w:lsdException w:qFormat="1" w:uiPriority="0" w:name="heading 9" w:locked="1"/>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99" w:name="toc 1"/>
    <w:lsdException w:qFormat="1" w:unhideWhenUsed="0" w:uiPriority="99" w:name="toc 2"/>
    <w:lsdException w:unhideWhenUsed="0" w:uiPriority="0" w:semiHidden="0" w:name="toc 3" w:locked="1"/>
    <w:lsdException w:unhideWhenUsed="0" w:uiPriority="0" w:semiHidden="0" w:name="toc 4" w:locked="1"/>
    <w:lsdException w:unhideWhenUsed="0" w:uiPriority="0" w:semiHidden="0" w:name="toc 5" w:locked="1"/>
    <w:lsdException w:unhideWhenUsed="0" w:uiPriority="0" w:semiHidden="0" w:name="toc 6" w:locked="1"/>
    <w:lsdException w:unhideWhenUsed="0" w:uiPriority="0" w:semiHidden="0" w:name="toc 7" w:locked="1"/>
    <w:lsdException w:unhideWhenUsed="0" w:uiPriority="0" w:semiHidden="0" w:name="toc 8" w:locked="1"/>
    <w:lsdException w:unhideWhenUsed="0" w:uiPriority="0" w:semiHidden="0" w:name="toc 9" w:locked="1"/>
    <w:lsdException w:uiPriority="99" w:name="Normal Indent"/>
    <w:lsdException w:qFormat="1" w:unhideWhenUsed="0" w:uiPriority="99" w:name="footnote text"/>
    <w:lsdException w:uiPriority="99" w:name="annotation text"/>
    <w:lsdException w:qFormat="1" w:unhideWhenUsed="0" w:uiPriority="99" w:semiHidden="0" w:name="header"/>
    <w:lsdException w:qFormat="1" w:unhideWhenUsed="0" w:uiPriority="99" w:semiHidden="0" w:name="footer"/>
    <w:lsdException w:uiPriority="99" w:name="index heading"/>
    <w:lsdException w:qFormat="1" w:uiPriority="0" w:name="caption" w:locked="1"/>
    <w:lsdException w:uiPriority="99" w:name="table of figures"/>
    <w:lsdException w:uiPriority="99" w:name="envelope address"/>
    <w:lsdException w:uiPriority="99" w:name="envelope return"/>
    <w:lsdException w:qFormat="1" w:unhideWhenUsed="0"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ocked="1"/>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ocked="1"/>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0" w:semiHidden="0" w:name="Strong" w:locked="1"/>
    <w:lsdException w:qFormat="1" w:unhideWhenUsed="0" w:uiPriority="0" w:semiHidden="0" w:name="Emphasis" w:locked="1"/>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ocked="1"/>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Calibri"/>
      <w:kern w:val="2"/>
      <w:sz w:val="21"/>
      <w:szCs w:val="21"/>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0"/>
    <w:qFormat/>
    <w:uiPriority w:val="99"/>
    <w:pPr>
      <w:tabs>
        <w:tab w:val="center" w:pos="4153"/>
        <w:tab w:val="right" w:pos="8306"/>
      </w:tabs>
      <w:snapToGrid w:val="0"/>
      <w:jc w:val="left"/>
    </w:pPr>
    <w:rPr>
      <w:rFonts w:ascii="Times New Roman" w:hAnsi="Times New Roman" w:cs="Times New Roman"/>
      <w:kern w:val="0"/>
      <w:sz w:val="18"/>
      <w:szCs w:val="18"/>
    </w:rPr>
  </w:style>
  <w:style w:type="paragraph" w:styleId="3">
    <w:name w:val="header"/>
    <w:basedOn w:val="1"/>
    <w:link w:val="11"/>
    <w:qFormat/>
    <w:uiPriority w:val="99"/>
    <w:pPr>
      <w:pBdr>
        <w:bottom w:val="single" w:color="auto" w:sz="6" w:space="1"/>
      </w:pBdr>
      <w:tabs>
        <w:tab w:val="center" w:pos="4153"/>
        <w:tab w:val="right" w:pos="8306"/>
      </w:tabs>
      <w:snapToGrid w:val="0"/>
      <w:jc w:val="center"/>
    </w:pPr>
    <w:rPr>
      <w:rFonts w:ascii="Times New Roman" w:hAnsi="Times New Roman" w:cs="Times New Roman"/>
      <w:kern w:val="0"/>
      <w:sz w:val="18"/>
      <w:szCs w:val="18"/>
    </w:rPr>
  </w:style>
  <w:style w:type="paragraph" w:styleId="4">
    <w:name w:val="toc 1"/>
    <w:basedOn w:val="1"/>
    <w:next w:val="1"/>
    <w:semiHidden/>
    <w:qFormat/>
    <w:uiPriority w:val="99"/>
    <w:rPr>
      <w:rFonts w:ascii="Times New Roman" w:hAnsi="Times New Roman" w:cs="Times New Roman"/>
    </w:rPr>
  </w:style>
  <w:style w:type="paragraph" w:styleId="5">
    <w:name w:val="footnote text"/>
    <w:basedOn w:val="1"/>
    <w:link w:val="12"/>
    <w:semiHidden/>
    <w:qFormat/>
    <w:uiPriority w:val="99"/>
    <w:pPr>
      <w:snapToGrid w:val="0"/>
      <w:jc w:val="left"/>
    </w:pPr>
    <w:rPr>
      <w:sz w:val="18"/>
      <w:szCs w:val="18"/>
    </w:rPr>
  </w:style>
  <w:style w:type="paragraph" w:styleId="6">
    <w:name w:val="toc 2"/>
    <w:basedOn w:val="1"/>
    <w:next w:val="1"/>
    <w:semiHidden/>
    <w:qFormat/>
    <w:uiPriority w:val="99"/>
    <w:pPr>
      <w:ind w:left="420" w:leftChars="200"/>
    </w:pPr>
    <w:rPr>
      <w:rFonts w:ascii="Times New Roman" w:hAnsi="Times New Roman" w:cs="Times New Roman"/>
    </w:rPr>
  </w:style>
  <w:style w:type="character" w:styleId="9">
    <w:name w:val="footnote reference"/>
    <w:basedOn w:val="8"/>
    <w:semiHidden/>
    <w:qFormat/>
    <w:uiPriority w:val="99"/>
    <w:rPr>
      <w:vertAlign w:val="superscript"/>
    </w:rPr>
  </w:style>
  <w:style w:type="character" w:customStyle="1" w:styleId="10">
    <w:name w:val="页脚 Char"/>
    <w:basedOn w:val="8"/>
    <w:link w:val="2"/>
    <w:semiHidden/>
    <w:qFormat/>
    <w:locked/>
    <w:uiPriority w:val="99"/>
    <w:rPr>
      <w:rFonts w:ascii="Times New Roman" w:hAnsi="Times New Roman" w:eastAsia="宋体" w:cs="Times New Roman"/>
      <w:sz w:val="18"/>
      <w:szCs w:val="18"/>
    </w:rPr>
  </w:style>
  <w:style w:type="character" w:customStyle="1" w:styleId="11">
    <w:name w:val="页眉 Char"/>
    <w:basedOn w:val="8"/>
    <w:link w:val="3"/>
    <w:semiHidden/>
    <w:qFormat/>
    <w:locked/>
    <w:uiPriority w:val="99"/>
    <w:rPr>
      <w:rFonts w:ascii="Times New Roman" w:hAnsi="Times New Roman" w:eastAsia="宋体" w:cs="Times New Roman"/>
      <w:sz w:val="18"/>
      <w:szCs w:val="18"/>
    </w:rPr>
  </w:style>
  <w:style w:type="character" w:customStyle="1" w:styleId="12">
    <w:name w:val="脚注文本 Char"/>
    <w:basedOn w:val="8"/>
    <w:link w:val="5"/>
    <w:semiHidden/>
    <w:qFormat/>
    <w:uiPriority w:val="99"/>
    <w:rPr>
      <w:rFonts w:ascii="Calibri" w:hAnsi="Calibri" w:cs="Calibri"/>
      <w:sz w:val="18"/>
      <w:szCs w:val="18"/>
    </w:rPr>
  </w:style>
  <w:style w:type="paragraph" w:customStyle="1" w:styleId="13">
    <w:name w:val="Char"/>
    <w:basedOn w:val="1"/>
    <w:qFormat/>
    <w:uiPriority w:val="99"/>
    <w:rPr>
      <w:rFonts w:ascii="Times New Roman" w:hAnsi="Times New Roman" w:cs="Times New Roman"/>
    </w:rPr>
  </w:style>
  <w:style w:type="character" w:customStyle="1" w:styleId="14">
    <w:name w:val="页码1"/>
    <w:qFormat/>
    <w:uiPriority w:val="99"/>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Microsoft</Company>
  <Pages>8</Pages>
  <Words>2407</Words>
  <Characters>316</Characters>
  <Lines>2</Lines>
  <Paragraphs>5</Paragraphs>
  <TotalTime>0</TotalTime>
  <ScaleCrop>false</ScaleCrop>
  <LinksUpToDate>false</LinksUpToDate>
  <CharactersWithSpaces>2718</CharactersWithSpaces>
  <Application>WPS Office_11.1.0.10495_F1E327BC-269C-435d-A152-05C5408002CA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李润泽</cp:lastModifiedBy>
  <cp:lastPrinted>2020-01-10T15:53:00Z</cp:lastPrinted>
  <dcterms:modified xsi:type="dcterms:W3CDTF">2021-05-22T02:46:51Z</dcterms:modified>
  <dc:title>o</dc:title>
  <cp:revision>17</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2052-11.1.0.10495</vt:lpwstr>
  </property>
  <property fmtid="{D5CDD505-2E9C-101B-9397-08002B2CF9AE}" pid="3" name="ICV">
    <vt:lpwstr>3C6C7ABA912A45DE92681119E477B594</vt:lpwstr>
  </property>
</Properties>
</file>