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sz w:val="44"/>
          <w:szCs w:val="44"/>
        </w:rPr>
      </w:pPr>
      <w:bookmarkStart w:id="20" w:name="_GoBack"/>
      <w:bookmarkEnd w:id="20"/>
      <w:r>
        <w:rPr>
          <w:rFonts w:hint="eastAsia" w:ascii="方正小标宋_GBK" w:hAnsi="Times New Roman" w:eastAsia="方正小标宋_GBK" w:cs="方正小标宋_GBK"/>
          <w:sz w:val="44"/>
          <w:szCs w:val="44"/>
        </w:rPr>
        <w:t>无极县公安局</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2020</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按照《预算法》、《地方预决算公开操作规程》和《河北省省级预算公开办法》规定，现将河北省无极县公安局</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年部门预算公开如下：</w:t>
      </w:r>
    </w:p>
    <w:p>
      <w:pPr>
        <w:autoSpaceDE w:val="0"/>
        <w:autoSpaceDN w:val="0"/>
        <w:adjustRightInd w:val="0"/>
        <w:ind w:firstLine="640" w:firstLineChars="200"/>
        <w:jc w:val="left"/>
        <w:rPr>
          <w:rFonts w:ascii="黑体" w:hAnsi="黑体" w:eastAsia="黑体" w:cs="黑体"/>
          <w:sz w:val="32"/>
          <w:szCs w:val="32"/>
        </w:rPr>
      </w:pPr>
      <w:r>
        <w:rPr>
          <w:rFonts w:hint="eastAsia" w:ascii="黑体" w:hAnsi="黑体" w:eastAsia="黑体" w:cs="黑体"/>
          <w:sz w:val="32"/>
          <w:szCs w:val="32"/>
        </w:rPr>
        <w:t>一、部门职责及机构设置情况</w:t>
      </w:r>
    </w:p>
    <w:p>
      <w:pPr>
        <w:ind w:firstLine="640"/>
        <w:rPr>
          <w:rFonts w:ascii="仿宋" w:hAnsi="仿宋" w:eastAsia="仿宋" w:cs="Times New Roman"/>
          <w:b/>
          <w:sz w:val="32"/>
          <w:szCs w:val="32"/>
        </w:rPr>
      </w:pPr>
      <w:r>
        <w:rPr>
          <w:rFonts w:hint="eastAsia" w:ascii="仿宋" w:hAnsi="仿宋" w:eastAsia="仿宋" w:cs="Times New Roman"/>
          <w:b/>
          <w:sz w:val="32"/>
          <w:szCs w:val="32"/>
        </w:rPr>
        <w:t>部门职责</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（一）贯彻执行党和国家关于公安工作的方针、政策、法律、法规、组织部署全县公安工作并指导、监督、检查贯彻执行情况。                      </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（二）收集、掌握影响社会稳定和社会治安的有关信息，综合分析社会治安动态，为县委、县政府决策提供依据，并研究制定对策措施。</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（三）组织侦破维护国家安全和刑事、经济犯罪案件；打击、防范暴力恐怖活动和邪教活动。</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（四）组织指挥处置重大治安灾害事故、骚乱和群体性事件；组织实施重大活动的安全保卫工作；管理集会、游行、示威活动。</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五）维护全县社会治安秩序，依法查处各类治安案件；依法管理特种行业、公共场所；管理枪支弹药、易燃易爆、剧毒、放射性等危险物品；管理常住人口、暂住人口、办理居民身份证、边境证；监督、指导内部单位治安保卫工作。</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 xml:space="preserve"> （六）负责全县公安机关依法承担的执行刑罚的指导和监督工作；负责监所管理工作。</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 xml:space="preserve"> （七）搞好公安法制建设；负责案件审批、行政诉讼和行政复议工作；组织实施执法监督工作。</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 xml:space="preserve"> （八）组织实施全县消防监督、火灾预防和扑救等工作；维护交通秩序和交通安全。</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 xml:space="preserve"> （九）组织指挥县武警中队执行公安任务。</w:t>
      </w:r>
    </w:p>
    <w:p>
      <w:pPr>
        <w:ind w:firstLine="64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73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41"/>
        <w:gridCol w:w="1998"/>
        <w:gridCol w:w="1965"/>
        <w:gridCol w:w="32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9" w:hRule="atLeast"/>
          <w:tblHeader/>
          <w:jc w:val="center"/>
        </w:trPr>
        <w:tc>
          <w:tcPr>
            <w:tcW w:w="2541" w:type="dxa"/>
            <w:vAlign w:val="center"/>
          </w:tcPr>
          <w:p>
            <w:pPr>
              <w:jc w:val="center"/>
              <w:outlineLvl w:val="0"/>
            </w:pPr>
            <w:r>
              <w:rPr>
                <w:rFonts w:hint="eastAsia" w:ascii="仿宋" w:hAnsi="仿宋" w:eastAsia="仿宋" w:cs="仿宋"/>
                <w:b/>
                <w:sz w:val="28"/>
                <w:szCs w:val="28"/>
              </w:rPr>
              <w:t>部门机构设置情况</w:t>
            </w:r>
          </w:p>
        </w:tc>
        <w:tc>
          <w:tcPr>
            <w:tcW w:w="1998" w:type="dxa"/>
            <w:vAlign w:val="center"/>
          </w:tcPr>
          <w:p>
            <w:pPr>
              <w:spacing w:line="300" w:lineRule="exact"/>
              <w:ind w:firstLine="562"/>
              <w:jc w:val="center"/>
              <w:rPr>
                <w:rFonts w:ascii="仿宋" w:hAnsi="仿宋" w:eastAsia="仿宋" w:cs="仿宋"/>
                <w:b/>
                <w:sz w:val="28"/>
                <w:szCs w:val="28"/>
              </w:rPr>
            </w:pPr>
            <w:r>
              <w:rPr>
                <w:rFonts w:hint="eastAsia" w:ascii="仿宋" w:hAnsi="仿宋" w:eastAsia="仿宋" w:cs="仿宋"/>
                <w:b/>
                <w:sz w:val="28"/>
                <w:szCs w:val="28"/>
              </w:rPr>
              <w:t>行政</w:t>
            </w:r>
          </w:p>
        </w:tc>
        <w:tc>
          <w:tcPr>
            <w:tcW w:w="1965" w:type="dxa"/>
            <w:vAlign w:val="center"/>
          </w:tcPr>
          <w:p>
            <w:pPr>
              <w:spacing w:line="300" w:lineRule="exact"/>
              <w:ind w:firstLine="562"/>
              <w:jc w:val="center"/>
              <w:rPr>
                <w:rFonts w:ascii="仿宋" w:hAnsi="仿宋" w:eastAsia="仿宋" w:cs="仿宋"/>
                <w:b/>
                <w:sz w:val="28"/>
                <w:szCs w:val="28"/>
              </w:rPr>
            </w:pPr>
            <w:r>
              <w:rPr>
                <w:rFonts w:hint="eastAsia" w:ascii="仿宋" w:hAnsi="仿宋" w:eastAsia="仿宋" w:cs="仿宋"/>
                <w:b/>
                <w:sz w:val="28"/>
                <w:szCs w:val="28"/>
              </w:rPr>
              <w:t>单位规格</w:t>
            </w:r>
          </w:p>
        </w:tc>
        <w:tc>
          <w:tcPr>
            <w:tcW w:w="3227" w:type="dxa"/>
            <w:vAlign w:val="center"/>
          </w:tcPr>
          <w:p>
            <w:pPr>
              <w:spacing w:line="300" w:lineRule="exact"/>
              <w:ind w:firstLine="562"/>
              <w:jc w:val="center"/>
              <w:rPr>
                <w:rFonts w:ascii="仿宋" w:hAnsi="仿宋" w:eastAsia="仿宋" w:cs="仿宋"/>
                <w:b/>
                <w:sz w:val="28"/>
                <w:szCs w:val="28"/>
              </w:rPr>
            </w:pPr>
            <w:r>
              <w:rPr>
                <w:rFonts w:hint="eastAsia" w:ascii="仿宋" w:hAnsi="仿宋" w:eastAsia="仿宋" w:cs="仿宋"/>
                <w:b/>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5" w:hRule="atLeast"/>
          <w:jc w:val="center"/>
        </w:trPr>
        <w:tc>
          <w:tcPr>
            <w:tcW w:w="2541" w:type="dxa"/>
            <w:vAlign w:val="center"/>
          </w:tcPr>
          <w:p>
            <w:pPr>
              <w:spacing w:line="300" w:lineRule="exact"/>
              <w:ind w:firstLine="480"/>
              <w:jc w:val="left"/>
              <w:rPr>
                <w:sz w:val="24"/>
              </w:rPr>
            </w:pPr>
            <w:r>
              <w:rPr>
                <w:rFonts w:hint="eastAsia" w:ascii="仿宋" w:hAnsi="仿宋" w:eastAsia="仿宋" w:cs="仿宋"/>
                <w:sz w:val="24"/>
              </w:rPr>
              <w:t>无极县公安局</w:t>
            </w:r>
          </w:p>
        </w:tc>
        <w:tc>
          <w:tcPr>
            <w:tcW w:w="1998" w:type="dxa"/>
            <w:vAlign w:val="center"/>
          </w:tcPr>
          <w:p>
            <w:pPr>
              <w:spacing w:line="300" w:lineRule="exact"/>
              <w:ind w:firstLine="480"/>
              <w:jc w:val="center"/>
              <w:rPr>
                <w:rFonts w:ascii="仿宋" w:hAnsi="仿宋" w:eastAsia="仿宋" w:cs="仿宋"/>
                <w:sz w:val="24"/>
              </w:rPr>
            </w:pPr>
            <w:r>
              <w:rPr>
                <w:rFonts w:hint="eastAsia" w:ascii="仿宋" w:hAnsi="仿宋" w:eastAsia="仿宋" w:cs="仿宋"/>
                <w:sz w:val="24"/>
              </w:rPr>
              <w:t>行政</w:t>
            </w:r>
          </w:p>
        </w:tc>
        <w:tc>
          <w:tcPr>
            <w:tcW w:w="1965" w:type="dxa"/>
            <w:vAlign w:val="center"/>
          </w:tcPr>
          <w:p>
            <w:pPr>
              <w:spacing w:line="300" w:lineRule="exact"/>
              <w:ind w:firstLine="480"/>
              <w:jc w:val="center"/>
              <w:rPr>
                <w:rFonts w:ascii="仿宋" w:hAnsi="仿宋" w:eastAsia="仿宋" w:cs="仿宋"/>
                <w:sz w:val="24"/>
              </w:rPr>
            </w:pPr>
            <w:r>
              <w:rPr>
                <w:rFonts w:hint="eastAsia" w:ascii="仿宋" w:hAnsi="仿宋" w:eastAsia="仿宋" w:cs="仿宋"/>
                <w:sz w:val="24"/>
              </w:rPr>
              <w:t>正科级</w:t>
            </w:r>
          </w:p>
        </w:tc>
        <w:tc>
          <w:tcPr>
            <w:tcW w:w="3227" w:type="dxa"/>
            <w:vAlign w:val="center"/>
          </w:tcPr>
          <w:p>
            <w:pPr>
              <w:spacing w:line="300" w:lineRule="exact"/>
              <w:ind w:firstLine="480"/>
              <w:jc w:val="left"/>
              <w:rPr>
                <w:rFonts w:ascii="仿宋" w:hAnsi="仿宋" w:eastAsia="仿宋" w:cs="仿宋"/>
                <w:sz w:val="24"/>
              </w:rPr>
            </w:pPr>
            <w:r>
              <w:rPr>
                <w:rFonts w:hint="eastAsia" w:ascii="仿宋" w:hAnsi="仿宋" w:eastAsia="仿宋" w:cs="仿宋"/>
                <w:sz w:val="24"/>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6" w:hRule="atLeast"/>
          <w:jc w:val="center"/>
        </w:trPr>
        <w:tc>
          <w:tcPr>
            <w:tcW w:w="2541" w:type="dxa"/>
            <w:vAlign w:val="center"/>
          </w:tcPr>
          <w:p>
            <w:pPr>
              <w:spacing w:line="300" w:lineRule="exact"/>
              <w:ind w:firstLine="480"/>
              <w:jc w:val="left"/>
              <w:rPr>
                <w:rFonts w:ascii="仿宋" w:hAnsi="仿宋" w:eastAsia="仿宋" w:cs="仿宋"/>
                <w:sz w:val="24"/>
              </w:rPr>
            </w:pPr>
            <w:r>
              <w:rPr>
                <w:rFonts w:hint="eastAsia" w:ascii="仿宋" w:hAnsi="仿宋" w:eastAsia="仿宋" w:cs="仿宋"/>
                <w:sz w:val="24"/>
              </w:rPr>
              <w:t>派出机构</w:t>
            </w:r>
          </w:p>
        </w:tc>
        <w:tc>
          <w:tcPr>
            <w:tcW w:w="1998" w:type="dxa"/>
            <w:vAlign w:val="center"/>
          </w:tcPr>
          <w:p>
            <w:pPr>
              <w:spacing w:line="300" w:lineRule="exact"/>
              <w:ind w:firstLine="480"/>
              <w:jc w:val="center"/>
              <w:rPr>
                <w:rFonts w:ascii="仿宋" w:hAnsi="仿宋" w:eastAsia="仿宋" w:cs="仿宋"/>
                <w:sz w:val="24"/>
              </w:rPr>
            </w:pPr>
            <w:r>
              <w:rPr>
                <w:rFonts w:hint="eastAsia" w:ascii="仿宋" w:hAnsi="仿宋" w:eastAsia="仿宋" w:cs="仿宋"/>
                <w:sz w:val="24"/>
              </w:rPr>
              <w:t>行政</w:t>
            </w:r>
          </w:p>
        </w:tc>
        <w:tc>
          <w:tcPr>
            <w:tcW w:w="1965" w:type="dxa"/>
            <w:vAlign w:val="center"/>
          </w:tcPr>
          <w:p>
            <w:pPr>
              <w:spacing w:line="300" w:lineRule="exact"/>
              <w:ind w:firstLine="240" w:firstLineChars="100"/>
              <w:jc w:val="center"/>
              <w:rPr>
                <w:rFonts w:ascii="仿宋" w:hAnsi="仿宋" w:eastAsia="仿宋" w:cs="仿宋"/>
                <w:sz w:val="24"/>
              </w:rPr>
            </w:pPr>
            <w:r>
              <w:rPr>
                <w:rFonts w:hint="eastAsia" w:ascii="仿宋" w:hAnsi="仿宋" w:eastAsia="仿宋" w:cs="仿宋"/>
                <w:sz w:val="24"/>
              </w:rPr>
              <w:t>股级</w:t>
            </w:r>
          </w:p>
        </w:tc>
        <w:tc>
          <w:tcPr>
            <w:tcW w:w="3227" w:type="dxa"/>
            <w:vAlign w:val="center"/>
          </w:tcPr>
          <w:p>
            <w:pPr>
              <w:spacing w:line="300" w:lineRule="exact"/>
              <w:ind w:firstLine="480"/>
              <w:jc w:val="left"/>
              <w:rPr>
                <w:rFonts w:ascii="仿宋" w:hAnsi="仿宋" w:eastAsia="仿宋" w:cs="仿宋"/>
                <w:sz w:val="24"/>
              </w:rPr>
            </w:pPr>
            <w:r>
              <w:rPr>
                <w:rFonts w:hint="eastAsia" w:ascii="仿宋" w:hAnsi="仿宋" w:eastAsia="仿宋" w:cs="仿宋"/>
                <w:sz w:val="24"/>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6" w:hRule="atLeast"/>
          <w:jc w:val="center"/>
        </w:trPr>
        <w:tc>
          <w:tcPr>
            <w:tcW w:w="2541" w:type="dxa"/>
            <w:vAlign w:val="center"/>
          </w:tcPr>
          <w:p>
            <w:pPr>
              <w:spacing w:line="300" w:lineRule="exact"/>
              <w:jc w:val="left"/>
              <w:rPr>
                <w:rFonts w:ascii="仿宋" w:hAnsi="仿宋" w:eastAsia="仿宋" w:cs="仿宋"/>
                <w:sz w:val="24"/>
              </w:rPr>
            </w:pPr>
            <w:r>
              <w:rPr>
                <w:rFonts w:hint="eastAsia" w:ascii="仿宋" w:hAnsi="仿宋" w:eastAsia="仿宋" w:cs="仿宋"/>
                <w:sz w:val="24"/>
              </w:rPr>
              <w:t>看守所、拘留所</w:t>
            </w:r>
          </w:p>
        </w:tc>
        <w:tc>
          <w:tcPr>
            <w:tcW w:w="1998" w:type="dxa"/>
            <w:vAlign w:val="center"/>
          </w:tcPr>
          <w:p>
            <w:pPr>
              <w:spacing w:line="300" w:lineRule="exact"/>
              <w:ind w:firstLine="480"/>
              <w:jc w:val="center"/>
              <w:rPr>
                <w:rFonts w:ascii="仿宋" w:hAnsi="仿宋" w:eastAsia="仿宋" w:cs="仿宋"/>
                <w:sz w:val="24"/>
              </w:rPr>
            </w:pPr>
            <w:r>
              <w:rPr>
                <w:rFonts w:hint="eastAsia" w:ascii="仿宋" w:hAnsi="仿宋" w:eastAsia="仿宋" w:cs="仿宋"/>
                <w:sz w:val="24"/>
              </w:rPr>
              <w:t>行政</w:t>
            </w:r>
          </w:p>
        </w:tc>
        <w:tc>
          <w:tcPr>
            <w:tcW w:w="1965" w:type="dxa"/>
            <w:vAlign w:val="center"/>
          </w:tcPr>
          <w:p>
            <w:pPr>
              <w:spacing w:line="300" w:lineRule="exact"/>
              <w:ind w:firstLine="787" w:firstLineChars="328"/>
              <w:rPr>
                <w:rFonts w:ascii="仿宋" w:hAnsi="仿宋" w:eastAsia="仿宋" w:cs="仿宋"/>
                <w:sz w:val="24"/>
              </w:rPr>
            </w:pPr>
            <w:r>
              <w:rPr>
                <w:rFonts w:hint="eastAsia" w:ascii="仿宋" w:hAnsi="仿宋" w:eastAsia="仿宋" w:cs="仿宋"/>
                <w:sz w:val="24"/>
              </w:rPr>
              <w:t>股级</w:t>
            </w:r>
          </w:p>
        </w:tc>
        <w:tc>
          <w:tcPr>
            <w:tcW w:w="3227" w:type="dxa"/>
            <w:vAlign w:val="center"/>
          </w:tcPr>
          <w:p>
            <w:pPr>
              <w:spacing w:line="300" w:lineRule="exact"/>
              <w:ind w:firstLine="480"/>
              <w:jc w:val="left"/>
              <w:rPr>
                <w:rFonts w:ascii="仿宋" w:hAnsi="仿宋" w:eastAsia="仿宋" w:cs="仿宋"/>
                <w:sz w:val="24"/>
              </w:rPr>
            </w:pPr>
            <w:r>
              <w:rPr>
                <w:rFonts w:hint="eastAsia" w:ascii="仿宋" w:hAnsi="仿宋" w:eastAsia="仿宋" w:cs="仿宋"/>
                <w:sz w:val="24"/>
              </w:rPr>
              <w:t>财政拨款</w:t>
            </w:r>
          </w:p>
        </w:tc>
      </w:tr>
    </w:tbl>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按照预算管理有关规定，目前我省部门预算的编制实行综合预算管理，即全部收入和支出都反映的预算中。无极县公安局及派出机构、看守所、拘留所的收支包含在部门预算中。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rPr>
        <w:t>7385.51</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rPr>
        <w:t>7385.51</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收支预算总表支出栏、基本支出表、项目支出表按经济分类和支出功能分类科目编制，反映无极县公安局年度部门预算中支出预算的总体情况。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年部门支出预算为7385.51万元，其中基本支出</w:t>
      </w:r>
      <w:r>
        <w:rPr>
          <w:rFonts w:hint="eastAsia" w:ascii="Times New Roman" w:hAnsi="Times New Roman" w:eastAsia="仿宋" w:cs="Times New Roman"/>
          <w:sz w:val="32"/>
          <w:szCs w:val="32"/>
        </w:rPr>
        <w:t>3753.67</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rPr>
        <w:t>3489.67</w:t>
      </w:r>
      <w:r>
        <w:rPr>
          <w:rFonts w:hint="eastAsia" w:ascii="Times New Roman" w:hAnsi="Times New Roman" w:eastAsia="仿宋" w:cs="仿宋"/>
          <w:sz w:val="32"/>
          <w:szCs w:val="32"/>
        </w:rPr>
        <w:t>万元和日常公用经费264万元；项目支出3631.84万元，主要为大数据辅助分析服务三级实验室建设60万元；大要案准备金15万元；对越反击战工资1.6万元；辅警人员工资1146万元；高头乡视频监控租赁费19.9万元；公用经费339.6万元；关于提前下达2020年出入境证件制作及管理补助资金的通知8.85万元；戒毒经费15万元；津贴补贴500万元；拘留所经费20万元；看守所经费120万元；提前下达2020年省级基础公检法司转移支付资金266万元；提前下达2020年中央政法纪检监察转移支付资金-公安349万元；天网工程租赁费590.4万元；行政性收费60万元；远程审讯系统建设120.49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shd w:val="clear" w:color="auto" w:fill="auto"/>
        </w:rPr>
      </w:pPr>
      <w:r>
        <w:rPr>
          <w:rFonts w:ascii="Times New Roman" w:hAnsi="Times New Roman" w:eastAsia="仿宋" w:cs="Times New Roman"/>
          <w:color w:val="000000"/>
          <w:sz w:val="32"/>
          <w:szCs w:val="32"/>
          <w:shd w:val="clear" w:color="auto" w:fill="auto"/>
        </w:rPr>
        <w:t>2020</w:t>
      </w:r>
      <w:r>
        <w:rPr>
          <w:rFonts w:hint="eastAsia" w:ascii="Times New Roman" w:hAnsi="Times New Roman" w:eastAsia="仿宋" w:cs="仿宋"/>
          <w:color w:val="000000"/>
          <w:sz w:val="32"/>
          <w:szCs w:val="32"/>
          <w:shd w:val="clear" w:color="auto" w:fill="auto"/>
        </w:rPr>
        <w:t>年部门预算收支安排7385.51万元，</w:t>
      </w:r>
      <w:r>
        <w:rPr>
          <w:rFonts w:hint="eastAsia" w:ascii="Times New Roman" w:hAnsi="Times New Roman" w:eastAsia="仿宋" w:cs="仿宋"/>
          <w:sz w:val="32"/>
          <w:szCs w:val="32"/>
          <w:shd w:val="clear" w:color="auto" w:fill="auto"/>
        </w:rPr>
        <w:t>较</w:t>
      </w:r>
      <w:r>
        <w:rPr>
          <w:rFonts w:ascii="Times New Roman" w:hAnsi="Times New Roman" w:eastAsia="仿宋" w:cs="Times New Roman"/>
          <w:sz w:val="32"/>
          <w:szCs w:val="32"/>
          <w:shd w:val="clear" w:color="auto" w:fill="auto"/>
        </w:rPr>
        <w:t>2019</w:t>
      </w:r>
      <w:r>
        <w:rPr>
          <w:rFonts w:hint="eastAsia" w:ascii="Times New Roman" w:hAnsi="Times New Roman" w:eastAsia="仿宋" w:cs="仿宋"/>
          <w:sz w:val="32"/>
          <w:szCs w:val="32"/>
          <w:shd w:val="clear" w:color="auto" w:fill="auto"/>
        </w:rPr>
        <w:t>年增加473.33万元，其中：日常公用经费增加108万元，人员经费减少496.66万元，项目支出增加</w:t>
      </w:r>
      <w:r>
        <w:rPr>
          <w:rFonts w:hint="eastAsia" w:ascii="Times New Roman" w:hAnsi="Times New Roman" w:eastAsia="仿宋" w:cs="仿宋"/>
          <w:sz w:val="32"/>
          <w:szCs w:val="32"/>
          <w:shd w:val="clear" w:color="auto" w:fill="auto"/>
          <w:lang w:val="en-US" w:eastAsia="zh-CN"/>
        </w:rPr>
        <w:t>861.99</w:t>
      </w:r>
      <w:r>
        <w:rPr>
          <w:rFonts w:hint="eastAsia" w:ascii="Times New Roman" w:hAnsi="Times New Roman" w:eastAsia="仿宋" w:cs="仿宋"/>
          <w:sz w:val="32"/>
          <w:szCs w:val="32"/>
          <w:shd w:val="clear" w:color="auto" w:fill="auto"/>
        </w:rPr>
        <w:t>万元。</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年，我部门机关运行经费共计安排264万元，主要用于保证机关正常运转的办公及印刷费、邮电费、差旅费、培训费、福利费、日常维修费、其他交通费、公务车运行维护费等支出。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年，我部门财政拨款“三公”经费预算安排0万元，其中：因公出国（境）费0万元；公务用车购置及运维费0万元（其中：公务用车购置费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万元，公务用车运行维护费0万元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方正仿宋_GBK"/>
          <w:b/>
          <w:bCs/>
          <w:sz w:val="32"/>
          <w:szCs w:val="32"/>
        </w:rPr>
        <w:t>第一部分部门整体绩效目标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TC </w:instrText>
      </w:r>
      <w:bookmarkStart w:id="1" w:name="_Toc34950491"/>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w:instrText>
      </w:r>
      <w:r>
        <w:rPr>
          <w:rFonts w:ascii="Times New Roman" w:hAnsi="Times New Roman" w:eastAsia="方正仿宋_GBK" w:cs="Times New Roman"/>
          <w:b/>
          <w:sz w:val="32"/>
          <w:szCs w:val="32"/>
        </w:rPr>
        <w:fldChar w:fldCharType="end"/>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始终坚持贯彻执行国家的法律、法规和公安工作的路线、方针、政策，打击防范危害国家安全的破坏活动，打击和防范各种刑事犯罪包括经济领域、有组织犯罪等严重犯罪活动，进行治安管理和治安案件的查处，消除和减少危害我县社会治安和各种不安定因素，加强危爆物品的管理和环境污染案件的查处力度，创造良好的社会环境和治安秩序。做好法制、看守工作，确保执法质量和监管安全；做好经济、文化、金融保卫工作，确保要害部位和经济、文教、科研和金融部门的安全；做好全县人口及出入境人员的管理工作，提升身份证持证率，降低废证率，提高服务群众满意度；提升公安科技化、信息化建设水平，加强全县治安防控体系建设和网络监控使用维护更新，确保数据信息采集使用率，为案件侦破、治安防范服务，为公安工作服务，最终为全县人民的生命财产安全、为无极县经济保驾护航。</w:t>
      </w:r>
    </w:p>
    <w:p>
      <w:pPr>
        <w:spacing w:line="500" w:lineRule="exact"/>
        <w:ind w:firstLine="640" w:firstLineChars="200"/>
        <w:jc w:val="left"/>
        <w:rPr>
          <w:rFonts w:ascii="Times New Roman" w:hAnsi="Times New Roman" w:eastAsia="仿宋" w:cs="仿宋"/>
          <w:sz w:val="32"/>
          <w:szCs w:val="32"/>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TC </w:instrText>
      </w:r>
      <w:bookmarkStart w:id="2" w:name="_Toc34950492"/>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w:instrText>
      </w:r>
      <w:r>
        <w:rPr>
          <w:rFonts w:ascii="Times New Roman" w:hAnsi="Times New Roman" w:eastAsia="方正仿宋_GBK" w:cs="Times New Roman"/>
          <w:b/>
          <w:sz w:val="32"/>
          <w:szCs w:val="32"/>
        </w:rPr>
        <w:fldChar w:fldCharType="end"/>
      </w:r>
    </w:p>
    <w:p>
      <w:pPr>
        <w:spacing w:line="500" w:lineRule="exact"/>
        <w:ind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w:t>
      </w:r>
      <w:r>
        <w:rPr>
          <w:rFonts w:ascii="Times New Roman" w:hAnsi="Times New Roman" w:eastAsia="仿宋" w:cs="仿宋"/>
          <w:sz w:val="32"/>
          <w:szCs w:val="32"/>
        </w:rPr>
        <w:t>一</w:t>
      </w:r>
      <w:r>
        <w:rPr>
          <w:rFonts w:hint="eastAsia" w:ascii="Times New Roman" w:hAnsi="Times New Roman" w:eastAsia="仿宋" w:cs="仿宋"/>
          <w:sz w:val="32"/>
          <w:szCs w:val="32"/>
        </w:rPr>
        <w:t>）</w:t>
      </w:r>
      <w:r>
        <w:rPr>
          <w:rFonts w:ascii="Times New Roman" w:hAnsi="Times New Roman" w:eastAsia="仿宋" w:cs="仿宋"/>
          <w:sz w:val="32"/>
          <w:szCs w:val="32"/>
        </w:rPr>
        <w:t>保卫国家安全</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绩效目标：做好反恐维稳工作</w:t>
      </w:r>
      <w:r>
        <w:rPr>
          <w:rFonts w:ascii="Times New Roman" w:hAnsi="Times New Roman" w:eastAsia="仿宋" w:cs="仿宋"/>
          <w:sz w:val="32"/>
          <w:szCs w:val="32"/>
        </w:rPr>
        <w:tab/>
      </w:r>
      <w:r>
        <w:rPr>
          <w:rFonts w:ascii="Times New Roman" w:hAnsi="Times New Roman" w:eastAsia="仿宋" w:cs="仿宋"/>
          <w:sz w:val="32"/>
          <w:szCs w:val="32"/>
        </w:rPr>
        <w:t>，提升维护社会大局稳定的能力</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指标：重大安保任务完成率95%以上，不稳定因素和涉稳舆情处置率90%以上，重大事项（事件）协调处置化解率95%以上，护城河工程任务完成率90%以上，发现核查线索和情报信息增长率10%以上，重大活动突发事件发生率下降5%以上。</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（二）打击各类违法犯罪，确保执法办案质量</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绩效目标：打击各类违法犯罪活动，尤其是各类严重刑事案件，有组织犯罪案件影响民生的重大经济案件，提升治安、刑事案件的破获和嫌疑人的查处。</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绩效指标：严格执法，坚持严打。各类违法案件查处侦破比例占全部发案数的90%以上，案件发案率同期相比下降率10%以上，重大案件破案率占所有案件破案数量的90%以上，民警办案经费保障达到100%。</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（三）社会治安综合治理能力</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绩效目标：加强治安防控体系建设，提高治安防控水平</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指标：社会治安防控体系完整，在各个区域的覆超过90%，占辖区面积的90%以上，各类违法案件查处侦破比例占发案总数的90%以上，治安案件发案数与同期相比下降10%以上，群众对社会治安综合治理的满意度占调查统计人数的比例达到80%以上。</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（四）公安科技化、信息化建设</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目标：以信息化为切入点，确保网络畅通，天网工程县域视频联网等工程充分发挥作用，提升侦查破案的科技水平，通过网络监控平台对数据采集、比对、核查，定位车辆的购置使用，突破案件侦破和嫌疑人抓捕数量。</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指标：全年网络可用率占总数的90%以上，系统维护正常使用率90%以上，通过网络正常运行为公安业务或社会提供服务比例90%以上，一案抓获犯罪嫌疑人，毒品案件办结后抓获数量3人以上，重大案件破案率占所有案件破案数的90%以上，全市刑事案件发案率与去年同期相比逐年下降，达10以上。</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（五）公安装备及基础设施建设</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绩效目标：公安各项业务装备专用设备购置资金保障，业务技术用房基础设施服务能力达到预期。</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指标：执法勤务装备民警配备比例达100%,应急储备物资服务有效率90%以上，装备资金的使用率达100%,资金使用科学性和前瞻性占比80%和70%以上，装备的科技水平在同级县市区排名7名以内。业务技术用房成本高效百分比95%以上，主配楼及附属设施使用比例100%，公安正规化考核基础设施达标100%。</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（六）公安综合业务管理及行政管理</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绩效目标：民警人均公用经费达标，辅警工资、保险符合社会发展水平，人口及出入境人员管理规范合格</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绩效指标：保障局机关内设机构、直属机构、派出机构、监管机构的日常运行达90%，以上按照河北省公安厅公安机关民警人均经费保障标准，确保达到每人1.8万元，争取3万元，推进党组织活动建设，加强队伍建设，辅警人员工资、保险根据人社局财政局最低生活保障制定执行达100%，做好全县人口管理及出入境人员管理，办证合格率95%以上，非法入境人员管理规范占比90%以上，户口迁移信息维护及时率正确率95%以上，长期服务好评率90%以上。综合业务管理工作和综合事务管理工作完成率均达到90%以上。</w:t>
      </w:r>
    </w:p>
    <w:p>
      <w:pPr>
        <w:spacing w:line="500" w:lineRule="exact"/>
        <w:ind w:firstLine="560" w:firstLineChars="200"/>
        <w:jc w:val="left"/>
        <w:rPr>
          <w:rFonts w:eastAsia="方正仿宋_GBK"/>
          <w:sz w:val="28"/>
        </w:rPr>
      </w:pPr>
    </w:p>
    <w:p>
      <w:pPr>
        <w:spacing w:line="500" w:lineRule="exact"/>
        <w:ind w:firstLine="560" w:firstLineChars="200"/>
        <w:jc w:val="left"/>
        <w:rPr>
          <w:rFonts w:eastAsia="方正仿宋_GBK"/>
          <w:sz w:val="28"/>
        </w:rPr>
      </w:pP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TC </w:instrText>
      </w:r>
      <w:bookmarkStart w:id="3" w:name="_Toc34950493"/>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w:instrText>
      </w:r>
      <w:r>
        <w:rPr>
          <w:rFonts w:ascii="Times New Roman" w:hAnsi="Times New Roman" w:eastAsia="方正仿宋_GBK" w:cs="Times New Roman"/>
          <w:b/>
          <w:sz w:val="32"/>
          <w:szCs w:val="32"/>
        </w:rPr>
        <w:fldChar w:fldCharType="end"/>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为实现2020年度绩效目标和做好各项公安工作，必须坚持</w:t>
      </w:r>
      <w:r>
        <w:rPr>
          <w:rFonts w:hint="eastAsia" w:ascii="Times New Roman" w:hAnsi="Times New Roman" w:eastAsia="仿宋" w:cs="仿宋"/>
          <w:sz w:val="32"/>
          <w:szCs w:val="32"/>
          <w:lang w:eastAsia="zh-CN"/>
        </w:rPr>
        <w:t>习近平总书记</w:t>
      </w:r>
      <w:r>
        <w:rPr>
          <w:rFonts w:ascii="Times New Roman" w:hAnsi="Times New Roman" w:eastAsia="仿宋" w:cs="仿宋"/>
          <w:sz w:val="32"/>
          <w:szCs w:val="32"/>
        </w:rPr>
        <w:t>的“对党忠诚，服务人民，执法公正，纪律严明”的十六字要求，围绕中心，服务大局，积极适应当前公安工作面临的新形势和新变化，根据预测可能存在的问题、环境变化，制定完善预算绩效管理制度，做准备，防风险，努力保证预算计划目标的实现。</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完善制度建设。制定完善预算绩效管理制度、资金管理办法、工作保障制度等，为全年预算绩效目标的实现奠定制度基础。</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加强支出管理。通过优化支出结构、编细编实预算、加快履行政府采购手续、尽快启动项目、及时支付资金、6月底前细化代编预算、按规定及时使用资金等多种措施，确保支出进度达标。</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加强绩效运行监控。按要求开展绩效运行监控，发现问题及时采取措施，确保绩效目标如期保质实现。</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做好绩效自评。按要求开展上年度部门预算绩效自评和重点评价工作，对评价中发现的问题及时整改，调整优化支出结构，提高财政资金使用效益。</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规范财务资产管理。完善财务管理制度，严格审批程序，加强固定资产登记、使用和报废处置管理，做到支出合理，物尽其用。</w:t>
      </w:r>
    </w:p>
    <w:p>
      <w:pPr>
        <w:spacing w:line="500" w:lineRule="exact"/>
        <w:ind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autoSpaceDE w:val="0"/>
        <w:autoSpaceDN w:val="0"/>
        <w:adjustRightInd w:val="0"/>
        <w:ind w:left="198" w:firstLine="640" w:firstLineChars="200"/>
        <w:jc w:val="left"/>
        <w:rPr>
          <w:rFonts w:ascii="Times New Roman" w:hAnsi="Times New Roman" w:eastAsia="仿宋" w:cs="仿宋"/>
          <w:sz w:val="32"/>
          <w:szCs w:val="32"/>
        </w:rPr>
      </w:pPr>
      <w:r>
        <w:rPr>
          <w:rFonts w:ascii="Times New Roman" w:hAnsi="Times New Roman" w:eastAsia="仿宋" w:cs="仿宋"/>
          <w:sz w:val="32"/>
          <w:szCs w:val="32"/>
        </w:rPr>
        <w:t>加强宣传培训调研等。加强人员培训，提高本部门人员业务素质；加强调研，提出优化财政资金配置、提高资金使用效益的</w:t>
      </w:r>
      <w:r>
        <w:rPr>
          <w:rFonts w:hint="eastAsia" w:ascii="Times New Roman" w:hAnsi="Times New Roman" w:eastAsia="仿宋" w:cs="仿宋"/>
          <w:sz w:val="32"/>
          <w:szCs w:val="32"/>
          <w:lang w:eastAsia="zh-CN"/>
        </w:rPr>
        <w:t>意见</w:t>
      </w:r>
      <w:r>
        <w:rPr>
          <w:rFonts w:ascii="Times New Roman" w:hAnsi="Times New Roman" w:eastAsia="仿宋" w:cs="仿宋"/>
          <w:sz w:val="32"/>
          <w:szCs w:val="32"/>
        </w:rPr>
        <w:t>；加大宣传力度，强化预算绩效管理意识，促进预算绩效管理水平进一步提升</w:t>
      </w:r>
      <w:r>
        <w:rPr>
          <w:rFonts w:hint="eastAsia" w:ascii="Times New Roman" w:hAnsi="Times New Roman" w:eastAsia="仿宋" w:cs="仿宋"/>
          <w:sz w:val="32"/>
          <w:szCs w:val="32"/>
        </w:rPr>
        <w:t>。</w:t>
      </w:r>
    </w:p>
    <w:p>
      <w:pPr>
        <w:autoSpaceDE w:val="0"/>
        <w:autoSpaceDN w:val="0"/>
        <w:adjustRightInd w:val="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第二部分预算项目绩效目标</w:t>
      </w:r>
      <w:bookmarkEnd w:id="0"/>
    </w:p>
    <w:p>
      <w:pPr>
        <w:ind w:firstLine="562" w:firstLineChars="200"/>
        <w:jc w:val="left"/>
        <w:outlineLvl w:val="1"/>
        <w:rPr>
          <w:rFonts w:hAnsi="宋体"/>
          <w:b/>
          <w:sz w:val="28"/>
        </w:rPr>
      </w:pPr>
      <w:r>
        <w:rPr>
          <w:rFonts w:hint="eastAsia" w:ascii="方正仿宋_GBK" w:eastAsia="方正仿宋_GBK"/>
          <w:b/>
          <w:sz w:val="28"/>
        </w:rPr>
        <w:t>1、大数据辅助分析服务三级实验室建设绩效目标表</w:t>
      </w:r>
      <w:r>
        <w:fldChar w:fldCharType="begin"/>
      </w:r>
      <w:r>
        <w:rPr>
          <w:rFonts w:hint="eastAsia" w:ascii="方正仿宋_GBK" w:eastAsia="方正仿宋_GBK"/>
          <w:b/>
          <w:sz w:val="28"/>
        </w:rPr>
        <w:instrText xml:space="preserve">TC </w:instrText>
      </w:r>
      <w:bookmarkStart w:id="4" w:name="_Toc34950494"/>
      <w:r>
        <w:rPr>
          <w:rFonts w:hint="eastAsia" w:ascii="方正仿宋_GBK" w:eastAsia="方正仿宋_GBK"/>
          <w:b/>
          <w:sz w:val="28"/>
        </w:rPr>
        <w:instrText xml:space="preserve">1、大数据辅助分析服务三级实验室建设绩效目标表</w:instrText>
      </w:r>
      <w:bookmarkEnd w:id="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无极县公安局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312-0202-YBN-GM3E</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大数据辅助分析服务三级实验室建设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60.00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60.00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电子数据勘查取证装备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、确保取证工作更好服务实战</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、提高侦查办案率</w:t>
            </w:r>
          </w:p>
        </w:tc>
      </w:tr>
    </w:tbl>
    <w:p>
      <w:pPr>
        <w:spacing w:line="14" w:lineRule="exact"/>
        <w:ind w:firstLine="420" w:firstLineChars="200"/>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正常使用率（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系统维保后正常使用率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全年网络可用率（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网络可用数与总数比率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提供服务次数（个）</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通过信息网络正常运维为公安业务或社会提供服务的数量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治安防控体系覆盖率（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治安防控体系在各个区域地段覆盖情况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被慰问人员满意度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被慰问人员满意度调查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bl>
    <w:p>
      <w:pPr>
        <w:ind w:firstLine="562" w:firstLineChars="200"/>
        <w:jc w:val="left"/>
        <w:outlineLvl w:val="1"/>
        <w:rPr>
          <w:rFonts w:ascii="方正仿宋_GBK" w:eastAsia="方正仿宋_GBK"/>
          <w:b/>
          <w:sz w:val="28"/>
        </w:rPr>
      </w:pPr>
    </w:p>
    <w:p>
      <w:pPr>
        <w:jc w:val="left"/>
        <w:outlineLvl w:val="1"/>
        <w:rPr>
          <w:rFonts w:hAnsi="宋体"/>
          <w:b/>
          <w:sz w:val="28"/>
        </w:rPr>
      </w:pPr>
      <w:r>
        <w:rPr>
          <w:rFonts w:hint="eastAsia" w:ascii="方正仿宋_GBK" w:eastAsia="方正仿宋_GBK"/>
          <w:b/>
          <w:sz w:val="28"/>
        </w:rPr>
        <w:t>2、大要案准备金绩效目标表</w:t>
      </w:r>
      <w:r>
        <w:fldChar w:fldCharType="begin"/>
      </w:r>
      <w:r>
        <w:rPr>
          <w:rFonts w:hint="eastAsia" w:ascii="方正仿宋_GBK" w:eastAsia="方正仿宋_GBK"/>
          <w:b/>
          <w:sz w:val="28"/>
        </w:rPr>
        <w:instrText xml:space="preserve">TC </w:instrText>
      </w:r>
      <w:bookmarkStart w:id="5" w:name="_Toc34950495"/>
      <w:r>
        <w:rPr>
          <w:rFonts w:hint="eastAsia" w:ascii="方正仿宋_GBK" w:eastAsia="方正仿宋_GBK"/>
          <w:b/>
          <w:sz w:val="28"/>
        </w:rPr>
        <w:instrText xml:space="preserve">2、大要案准备金绩效目标表</w:instrText>
      </w:r>
      <w:bookmarkEnd w:id="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无极县公安局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312-0201-JBN-59E2</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大要案准备金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15.00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15.00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提高重特大案件组织、指挥力度，提高破案率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、协助开展暴力犯罪案件、文物走私案件、多发性侵财案件和其他刑事案件的侦破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、提高重特大案件组织、指挥力度，提高破案率</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发起全国集群战役数（个）</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组织发起全国集群战役的数量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重特大案件组织、指挥、督导协调率（</w:t>
            </w:r>
            <w:r>
              <w:rPr>
                <w:rFonts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组织、指挥、督导重特大犯罪案件数占发案总数的比率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有组织犯罪案件数降低率（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有组织犯罪案件数量同比降低的比率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国家明令淘汰类污染项目违法犯罪降低数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国家明令淘汰类污染项目违法犯罪下降数量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被慰问人员满意度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被慰问人员满意度调查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bl>
    <w:p>
      <w:pPr>
        <w:spacing w:line="300" w:lineRule="exact"/>
        <w:jc w:val="left"/>
      </w:pPr>
    </w:p>
    <w:p>
      <w:pPr>
        <w:ind w:firstLine="562" w:firstLineChars="200"/>
        <w:jc w:val="left"/>
        <w:outlineLvl w:val="1"/>
        <w:rPr>
          <w:rFonts w:hAnsi="宋体"/>
          <w:b/>
          <w:sz w:val="28"/>
        </w:rPr>
      </w:pPr>
      <w:r>
        <w:rPr>
          <w:rFonts w:hint="eastAsia" w:ascii="方正仿宋_GBK" w:eastAsia="方正仿宋_GBK"/>
          <w:b/>
          <w:sz w:val="28"/>
        </w:rPr>
        <w:t>3、对越反击战工资绩效目标表</w:t>
      </w:r>
      <w:r>
        <w:fldChar w:fldCharType="begin"/>
      </w:r>
      <w:r>
        <w:rPr>
          <w:rFonts w:hint="eastAsia" w:ascii="方正仿宋_GBK" w:eastAsia="方正仿宋_GBK"/>
          <w:b/>
          <w:sz w:val="28"/>
        </w:rPr>
        <w:instrText xml:space="preserve">TC </w:instrText>
      </w:r>
      <w:bookmarkStart w:id="6" w:name="_Toc34950496"/>
      <w:r>
        <w:rPr>
          <w:rFonts w:hint="eastAsia" w:ascii="方正仿宋_GBK" w:eastAsia="方正仿宋_GBK"/>
          <w:b/>
          <w:sz w:val="28"/>
        </w:rPr>
        <w:instrText xml:space="preserve">3、对越反击战工资绩效目标表</w:instrText>
      </w:r>
      <w:bookmarkEnd w:id="6"/>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无极县公安局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312-0601-JBN-BHUY</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对越反击战工资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1.60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1.60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提高紧急警务的处置和日常办公的工作效率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、承担综合业务管理和机关综合事务管理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、确保机关正常运转，各项业务顺利推进</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身份证发证数量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当年新发、换发身份证数量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网络技术培训指导率（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培训指导数与总数比率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网络技术故障率（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因网络技术原因影响正常业务比率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居民身份证持证比率（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岁以上居民身份证持证数占总人口数的比率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被慰问人员满意度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被慰问人员满意度调查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bl>
    <w:p>
      <w:pPr>
        <w:ind w:firstLine="562" w:firstLineChars="200"/>
        <w:jc w:val="left"/>
        <w:outlineLvl w:val="1"/>
        <w:rPr>
          <w:rFonts w:ascii="方正仿宋_GBK" w:eastAsia="方正仿宋_GBK"/>
          <w:b/>
          <w:sz w:val="28"/>
        </w:rPr>
      </w:pPr>
    </w:p>
    <w:p>
      <w:pPr>
        <w:jc w:val="left"/>
        <w:outlineLvl w:val="1"/>
        <w:rPr>
          <w:rFonts w:hAnsi="宋体"/>
          <w:b/>
          <w:sz w:val="28"/>
        </w:rPr>
      </w:pPr>
      <w:r>
        <w:rPr>
          <w:rFonts w:hint="eastAsia" w:ascii="方正仿宋_GBK" w:eastAsia="方正仿宋_GBK"/>
          <w:b/>
          <w:sz w:val="28"/>
        </w:rPr>
        <w:t>4、辅警人员工资绩效目标表</w:t>
      </w:r>
      <w:r>
        <w:fldChar w:fldCharType="begin"/>
      </w:r>
      <w:r>
        <w:rPr>
          <w:rFonts w:hint="eastAsia" w:ascii="方正仿宋_GBK" w:eastAsia="方正仿宋_GBK"/>
          <w:b/>
          <w:sz w:val="28"/>
        </w:rPr>
        <w:instrText xml:space="preserve">TC </w:instrText>
      </w:r>
      <w:bookmarkStart w:id="7" w:name="_Toc34950497"/>
      <w:r>
        <w:rPr>
          <w:rFonts w:hint="eastAsia" w:ascii="方正仿宋_GBK" w:eastAsia="方正仿宋_GBK"/>
          <w:b/>
          <w:sz w:val="28"/>
        </w:rPr>
        <w:instrText xml:space="preserve">4、辅警人员工资绩效目标表</w:instrText>
      </w:r>
      <w:bookmarkEnd w:id="7"/>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无极县公安局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312-0601-JBN-3411</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辅警人员工资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1146.00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1146.00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提高执法规范化水平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、指导、监督全县公安机关执法活动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、制定规范性文件</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协调督导事项化解率（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化解事项占督导事项总数的比率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情报信息研判率（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研判信息占搜集信息总数的比率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有组织犯罪案件数降低率（</w:t>
            </w:r>
            <w:r>
              <w:rPr>
                <w:rFonts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有组织犯罪案件数量同比降低的比率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治安案件发案数</w:t>
            </w:r>
            <w:r>
              <w:rPr>
                <w:rFonts w:ascii="方正书宋_GBK" w:eastAsia="方正书宋_GBK"/>
              </w:rPr>
              <w:t>(</w:t>
            </w:r>
            <w:r>
              <w:rPr>
                <w:rFonts w:hint="eastAsia" w:ascii="方正书宋_GBK" w:eastAsia="方正书宋_GBK"/>
              </w:rPr>
              <w:t>个</w:t>
            </w:r>
            <w:r>
              <w:rPr>
                <w:rFonts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全省平均每日治安案件发案数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被慰问人员满意度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被慰问人员满意度调查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5、高头乡视频监控租赁费绩效目标表</w:t>
      </w:r>
      <w:r>
        <w:fldChar w:fldCharType="begin"/>
      </w:r>
      <w:r>
        <w:rPr>
          <w:rFonts w:hint="eastAsia" w:ascii="方正仿宋_GBK" w:eastAsia="方正仿宋_GBK"/>
          <w:b/>
          <w:sz w:val="28"/>
        </w:rPr>
        <w:instrText xml:space="preserve">TC </w:instrText>
      </w:r>
      <w:bookmarkStart w:id="8" w:name="_Toc34950498"/>
      <w:r>
        <w:rPr>
          <w:rFonts w:hint="eastAsia" w:ascii="方正仿宋_GBK" w:eastAsia="方正仿宋_GBK"/>
          <w:b/>
          <w:sz w:val="28"/>
        </w:rPr>
        <w:instrText xml:space="preserve">5、高头乡视频监控租赁费绩效目标表</w:instrText>
      </w:r>
      <w:bookmarkEnd w:id="8"/>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无极县公安局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312-0302-YBN-FLGQ</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高头乡视频监控租赁费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19.90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19.90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重点人口管控、安检查控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、维护社会稳定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、提高群众安全感和满意度</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重点人口管控率（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实际管控人数占应列管人数的比率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群体性事件成功处置率（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成功处置群体性事件数占全部案发数的比率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安检查控同比上升率（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环京公安检查站核查人员、车辆数与进入核心区人员、车辆数同比上升率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治安案件发案数（个）</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全省平均每日治安案件发案数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公众安全感指数（</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对治安管理满意的人数占调查总人数的比率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公众安全感指数（</w:t>
            </w:r>
            <w:r>
              <w:rPr>
                <w:rFonts w:ascii="方正书宋_GBK" w:eastAsia="方正书宋_GBK"/>
              </w:rPr>
              <w:t>%</w:t>
            </w:r>
            <w:r>
              <w:rPr>
                <w:rFonts w:hint="eastAsia" w:ascii="方正书宋_GBK" w:eastAsia="方正书宋_GBK"/>
              </w:rPr>
              <w:t>）</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6、公用经费绩效目标表</w:t>
      </w:r>
      <w:r>
        <w:fldChar w:fldCharType="begin"/>
      </w:r>
      <w:r>
        <w:rPr>
          <w:rFonts w:hint="eastAsia" w:ascii="方正仿宋_GBK" w:eastAsia="方正仿宋_GBK"/>
          <w:b/>
          <w:sz w:val="28"/>
        </w:rPr>
        <w:instrText xml:space="preserve">TC </w:instrText>
      </w:r>
      <w:bookmarkStart w:id="9" w:name="_Toc34950499"/>
      <w:r>
        <w:rPr>
          <w:rFonts w:hint="eastAsia" w:ascii="方正仿宋_GBK" w:eastAsia="方正仿宋_GBK"/>
          <w:b/>
          <w:sz w:val="28"/>
        </w:rPr>
        <w:instrText xml:space="preserve">6、公用经费绩效目标表</w:instrText>
      </w:r>
      <w:bookmarkEnd w:id="9"/>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无极县公安局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312-0601-JBN-7CGR</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339.60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339.60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加强公安机关执法规范化建设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、强化公安工作保障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、提升全县</w:t>
            </w:r>
            <w:r>
              <w:rPr>
                <w:rFonts w:hint="eastAsia" w:ascii="方正书宋_GBK" w:eastAsia="方正书宋_GBK"/>
                <w:lang w:eastAsia="zh-CN"/>
              </w:rPr>
              <w:t>公安</w:t>
            </w:r>
            <w:r>
              <w:rPr>
                <w:rFonts w:hint="eastAsia" w:ascii="方正书宋_GBK" w:eastAsia="方正书宋_GBK"/>
              </w:rPr>
              <w:t>队伍建设</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立功奖励慰问款发放率（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年度立功奖励、慰问款发放情况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全年网络可用率（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网络可用率与总数比率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网络技术故障率（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因网络技术原因影响正常业务比率（反向）</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居民身份证持证比率（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岁以上居民身份证持证数占总人口的比率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被慰问人员满意度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被慰问人员满意度调查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7、关于提前下达2020年出入境证件制作及管理补助资金的通知绩效目标表</w:t>
      </w:r>
      <w:r>
        <w:fldChar w:fldCharType="begin"/>
      </w:r>
      <w:r>
        <w:rPr>
          <w:rFonts w:hint="eastAsia" w:ascii="方正仿宋_GBK" w:eastAsia="方正仿宋_GBK"/>
          <w:b/>
          <w:sz w:val="28"/>
        </w:rPr>
        <w:instrText xml:space="preserve">TC </w:instrText>
      </w:r>
      <w:bookmarkStart w:id="10" w:name="_Toc34950500"/>
      <w:r>
        <w:rPr>
          <w:rFonts w:hint="eastAsia" w:ascii="方正仿宋_GBK" w:eastAsia="方正仿宋_GBK"/>
          <w:b/>
          <w:sz w:val="28"/>
        </w:rPr>
        <w:instrText xml:space="preserve">7、关于提前下达2020年出入境证件制作及管理补助资金的通知绩效目标表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无极县公安局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312-0601-JBN-AGUO</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年出入境证件制作及管理补助资金的通知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8.85</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8.85</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提高执法规范化水平、紧急警务的处置和日常办公的工作效率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、加强公安执法规范化建设，强化公安保障工作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、提升全县队伍建设加大督导检查力度</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骗取出国（镜）证件查办率（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查处数量占发案数的比率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三非</w:t>
            </w:r>
            <w:r>
              <w:rPr>
                <w:rFonts w:hint="cs" w:ascii="方正书宋_GBK" w:eastAsia="方正书宋_GBK"/>
              </w:rPr>
              <w:t>”</w:t>
            </w:r>
            <w:r>
              <w:rPr>
                <w:rFonts w:hint="eastAsia" w:ascii="方正书宋_GBK" w:eastAsia="方正书宋_GBK"/>
              </w:rPr>
              <w:t>外国人查办率（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查处数量占发案数的比率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出入境证件废证率（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出入境证件制证废品数占制证总数的比率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公共安全感指数（</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对治安管理满意的人数占调查总人数的比率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被慰问人员满意度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被慰问人员满意度调查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8、戒毒经费绩效目标表</w:t>
      </w:r>
      <w:r>
        <w:fldChar w:fldCharType="begin"/>
      </w:r>
      <w:r>
        <w:rPr>
          <w:rFonts w:hint="eastAsia" w:ascii="方正仿宋_GBK" w:eastAsia="方正仿宋_GBK"/>
          <w:b/>
          <w:sz w:val="28"/>
        </w:rPr>
        <w:instrText xml:space="preserve">TC </w:instrText>
      </w:r>
      <w:bookmarkStart w:id="11" w:name="_Toc34950501"/>
      <w:r>
        <w:rPr>
          <w:rFonts w:hint="eastAsia" w:ascii="方正仿宋_GBK" w:eastAsia="方正仿宋_GBK"/>
          <w:b/>
          <w:sz w:val="28"/>
        </w:rPr>
        <w:instrText xml:space="preserve">8、戒毒经费绩效目标表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无极县公安局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312-0202-JBN-WRXF</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戒毒经费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15.00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15.00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侦查办案、购买装备、禁毒宣传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、吸毒人员查处、抓获犯罪嫌疑人数量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、侦查办案、进度奖励</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吸毒人员查处率（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有效管理吸毒人员比率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发起全国集群战役数（个）</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组织发起全国集群战役的数量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吸毒人员管控比率（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有效管理吸毒人员比率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重大活动突发事件发生率（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发生突发事件的重大活动量占全部重大活动的比率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被慰问人员满意度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被慰问人员满意度调查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9、津贴补贴绩效目标表</w:t>
      </w:r>
      <w:r>
        <w:fldChar w:fldCharType="begin"/>
      </w:r>
      <w:r>
        <w:rPr>
          <w:rFonts w:hint="eastAsia" w:ascii="方正仿宋_GBK" w:eastAsia="方正仿宋_GBK"/>
          <w:b/>
          <w:sz w:val="28"/>
        </w:rPr>
        <w:instrText xml:space="preserve">TC </w:instrText>
      </w:r>
      <w:bookmarkStart w:id="12" w:name="_Toc34950502"/>
      <w:r>
        <w:rPr>
          <w:rFonts w:hint="eastAsia" w:ascii="方正仿宋_GBK" w:eastAsia="方正仿宋_GBK"/>
          <w:b/>
          <w:sz w:val="28"/>
        </w:rPr>
        <w:instrText xml:space="preserve">9、津贴补贴绩效目标表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无极县公安局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312-0601-JBN-GGO3</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津贴补贴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提高执法规范化水平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、指导、监督全县公安机关执法活动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、开展情报收集、现场处置、固定证据、教育训诫和依法打击工作</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情报信息研判率（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研判信息占收集信息总数的比率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涉稳舆情处置率（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化解事项占督导事项总数的比率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按照要求和计划完成研究任务的项目在所有立项项目中的比例（百分比）</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突发事件新闻处置完成率（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处置完成突发事件新闻数量占突发事件新闻数量的比例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国家明令淘汰类污染项目违法犯罪降低数（个）</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国家明令淘汰类污染项目违法犯罪下降数量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对治安管理满意度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10、拘留所经费绩效目标表</w:t>
      </w:r>
      <w:r>
        <w:fldChar w:fldCharType="begin"/>
      </w:r>
      <w:r>
        <w:rPr>
          <w:rFonts w:hint="eastAsia" w:ascii="方正仿宋_GBK" w:eastAsia="方正仿宋_GBK"/>
          <w:b/>
          <w:sz w:val="28"/>
        </w:rPr>
        <w:instrText xml:space="preserve">TC </w:instrText>
      </w:r>
      <w:bookmarkStart w:id="13" w:name="_Toc34950503"/>
      <w:r>
        <w:rPr>
          <w:rFonts w:hint="eastAsia" w:ascii="方正仿宋_GBK" w:eastAsia="方正仿宋_GBK"/>
          <w:b/>
          <w:sz w:val="28"/>
        </w:rPr>
        <w:instrText xml:space="preserve">10、拘留所经费绩效目标表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无极县公安局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312-0201-JBN-Z3DW</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拘留所经费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监管场所业务工作及在押人员的监管教育、安全防范工作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、确保监管场所不断提升管理教育与安全防范水平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、提高建设信息化工作水平</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被羁押人员各类安全事故发生数量控制率（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食品安全事故、医疗安全事故、内部斗殴致伤事故等数量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全年网络可用率（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网络可用数与总数比率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被羁押人员各类安全事故下降率（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当年发生的各类安全事故数量占当年总羁押人员的比率与上年同比下降</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网络技术故障率（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因网络技术原因影响正常业务比率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被慰问人员满意度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被慰问人员满意度调查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11、看守所经费绩效目标表</w:t>
      </w:r>
      <w:r>
        <w:fldChar w:fldCharType="begin"/>
      </w:r>
      <w:r>
        <w:rPr>
          <w:rFonts w:hint="eastAsia" w:ascii="方正仿宋_GBK" w:eastAsia="方正仿宋_GBK"/>
          <w:b/>
          <w:sz w:val="28"/>
        </w:rPr>
        <w:instrText xml:space="preserve">TC </w:instrText>
      </w:r>
      <w:bookmarkStart w:id="14" w:name="_Toc34950504"/>
      <w:r>
        <w:rPr>
          <w:rFonts w:hint="eastAsia" w:ascii="方正仿宋_GBK" w:eastAsia="方正仿宋_GBK"/>
          <w:b/>
          <w:sz w:val="28"/>
        </w:rPr>
        <w:instrText xml:space="preserve">11、看守所经费绩效目标表</w:instrText>
      </w:r>
      <w:bookmarkEnd w:id="1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无极县公安局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312-0201-JBN-GGG9</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看守所经费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120.00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120.00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提高管理教育与安全防范水平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、做好在押人员的监管教育、安全防范工作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、查处安全事故，做好教育感化深挖犯罪工作</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重点人口管控率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事件管控人数占应列管人数的比率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群体性事件成功处置率（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成功处置群体性事件占全部案件的比率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扶助资金到位率（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实际到位扶助资金占应到位资金的比例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突发事件新闻处置完成率（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处置完成突发事件新闻数量占突发事件新闻数量的比例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民转刑</w:t>
            </w:r>
            <w:r>
              <w:rPr>
                <w:rFonts w:hint="cs" w:ascii="方正书宋_GBK" w:eastAsia="方正书宋_GBK"/>
              </w:rPr>
              <w:t>”</w:t>
            </w:r>
            <w:r>
              <w:rPr>
                <w:rFonts w:hint="eastAsia" w:ascii="方正书宋_GBK" w:eastAsia="方正书宋_GBK"/>
              </w:rPr>
              <w:t>命案减少率（</w:t>
            </w:r>
            <w:r>
              <w:rPr>
                <w:rFonts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命案发生数量减少率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见义勇为人员奖励、帮扶覆盖率</w:t>
            </w:r>
            <w:r>
              <w:rPr>
                <w:rFonts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奖励、帮扶见义勇为人员人次占人次的比率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被慰问人员满意度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被慰问人员满意度调查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12、提前下达2020年省级基层公检法司转移支付资金绩效目标表</w:t>
      </w:r>
      <w:r>
        <w:fldChar w:fldCharType="begin"/>
      </w:r>
      <w:r>
        <w:rPr>
          <w:rFonts w:hint="eastAsia" w:ascii="方正仿宋_GBK" w:eastAsia="方正仿宋_GBK"/>
          <w:b/>
          <w:sz w:val="28"/>
        </w:rPr>
        <w:instrText xml:space="preserve">TC </w:instrText>
      </w:r>
      <w:bookmarkStart w:id="15" w:name="_Toc34950505"/>
      <w:r>
        <w:rPr>
          <w:rFonts w:hint="eastAsia" w:ascii="方正仿宋_GBK" w:eastAsia="方正仿宋_GBK"/>
          <w:b/>
          <w:sz w:val="28"/>
        </w:rPr>
        <w:instrText xml:space="preserve">12、提前下达2020年省级基层公检法司转移支付资金绩效目标表</w:instrText>
      </w:r>
      <w:bookmarkEnd w:id="1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无极县公安局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312-0202-JBN-99C5</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年省级基层公检法司转移支付资金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266.00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266.00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维护社会稳定，提高群众安全感和满意度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、提高治安管理的科技化、信息化水平和查控能力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、确保全县民生基础设施平稳运行</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枪爆案件破案率（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案件破案数占案件发生数的比率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大型群众性活动安全举办率（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大型群众性活动成果举报起数占大型群众性活动起数的比率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有组织犯罪案件数降低率（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有组织犯罪案件数量同比降低的比率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国家明令淘汰类污染项目违法犯罪降低数（个）</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国家明令淘汰类污染项目违法犯罪下降数量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被慰问人员满意度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被慰问人员满意度调查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13、提前下达2020年中央政法纪检监察转移支付资金-公安绩效目标表</w:t>
      </w:r>
      <w:r>
        <w:fldChar w:fldCharType="begin"/>
      </w:r>
      <w:r>
        <w:rPr>
          <w:rFonts w:hint="eastAsia" w:ascii="方正仿宋_GBK" w:eastAsia="方正仿宋_GBK"/>
          <w:b/>
          <w:sz w:val="28"/>
        </w:rPr>
        <w:instrText xml:space="preserve">TC </w:instrText>
      </w:r>
      <w:bookmarkStart w:id="16" w:name="_Toc34950506"/>
      <w:r>
        <w:rPr>
          <w:rFonts w:hint="eastAsia" w:ascii="方正仿宋_GBK" w:eastAsia="方正仿宋_GBK"/>
          <w:b/>
          <w:sz w:val="28"/>
        </w:rPr>
        <w:instrText xml:space="preserve">13、提前下达2020年中央政法纪检监察转移支付资金-公安绩效目标表</w:instrText>
      </w:r>
      <w:bookmarkEnd w:id="16"/>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无极县公安局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312-0203-JBN-821E</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年中央政法纪检监察转移支付资金</w:t>
            </w:r>
            <w:r>
              <w:rPr>
                <w:rFonts w:ascii="方正书宋_GBK" w:eastAsia="方正书宋_GBK"/>
              </w:rPr>
              <w:t>-</w:t>
            </w:r>
            <w:r>
              <w:rPr>
                <w:rFonts w:hint="eastAsia" w:ascii="方正书宋_GBK" w:eastAsia="方正书宋_GBK"/>
              </w:rPr>
              <w:t>公安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349.00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349.00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提高各类案件破案率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、办理各类案件所需经费开支，直接与具体案件挂钩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、严格执行现行国家规定的办案经费开支范围</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涉稳舆情处置率（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处置的涉稳舆情数占涉稳网络舆情总数的比率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护城河工程任务完成率（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完成的护城河工程任务占任务总数的比率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重大活动突发事件发生率（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发生突发事件的重大活动数量占全部重大活动的比率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吸毒人员查处率（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有限管理吸毒人员比率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被慰问人员满意度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被慰问人员满意度调查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14、天网工程租赁费绩效目标表</w:t>
      </w:r>
      <w:r>
        <w:fldChar w:fldCharType="begin"/>
      </w:r>
      <w:r>
        <w:rPr>
          <w:rFonts w:hint="eastAsia" w:ascii="方正仿宋_GBK" w:eastAsia="方正仿宋_GBK"/>
          <w:b/>
          <w:sz w:val="28"/>
        </w:rPr>
        <w:instrText xml:space="preserve">TC </w:instrText>
      </w:r>
      <w:bookmarkStart w:id="17" w:name="_Toc34950507"/>
      <w:r>
        <w:rPr>
          <w:rFonts w:hint="eastAsia" w:ascii="方正仿宋_GBK" w:eastAsia="方正仿宋_GBK"/>
          <w:b/>
          <w:sz w:val="28"/>
        </w:rPr>
        <w:instrText xml:space="preserve">14、天网工程租赁费绩效目标表</w:instrText>
      </w:r>
      <w:bookmarkEnd w:id="17"/>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无极县公安局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312-0302-JBN-I1AY</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天网工程租赁费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590.40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590.40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重点人口管控、群体性事件处置率、安检查控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、维护社会稳定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、提高群众安全感和满意度</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正常使用率（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系统维保后正常使用率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重点人口管控率（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事件管控人数占应列管人数的比率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提高服务次数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通过信息网络正常运维为公安业务或社会提供服务的数量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治安防控体系覆盖率（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治安防控体系在各个区域的覆盖情况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被慰问人员满意度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被慰问人员满意度调查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15、行政性收费绩效目标表</w:t>
      </w:r>
      <w:r>
        <w:fldChar w:fldCharType="begin"/>
      </w:r>
      <w:r>
        <w:rPr>
          <w:rFonts w:hint="eastAsia" w:ascii="方正仿宋_GBK" w:eastAsia="方正仿宋_GBK"/>
          <w:b/>
          <w:sz w:val="28"/>
        </w:rPr>
        <w:instrText xml:space="preserve">TC </w:instrText>
      </w:r>
      <w:bookmarkStart w:id="18" w:name="_Toc34950508"/>
      <w:r>
        <w:rPr>
          <w:rFonts w:hint="eastAsia" w:ascii="方正仿宋_GBK" w:eastAsia="方正仿宋_GBK"/>
          <w:b/>
          <w:sz w:val="28"/>
        </w:rPr>
        <w:instrText xml:space="preserve">15、行政性收费绩效目标表</w:instrText>
      </w:r>
      <w:bookmarkEnd w:id="18"/>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无极县公安局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312-0601-JBN-A25B</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行政性收费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60.00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60.00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提高执法规范化水平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、确保公安各项业务顺利开展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、维护社会稳定</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奖励、慰问人次（</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见义勇为、各种立功等奖励以及各类慰问</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全年网络可用率（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网络可用数与总数比率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立功奖励慰问款发放率（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年度立功奖励、慰问款发放情况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见义勇为人员奖励、帮扶覆盖率（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奖励、帮扶见义勇为人员人次占人次的比率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被慰问人员满意度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被慰问人员满意度调查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bl>
    <w:p>
      <w:pPr>
        <w:spacing w:line="300" w:lineRule="exact"/>
        <w:ind w:firstLine="420" w:firstLineChars="200"/>
        <w:jc w:val="left"/>
        <w:sectPr>
          <w:pgSz w:w="11907" w:h="16839"/>
          <w:pgMar w:top="1984" w:right="1304" w:bottom="1134" w:left="1304" w:header="851" w:footer="992" w:gutter="0"/>
          <w:cols w:space="720"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16、远程审讯系统建设绩效目标表</w:t>
      </w:r>
      <w:r>
        <w:fldChar w:fldCharType="begin"/>
      </w:r>
      <w:r>
        <w:rPr>
          <w:rFonts w:hint="eastAsia" w:ascii="方正仿宋_GBK" w:eastAsia="方正仿宋_GBK"/>
          <w:b/>
          <w:sz w:val="28"/>
        </w:rPr>
        <w:instrText xml:space="preserve">TC </w:instrText>
      </w:r>
      <w:bookmarkStart w:id="19" w:name="_Toc34950509"/>
      <w:r>
        <w:rPr>
          <w:rFonts w:hint="eastAsia" w:ascii="方正仿宋_GBK" w:eastAsia="方正仿宋_GBK"/>
          <w:b/>
          <w:sz w:val="28"/>
        </w:rPr>
        <w:instrText xml:space="preserve">16、远程审讯系统建设绩效目标表</w:instrText>
      </w:r>
      <w:bookmarkEnd w:id="19"/>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312002</w:t>
            </w:r>
            <w:r>
              <w:rPr>
                <w:rFonts w:hint="eastAsia" w:ascii="方正书宋_GBK" w:eastAsia="方正书宋_GBK"/>
                <w:b/>
              </w:rPr>
              <w:t>无极县公安局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312-0302-YBN-5WPH</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远程审讯系统建设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120.49</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120.49</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建设远程视频审讯平台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、提高执法规范化建设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、提升公众安全感</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正常使用率（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系统维保后正常使用率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网络技术故障率（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因网络技术原因影响正常业务比率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提供服务次数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提高信息网络正常运维为公安业务或社会提供服务的数量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eastAsia="方正书宋_GBK"/>
              </w:rPr>
            </w:pPr>
          </w:p>
        </w:tc>
        <w:tc>
          <w:tcPr>
            <w:tcW w:w="1134" w:type="dxa"/>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治安防控体系覆盖率（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治安防控体系在各个区域的覆盖情况</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被慰问人员满意度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被慰问人员满意度调查</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国家相关法律、法规和规章制度</w:t>
            </w:r>
          </w:p>
        </w:tc>
      </w:tr>
    </w:tbl>
    <w:p>
      <w:pPr>
        <w:spacing w:line="300" w:lineRule="exact"/>
        <w:jc w:val="left"/>
        <w:sectPr>
          <w:pgSz w:w="11907" w:h="16839"/>
          <w:pgMar w:top="1984" w:right="1304" w:bottom="1134" w:left="1304"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autoSpaceDE w:val="0"/>
        <w:autoSpaceDN w:val="0"/>
        <w:adjustRightInd w:val="0"/>
        <w:ind w:firstLine="640" w:firstLineChars="200"/>
        <w:jc w:val="left"/>
        <w:rPr>
          <w:rFonts w:ascii="Times New Roman" w:hAnsi="Times New Roman" w:eastAsia="仿宋" w:cs="仿宋"/>
          <w:color w:val="000000"/>
          <w:sz w:val="32"/>
          <w:szCs w:val="32"/>
        </w:rPr>
      </w:pPr>
      <w:r>
        <w:rPr>
          <w:rFonts w:hint="eastAsia" w:ascii="Times New Roman" w:hAnsi="Times New Roman" w:eastAsia="仿宋" w:cs="仿宋"/>
          <w:color w:val="000000"/>
          <w:sz w:val="32"/>
          <w:szCs w:val="32"/>
        </w:rPr>
        <w:t>2020年我单位没有安排政府采购预算，政府采购预算金额为0万元。</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无极县公安局</w:t>
      </w: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rPr>
        <w:t>19</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Times New Roman"/>
          <w:color w:val="000000"/>
          <w:sz w:val="32"/>
          <w:szCs w:val="32"/>
        </w:rPr>
        <w:t>5187.81</w:t>
      </w:r>
      <w:r>
        <w:rPr>
          <w:rFonts w:hint="eastAsia" w:ascii="Times New Roman" w:hAnsi="Times New Roman" w:eastAsia="仿宋" w:cs="仿宋"/>
          <w:color w:val="000000"/>
          <w:sz w:val="32"/>
          <w:szCs w:val="32"/>
        </w:rPr>
        <w:t>万元，</w:t>
      </w:r>
      <w:r>
        <w:rPr>
          <w:rFonts w:ascii="Times New Roman" w:hAnsi="Times New Roman" w:eastAsia="仿宋" w:cs="Times New Roman"/>
          <w:color w:val="000000"/>
          <w:sz w:val="32"/>
          <w:szCs w:val="32"/>
        </w:rPr>
        <w:t>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总额为0</w:t>
      </w:r>
      <w:r>
        <w:rPr>
          <w:rFonts w:ascii="Times New Roman" w:hAnsi="Times New Roman" w:eastAsia="仿宋" w:cs="Times New Roman"/>
          <w:color w:val="000000"/>
          <w:sz w:val="32"/>
          <w:szCs w:val="32"/>
        </w:rPr>
        <w:t>万元</w:t>
      </w:r>
      <w:r>
        <w:rPr>
          <w:rFonts w:hint="eastAsia" w:ascii="Times New Roman" w:hAnsi="Times New Roman" w:eastAsia="仿宋" w:cs="仿宋"/>
          <w:color w:val="000000"/>
          <w:sz w:val="32"/>
          <w:szCs w:val="32"/>
        </w:rPr>
        <w:t>（详见下表）.</w:t>
      </w:r>
    </w:p>
    <w:tbl>
      <w:tblPr>
        <w:tblStyle w:val="7"/>
        <w:tblW w:w="13482" w:type="dxa"/>
        <w:tblInd w:w="-10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224"/>
        <w:gridCol w:w="3155"/>
        <w:gridCol w:w="51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ind w:firstLine="643"/>
              <w:jc w:val="center"/>
              <w:rPr>
                <w:rFonts w:ascii="宋体" w:cs="Times New Roman"/>
                <w:b/>
                <w:bCs/>
                <w:kern w:val="0"/>
                <w:sz w:val="32"/>
                <w:szCs w:val="32"/>
              </w:rPr>
            </w:pPr>
            <w:r>
              <w:rPr>
                <w:rFonts w:hint="eastAsia" w:ascii="宋体" w:hAnsi="宋体" w:cs="宋体"/>
                <w:b/>
                <w:bCs/>
                <w:kern w:val="0"/>
                <w:szCs w:val="32"/>
              </w:rPr>
              <w:t>无极县公安局固定资产占用情况表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ind w:firstLine="440"/>
              <w:jc w:val="left"/>
              <w:rPr>
                <w:rFonts w:ascii="Times New Roman" w:hAnsi="Times New Roman" w:eastAsia="仿宋" w:cs="Times New Roman"/>
                <w:kern w:val="0"/>
                <w:sz w:val="22"/>
                <w:szCs w:val="22"/>
              </w:rPr>
            </w:pPr>
            <w:r>
              <w:rPr>
                <w:rFonts w:hint="eastAsia" w:ascii="宋体" w:hAnsi="宋体" w:cs="宋体"/>
                <w:kern w:val="0"/>
                <w:sz w:val="22"/>
              </w:rPr>
              <w:t>编制部门：无极县公安局</w:t>
            </w:r>
          </w:p>
        </w:tc>
        <w:tc>
          <w:tcPr>
            <w:tcW w:w="5103" w:type="dxa"/>
            <w:tcBorders>
              <w:top w:val="nil"/>
              <w:left w:val="nil"/>
              <w:bottom w:val="nil"/>
              <w:right w:val="nil"/>
            </w:tcBorders>
            <w:vAlign w:val="center"/>
          </w:tcPr>
          <w:p>
            <w:pPr>
              <w:widowControl/>
              <w:ind w:firstLine="440"/>
              <w:jc w:val="left"/>
              <w:rPr>
                <w:rFonts w:ascii="Times New Roman" w:hAnsi="Times New Roman" w:eastAsia="仿宋" w:cs="Times New Roman"/>
                <w:kern w:val="0"/>
                <w:sz w:val="22"/>
                <w:szCs w:val="22"/>
              </w:rPr>
            </w:pPr>
            <w:r>
              <w:rPr>
                <w:rFonts w:hint="eastAsia" w:ascii="宋体" w:hAnsi="宋体" w:cs="宋体"/>
                <w:kern w:val="0"/>
                <w:sz w:val="22"/>
              </w:rPr>
              <w:t xml:space="preserve">截止时间：2019年12月31日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ind w:firstLine="442"/>
              <w:jc w:val="center"/>
              <w:rPr>
                <w:rFonts w:ascii="宋体" w:cs="Times New Roman"/>
                <w:b/>
                <w:bCs/>
                <w:kern w:val="0"/>
                <w:sz w:val="22"/>
                <w:szCs w:val="22"/>
              </w:rPr>
            </w:pPr>
            <w:r>
              <w:rPr>
                <w:rFonts w:hint="eastAsia" w:ascii="宋体" w:hAnsi="宋体" w:cs="宋体"/>
                <w:b/>
                <w:bCs/>
                <w:kern w:val="0"/>
                <w:sz w:val="22"/>
              </w:rPr>
              <w:t>项   目</w:t>
            </w:r>
          </w:p>
        </w:tc>
        <w:tc>
          <w:tcPr>
            <w:tcW w:w="3155" w:type="dxa"/>
            <w:tcBorders>
              <w:top w:val="single" w:color="auto" w:sz="4" w:space="0"/>
              <w:left w:val="nil"/>
              <w:bottom w:val="single" w:color="auto" w:sz="4" w:space="0"/>
              <w:right w:val="single" w:color="auto" w:sz="4" w:space="0"/>
            </w:tcBorders>
            <w:vAlign w:val="center"/>
          </w:tcPr>
          <w:p>
            <w:pPr>
              <w:widowControl/>
              <w:ind w:firstLine="442"/>
              <w:jc w:val="center"/>
              <w:rPr>
                <w:rFonts w:ascii="宋体" w:cs="Times New Roman"/>
                <w:b/>
                <w:bCs/>
                <w:kern w:val="0"/>
                <w:sz w:val="22"/>
                <w:szCs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ind w:firstLine="442"/>
              <w:jc w:val="center"/>
              <w:rPr>
                <w:rFonts w:ascii="宋体" w:cs="Times New Roman"/>
                <w:b/>
                <w:bCs/>
                <w:kern w:val="0"/>
                <w:sz w:val="22"/>
                <w:szCs w:val="22"/>
              </w:rPr>
            </w:pPr>
            <w:r>
              <w:rPr>
                <w:rFonts w:hint="eastAsia" w:ascii="宋体" w:hAnsi="宋体" w:cs="宋体"/>
                <w:b/>
                <w:bCs/>
                <w:kern w:val="0"/>
                <w:sz w:val="22"/>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ind w:firstLine="440"/>
              <w:jc w:val="center"/>
              <w:rPr>
                <w:rFonts w:ascii="Times New Roman" w:hAnsi="Times New Roman" w:eastAsia="仿宋" w:cs="Times New Roman"/>
                <w:kern w:val="0"/>
                <w:sz w:val="22"/>
                <w:szCs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vAlign w:val="center"/>
          </w:tcPr>
          <w:p>
            <w:pPr>
              <w:widowControl/>
              <w:ind w:firstLine="440"/>
              <w:jc w:val="center"/>
              <w:rPr>
                <w:rFonts w:ascii="Times New Roman" w:hAnsi="Times New Roman" w:eastAsia="仿宋" w:cs="Times New Roman"/>
                <w:kern w:val="0"/>
                <w:sz w:val="22"/>
                <w:szCs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pPr>
              <w:widowControl/>
              <w:ind w:firstLine="440"/>
              <w:jc w:val="center"/>
              <w:rPr>
                <w:rFonts w:ascii="Times New Roman" w:hAnsi="Times New Roman" w:eastAsia="仿宋" w:cs="Times New Roman"/>
                <w:color w:val="FF0000"/>
                <w:kern w:val="0"/>
                <w:sz w:val="22"/>
                <w:szCs w:val="22"/>
              </w:rPr>
            </w:pPr>
            <w:r>
              <w:rPr>
                <w:rFonts w:hint="eastAsia" w:ascii="宋体" w:hAnsi="宋体" w:eastAsia="仿宋" w:cs="宋体"/>
                <w:kern w:val="0"/>
                <w:sz w:val="22"/>
              </w:rPr>
              <w:t>5187.81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ind w:firstLine="440"/>
              <w:jc w:val="left"/>
              <w:rPr>
                <w:rFonts w:ascii="Times New Roman" w:hAnsi="Times New Roman" w:eastAsia="仿宋" w:cs="Times New Roman"/>
                <w:kern w:val="0"/>
                <w:sz w:val="22"/>
                <w:szCs w:val="22"/>
              </w:rPr>
            </w:pPr>
            <w:r>
              <w:rPr>
                <w:rFonts w:hint="eastAsia" w:ascii="宋体" w:hAnsi="宋体" w:cs="宋体"/>
                <w:kern w:val="0"/>
                <w:sz w:val="22"/>
              </w:rPr>
              <w:t>1、房屋（平方米）</w:t>
            </w:r>
          </w:p>
        </w:tc>
        <w:tc>
          <w:tcPr>
            <w:tcW w:w="3155" w:type="dxa"/>
            <w:tcBorders>
              <w:top w:val="nil"/>
              <w:left w:val="nil"/>
              <w:bottom w:val="single" w:color="auto" w:sz="4" w:space="0"/>
              <w:right w:val="single" w:color="auto" w:sz="4" w:space="0"/>
            </w:tcBorders>
            <w:vAlign w:val="center"/>
          </w:tcPr>
          <w:p>
            <w:pPr>
              <w:widowControl/>
              <w:ind w:firstLine="440"/>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ind w:firstLine="440"/>
              <w:jc w:val="center"/>
              <w:rPr>
                <w:rFonts w:ascii="Times New Roman" w:hAnsi="Times New Roman" w:eastAsia="仿宋" w:cs="Times New Roman"/>
                <w:kern w:val="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ind w:firstLine="440"/>
              <w:jc w:val="left"/>
              <w:rPr>
                <w:rFonts w:ascii="Times New Roman" w:hAnsi="Times New Roman" w:eastAsia="仿宋" w:cs="Times New Roman"/>
                <w:kern w:val="0"/>
                <w:sz w:val="22"/>
                <w:szCs w:val="22"/>
              </w:rPr>
            </w:pPr>
            <w:r>
              <w:rPr>
                <w:rFonts w:hint="eastAsia" w:ascii="宋体" w:hAnsi="宋体" w:cs="宋体"/>
                <w:kern w:val="0"/>
                <w:sz w:val="22"/>
              </w:rPr>
              <w:t xml:space="preserve">  其中：办公用房（平方米）</w:t>
            </w:r>
          </w:p>
        </w:tc>
        <w:tc>
          <w:tcPr>
            <w:tcW w:w="3155" w:type="dxa"/>
            <w:tcBorders>
              <w:top w:val="nil"/>
              <w:left w:val="nil"/>
              <w:bottom w:val="single" w:color="auto" w:sz="4" w:space="0"/>
              <w:right w:val="single" w:color="auto" w:sz="4" w:space="0"/>
            </w:tcBorders>
            <w:vAlign w:val="center"/>
          </w:tcPr>
          <w:p>
            <w:pPr>
              <w:widowControl/>
              <w:ind w:firstLine="440"/>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ind w:firstLine="640"/>
              <w:jc w:val="center"/>
              <w:rPr>
                <w:rFonts w:ascii="Times New Roman" w:hAnsi="Times New Roman" w:eastAsia="仿宋" w:cs="Times New Roman"/>
                <w:kern w:val="0"/>
                <w:sz w:val="22"/>
                <w:szCs w:val="22"/>
              </w:rPr>
            </w:pPr>
            <w:r>
              <w:rPr>
                <w:rFonts w:hint="eastAsia" w:ascii="仿宋" w:hAnsi="仿宋" w:eastAsia="仿宋" w:cs="宋体"/>
                <w:kern w:val="0"/>
                <w:szCs w:val="32"/>
              </w:rPr>
              <w:t>1732.5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ind w:firstLine="440"/>
              <w:jc w:val="left"/>
              <w:rPr>
                <w:rFonts w:ascii="Times New Roman" w:hAnsi="Times New Roman" w:eastAsia="仿宋" w:cs="Times New Roman"/>
                <w:kern w:val="0"/>
                <w:sz w:val="22"/>
                <w:szCs w:val="22"/>
              </w:rPr>
            </w:pPr>
            <w:r>
              <w:rPr>
                <w:rFonts w:hint="eastAsia" w:ascii="宋体" w:hAnsi="宋体" w:cs="宋体"/>
                <w:kern w:val="0"/>
                <w:sz w:val="22"/>
              </w:rPr>
              <w:t>2、车辆（台、辆）</w:t>
            </w:r>
          </w:p>
        </w:tc>
        <w:tc>
          <w:tcPr>
            <w:tcW w:w="3155" w:type="dxa"/>
            <w:tcBorders>
              <w:top w:val="nil"/>
              <w:left w:val="nil"/>
              <w:bottom w:val="single" w:color="auto" w:sz="4" w:space="0"/>
              <w:right w:val="single" w:color="auto" w:sz="4" w:space="0"/>
            </w:tcBorders>
            <w:vAlign w:val="center"/>
          </w:tcPr>
          <w:p>
            <w:pPr>
              <w:widowControl/>
              <w:ind w:firstLine="440"/>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ind w:firstLine="640"/>
              <w:jc w:val="center"/>
              <w:rPr>
                <w:rFonts w:ascii="Times New Roman" w:hAnsi="Times New Roman" w:eastAsia="仿宋" w:cs="Times New Roman"/>
                <w:kern w:val="0"/>
                <w:sz w:val="22"/>
                <w:szCs w:val="22"/>
              </w:rPr>
            </w:pPr>
            <w:r>
              <w:rPr>
                <w:rFonts w:hint="eastAsia" w:ascii="仿宋" w:hAnsi="仿宋" w:eastAsia="仿宋" w:cs="宋体"/>
                <w:kern w:val="0"/>
                <w:szCs w:val="32"/>
              </w:rPr>
              <w:t>956.6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ind w:firstLine="440"/>
              <w:jc w:val="left"/>
              <w:rPr>
                <w:rFonts w:ascii="Times New Roman" w:hAnsi="Times New Roman" w:eastAsia="仿宋" w:cs="Times New Roman"/>
                <w:kern w:val="0"/>
                <w:sz w:val="22"/>
                <w:szCs w:val="22"/>
              </w:rPr>
            </w:pPr>
            <w:r>
              <w:rPr>
                <w:rFonts w:hint="eastAsia" w:ascii="宋体" w:hAnsi="宋体" w:cs="宋体"/>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ind w:firstLine="440"/>
              <w:jc w:val="center"/>
              <w:rPr>
                <w:rFonts w:ascii="Times New Roman" w:hAnsi="Times New Roman" w:eastAsia="仿宋" w:cs="Times New Roman"/>
                <w:kern w:val="0"/>
                <w:sz w:val="22"/>
                <w:szCs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pPr>
              <w:widowControl/>
              <w:ind w:firstLine="440"/>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304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ind w:firstLine="440"/>
              <w:jc w:val="left"/>
              <w:rPr>
                <w:rFonts w:ascii="Times New Roman" w:hAnsi="Times New Roman" w:eastAsia="仿宋" w:cs="Times New Roman"/>
                <w:kern w:val="0"/>
                <w:sz w:val="22"/>
                <w:szCs w:val="22"/>
              </w:rPr>
            </w:pPr>
            <w:r>
              <w:rPr>
                <w:rFonts w:hint="eastAsia" w:ascii="宋体" w:hAnsi="宋体" w:cs="宋体"/>
                <w:kern w:val="0"/>
                <w:sz w:val="22"/>
              </w:rPr>
              <w:t>4、其他固定资产</w:t>
            </w:r>
          </w:p>
        </w:tc>
        <w:tc>
          <w:tcPr>
            <w:tcW w:w="3155" w:type="dxa"/>
            <w:tcBorders>
              <w:top w:val="nil"/>
              <w:left w:val="nil"/>
              <w:bottom w:val="single" w:color="auto" w:sz="4" w:space="0"/>
              <w:right w:val="single" w:color="auto" w:sz="4" w:space="0"/>
            </w:tcBorders>
            <w:vAlign w:val="center"/>
          </w:tcPr>
          <w:p>
            <w:pPr>
              <w:widowControl/>
              <w:ind w:firstLine="440"/>
              <w:jc w:val="center"/>
              <w:rPr>
                <w:rFonts w:ascii="Times New Roman" w:hAnsi="Times New Roman" w:eastAsia="仿宋" w:cs="Times New Roman"/>
                <w:kern w:val="0"/>
                <w:sz w:val="22"/>
                <w:szCs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pPr>
              <w:widowControl/>
              <w:ind w:firstLine="440"/>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2194.71</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、一般公共预算拨款收入：指省级财政当年拨付的资金。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 w:name="方正仿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宋体-方正超大字符集">
    <w:altName w:val="宋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fldChar w:fldCharType="begin"/>
    </w:r>
    <w:r>
      <w:rPr>
        <w:rStyle w:val="14"/>
      </w:rPr>
      <w:instrText xml:space="preserve">PAGE  </w:instrText>
    </w:r>
    <w:r>
      <w:fldChar w:fldCharType="separate"/>
    </w:r>
    <w:r>
      <w:rPr>
        <w:rStyle w:val="14"/>
      </w:rPr>
      <w:t>23</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088253A8"/>
    <w:rsid w:val="20231414"/>
    <w:rsid w:val="2944489C"/>
    <w:rsid w:val="6F0679D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3">
    <w:name w:val="header"/>
    <w:basedOn w:val="1"/>
    <w:link w:val="11"/>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4">
    <w:name w:val="toc 1"/>
    <w:basedOn w:val="1"/>
    <w:next w:val="1"/>
    <w:qFormat/>
    <w:uiPriority w:val="0"/>
    <w:rPr>
      <w:rFonts w:ascii="Times New Roman" w:hAnsi="Times New Roman" w:cs="Times New Roman"/>
    </w:rPr>
  </w:style>
  <w:style w:type="paragraph" w:styleId="5">
    <w:name w:val="footnote text"/>
    <w:basedOn w:val="1"/>
    <w:link w:val="12"/>
    <w:qFormat/>
    <w:uiPriority w:val="0"/>
    <w:pPr>
      <w:snapToGrid w:val="0"/>
      <w:jc w:val="left"/>
    </w:pPr>
    <w:rPr>
      <w:rFonts w:ascii="Calibri" w:hAnsi="Calibri" w:cs="Calibri"/>
      <w:sz w:val="18"/>
      <w:szCs w:val="18"/>
    </w:rPr>
  </w:style>
  <w:style w:type="paragraph" w:styleId="6">
    <w:name w:val="toc 2"/>
    <w:basedOn w:val="1"/>
    <w:next w:val="1"/>
    <w:qFormat/>
    <w:uiPriority w:val="0"/>
    <w:pPr>
      <w:ind w:left="420" w:leftChars="200"/>
    </w:pPr>
    <w:rPr>
      <w:rFonts w:ascii="Times New Roman" w:hAnsi="Times New Roman" w:cs="Times New Roman"/>
    </w:rPr>
  </w:style>
  <w:style w:type="character" w:styleId="9">
    <w:name w:val="footnote reference"/>
    <w:basedOn w:val="8"/>
    <w:qFormat/>
    <w:uiPriority w:val="0"/>
    <w:rPr>
      <w:vertAlign w:val="superscript"/>
    </w:rPr>
  </w:style>
  <w:style w:type="character" w:customStyle="1" w:styleId="10">
    <w:name w:val="页脚 Char"/>
    <w:basedOn w:val="8"/>
    <w:link w:val="2"/>
    <w:semiHidden/>
    <w:qFormat/>
    <w:uiPriority w:val="0"/>
    <w:rPr>
      <w:rFonts w:ascii="Times New Roman" w:hAnsi="Times New Roman" w:eastAsia="宋体" w:cs="Times New Roman"/>
      <w:sz w:val="18"/>
      <w:szCs w:val="18"/>
    </w:rPr>
  </w:style>
  <w:style w:type="character" w:customStyle="1" w:styleId="11">
    <w:name w:val="页眉 Char"/>
    <w:basedOn w:val="8"/>
    <w:link w:val="3"/>
    <w:semiHidden/>
    <w:qFormat/>
    <w:uiPriority w:val="0"/>
    <w:rPr>
      <w:rFonts w:ascii="Times New Roman" w:hAnsi="Times New Roman" w:eastAsia="宋体" w:cs="Times New Roman"/>
      <w:sz w:val="18"/>
      <w:szCs w:val="18"/>
    </w:rPr>
  </w:style>
  <w:style w:type="character" w:customStyle="1" w:styleId="12">
    <w:name w:val="脚注文本 Char"/>
    <w:basedOn w:val="8"/>
    <w:link w:val="5"/>
    <w:semiHidden/>
    <w:qFormat/>
    <w:uiPriority w:val="0"/>
    <w:rPr>
      <w:rFonts w:ascii="Calibri" w:hAnsi="Calibri" w:cs="Calibri"/>
      <w:sz w:val="18"/>
      <w:szCs w:val="18"/>
    </w:rPr>
  </w:style>
  <w:style w:type="paragraph" w:customStyle="1" w:styleId="13">
    <w:name w:val="Char"/>
    <w:basedOn w:val="1"/>
    <w:uiPriority w:val="0"/>
    <w:rPr>
      <w:rFonts w:ascii="Times New Roman" w:hAnsi="Times New Roman" w:cs="Times New Roman"/>
    </w:rPr>
  </w:style>
  <w:style w:type="character" w:customStyle="1" w:styleId="14">
    <w:name w:val="页码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25</Pages>
  <Words>11603</Words>
  <Characters>3234</Characters>
  <Lines>26</Lines>
  <Paragraphs>29</Paragraphs>
  <TotalTime>1</TotalTime>
  <ScaleCrop>false</ScaleCrop>
  <LinksUpToDate>false</LinksUpToDate>
  <CharactersWithSpaces>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2017-01-24T17:29:00Z</dcterms:created>
  <dc:creator>guest</dc:creator>
  <cp:lastModifiedBy>浮生</cp:lastModifiedBy>
  <cp:lastPrinted>2020-01-11T15:53:00Z</cp:lastPrinted>
  <dcterms:modified xsi:type="dcterms:W3CDTF">2025-04-22T07:01:35Z</dcterms:modified>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FBDB9741ADEC41BC8E79761905C1DDAD</vt:lpwstr>
  </property>
</Properties>
</file>