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无极县人民检察院</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按照《预算法》、《地方预决算公开操作规程》规定，现将无极县人民检察院</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 w:hAnsi="仿宋" w:eastAsia="仿宋" w:cs="仿宋"/>
          <w:b/>
          <w:bCs/>
          <w:sz w:val="32"/>
          <w:szCs w:val="32"/>
        </w:rPr>
      </w:pPr>
      <w:r>
        <w:rPr>
          <w:rFonts w:hint="eastAsia" w:ascii="仿宋" w:hAnsi="仿宋" w:eastAsia="仿宋" w:cs="仿宋"/>
          <w:b/>
          <w:bCs/>
          <w:sz w:val="32"/>
          <w:szCs w:val="32"/>
        </w:rPr>
        <w:t>部门职责：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根据《检察院职能配置、内设机构和人员编制规定》， 检察院的主要职责是：</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（一）依照法律规定对有关刑事案件行使侦查权；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（二）对刑事案件进行审查，批准或者决定是否逮捕犯罪嫌疑人；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（三）对刑事案件进行审查，决定是否提起公诉，对决定提起公诉的案件支持公诉；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（四）依照法律规定提起公益诉讼；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（五）对诉讼活动实行法律监督；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（六）对判决、裁定等生效法律文书的执行工作实行法律监督；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（七）对监狱、看守所的执法活动实行法律监督；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（八）法律规定的其他职权。</w:t>
      </w:r>
    </w:p>
    <w:p>
      <w:pPr>
        <w:ind w:firstLine="643" w:firstLineChars="200"/>
        <w:rPr>
          <w:rFonts w:ascii="仿宋" w:hAnsi="仿宋" w:eastAsia="仿宋" w:cs="仿宋"/>
          <w:b/>
          <w:bCs/>
          <w:sz w:val="32"/>
          <w:szCs w:val="32"/>
        </w:rPr>
      </w:pPr>
    </w:p>
    <w:p>
      <w:pPr>
        <w:ind w:firstLine="643" w:firstLineChars="200"/>
        <w:rPr>
          <w:rFonts w:ascii="仿宋" w:hAnsi="仿宋" w:eastAsia="仿宋" w:cs="仿宋"/>
          <w:b/>
          <w:bCs/>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无极县人民检察院</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副处级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jc w:val="center"/>
        <w:outlineLvl w:val="0"/>
        <w:rPr>
          <w:rFonts w:ascii="Times New Roman" w:hAnsi="Times New Roman" w:eastAsia="方正小标宋_GBK" w:cs="方正小标宋_GBK"/>
          <w:sz w:val="32"/>
          <w:szCs w:val="32"/>
        </w:rPr>
      </w:pPr>
      <w:r>
        <w:rPr>
          <w:rFonts w:hint="eastAsia" w:ascii="Times New Roman" w:hAnsi="Times New Roman" w:eastAsia="方正小标宋_GBK" w:cs="方正小标宋_GBK"/>
          <w:sz w:val="32"/>
          <w:szCs w:val="32"/>
        </w:rPr>
        <w:t>内设机构设置情况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5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blHeader/>
          <w:jc w:val="center"/>
        </w:trPr>
        <w:tc>
          <w:tcPr>
            <w:tcW w:w="4417" w:type="dxa"/>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内设机构名称</w:t>
            </w:r>
          </w:p>
        </w:tc>
        <w:tc>
          <w:tcPr>
            <w:tcW w:w="5312" w:type="dxa"/>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内设机构规格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第一检察部</w:t>
            </w:r>
          </w:p>
        </w:tc>
        <w:tc>
          <w:tcPr>
            <w:tcW w:w="5312" w:type="dxa"/>
            <w:vAlign w:val="center"/>
          </w:tcPr>
          <w:p>
            <w:pPr>
              <w:spacing w:line="300" w:lineRule="exact"/>
              <w:jc w:val="center"/>
              <w:rPr>
                <w:rFonts w:ascii="Times New Roman" w:hAnsi="Times New Roman" w:eastAsia="方正书宋_GBK" w:cs="方正书宋_GBK"/>
                <w:b/>
                <w:bCs/>
              </w:rPr>
            </w:pPr>
            <w:r>
              <w:rPr>
                <w:rFonts w:hint="eastAsia" w:ascii="Times New Roman" w:hAnsi="Times New Roman" w:eastAsia="方正书宋_GBK" w:cs="方正书宋_GBK"/>
                <w:b/>
                <w:bCs/>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第二检察部</w:t>
            </w:r>
          </w:p>
        </w:tc>
        <w:tc>
          <w:tcPr>
            <w:tcW w:w="5312" w:type="dxa"/>
            <w:vAlign w:val="center"/>
          </w:tcPr>
          <w:p>
            <w:pPr>
              <w:spacing w:line="300" w:lineRule="exact"/>
              <w:jc w:val="center"/>
              <w:rPr>
                <w:rFonts w:ascii="方正书宋_GBK" w:eastAsia="方正书宋_GBK" w:cs="方正书宋_GBK"/>
              </w:rPr>
            </w:pPr>
            <w:r>
              <w:rPr>
                <w:rFonts w:hint="eastAsia" w:ascii="Times New Roman" w:hAnsi="Times New Roman" w:eastAsia="方正书宋_GBK" w:cs="方正书宋_GBK"/>
                <w:b/>
                <w:bCs/>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第三检察部</w:t>
            </w:r>
          </w:p>
        </w:tc>
        <w:tc>
          <w:tcPr>
            <w:tcW w:w="5312" w:type="dxa"/>
            <w:vAlign w:val="center"/>
          </w:tcPr>
          <w:p>
            <w:pPr>
              <w:spacing w:line="300" w:lineRule="exact"/>
              <w:jc w:val="center"/>
              <w:rPr>
                <w:rFonts w:ascii="方正书宋_GBK" w:eastAsia="方正书宋_GBK" w:cs="方正书宋_GBK"/>
              </w:rPr>
            </w:pPr>
            <w:r>
              <w:rPr>
                <w:rFonts w:hint="eastAsia" w:ascii="Times New Roman" w:hAnsi="Times New Roman" w:eastAsia="方正书宋_GBK" w:cs="方正书宋_GBK"/>
                <w:b/>
                <w:bCs/>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办公室</w:t>
            </w:r>
          </w:p>
        </w:tc>
        <w:tc>
          <w:tcPr>
            <w:tcW w:w="5312" w:type="dxa"/>
            <w:vAlign w:val="center"/>
          </w:tcPr>
          <w:p>
            <w:pPr>
              <w:spacing w:line="300" w:lineRule="exact"/>
              <w:jc w:val="center"/>
              <w:rPr>
                <w:rFonts w:ascii="方正书宋_GBK" w:eastAsia="方正书宋_GBK" w:cs="方正书宋_GBK"/>
              </w:rPr>
            </w:pPr>
            <w:r>
              <w:rPr>
                <w:rFonts w:hint="eastAsia" w:ascii="Times New Roman" w:hAnsi="Times New Roman" w:eastAsia="方正书宋_GBK" w:cs="方正书宋_GBK"/>
                <w:b/>
                <w:bCs/>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政治部</w:t>
            </w:r>
          </w:p>
        </w:tc>
        <w:tc>
          <w:tcPr>
            <w:tcW w:w="5312" w:type="dxa"/>
            <w:vAlign w:val="center"/>
          </w:tcPr>
          <w:p>
            <w:pPr>
              <w:spacing w:line="300" w:lineRule="exact"/>
              <w:jc w:val="center"/>
              <w:rPr>
                <w:rFonts w:ascii="方正书宋_GBK" w:eastAsia="方正书宋_GBK" w:cs="方正书宋_GBK"/>
              </w:rPr>
            </w:pPr>
            <w:r>
              <w:rPr>
                <w:rFonts w:hint="eastAsia" w:ascii="Times New Roman" w:hAnsi="Times New Roman" w:eastAsia="方正书宋_GBK" w:cs="方正书宋_GBK"/>
                <w:b/>
                <w:bCs/>
              </w:rPr>
              <w:t>正股级</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按照预算管理有关规定，目前我县部门预算的编制实行综合预算管理，即全部收入和支出都反映的预算中。无极县人民检察院的收支包含在部门预算中。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年预算收入914.96万元，其中：一般公共预算收入914.96万元，基金预算收入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收支预算总表支出栏、基本支出表、项目支出表按经济分类和支出功能分类科目编制，反映无极县人民检察院年度部门预算中支出预算的总体情况。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年部门支出预算为914.96万元，其中基本支出768.38万元，包括人员经费506.48万元和日常公用经费261.90万元；项目支出</w:t>
      </w:r>
      <w:r>
        <w:rPr>
          <w:rFonts w:hint="eastAsia" w:ascii="Times New Roman" w:hAnsi="Times New Roman" w:eastAsia="仿宋" w:cs="Times New Roman"/>
          <w:sz w:val="32"/>
          <w:szCs w:val="32"/>
        </w:rPr>
        <w:t>146.58</w:t>
      </w:r>
      <w:r>
        <w:rPr>
          <w:rFonts w:hint="eastAsia" w:ascii="Times New Roman" w:hAnsi="Times New Roman" w:eastAsia="仿宋" w:cs="仿宋"/>
          <w:sz w:val="32"/>
          <w:szCs w:val="32"/>
        </w:rPr>
        <w:t>万元，主要为办案业务支出44万元，业务装备支出98万元，检察人员加班费支出</w:t>
      </w:r>
      <w:r>
        <w:rPr>
          <w:rFonts w:hint="eastAsia" w:ascii="Times New Roman" w:hAnsi="Times New Roman" w:eastAsia="仿宋" w:cs="Times New Roman"/>
          <w:sz w:val="32"/>
          <w:szCs w:val="32"/>
        </w:rPr>
        <w:t>4.58</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仿宋"/>
          <w:sz w:val="32"/>
          <w:szCs w:val="32"/>
        </w:rPr>
        <w:t>914.96</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年减少172.87万元，其中：基本支出增加</w:t>
      </w:r>
      <w:r>
        <w:rPr>
          <w:rFonts w:hint="eastAsia" w:ascii="Times New Roman" w:hAnsi="Times New Roman" w:eastAsia="仿宋" w:cs="Times New Roman"/>
          <w:sz w:val="32"/>
          <w:szCs w:val="32"/>
        </w:rPr>
        <w:t>52.21</w:t>
      </w:r>
      <w:r>
        <w:rPr>
          <w:rFonts w:hint="eastAsia" w:ascii="Times New Roman" w:hAnsi="Times New Roman" w:eastAsia="仿宋" w:cs="仿宋"/>
          <w:sz w:val="32"/>
          <w:szCs w:val="32"/>
        </w:rPr>
        <w:t>万元，主要是部分人员转隶到监察委，相应减少人员经费，日常公用经费由上年度的项目支出转为基本支出；项目支出减少</w:t>
      </w:r>
      <w:r>
        <w:rPr>
          <w:rFonts w:hint="eastAsia" w:ascii="Times New Roman" w:hAnsi="Times New Roman" w:eastAsia="仿宋" w:cs="Times New Roman"/>
          <w:sz w:val="32"/>
          <w:szCs w:val="32"/>
        </w:rPr>
        <w:t>225.08</w:t>
      </w:r>
      <w:r>
        <w:rPr>
          <w:rFonts w:hint="eastAsia" w:ascii="Times New Roman" w:hAnsi="Times New Roman" w:eastAsia="仿宋" w:cs="仿宋"/>
          <w:sz w:val="32"/>
          <w:szCs w:val="32"/>
        </w:rPr>
        <w:t>万元，主要是日常公用经费由上年度的项目支出转为基本支出；其他支出无增减变化。</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年，我部门机关运行经费共计安排261.90万元，其中</w:t>
      </w:r>
      <w:r>
        <w:rPr>
          <w:rFonts w:hint="eastAsia" w:ascii="Times New Roman" w:hAnsi="Times New Roman" w:eastAsia="仿宋" w:cs="Times New Roman"/>
          <w:sz w:val="32"/>
          <w:szCs w:val="32"/>
        </w:rPr>
        <w:t>222.85</w:t>
      </w:r>
      <w:r>
        <w:rPr>
          <w:rFonts w:hint="eastAsia" w:ascii="Times New Roman" w:hAnsi="Times New Roman" w:eastAsia="仿宋" w:cs="仿宋"/>
          <w:sz w:val="32"/>
          <w:szCs w:val="32"/>
        </w:rPr>
        <w:t>万元主要用于</w:t>
      </w:r>
      <w:r>
        <w:rPr>
          <w:rFonts w:hint="eastAsia" w:ascii="仿宋_GB2312" w:hAnsi="仿宋_GB2312" w:eastAsia="仿宋_GB2312" w:cs="仿宋_GB2312"/>
          <w:sz w:val="32"/>
          <w:szCs w:val="32"/>
        </w:rPr>
        <w:t>日常办公、劳务费、办公区水电费、日常维修，办公用房取暖费等支出</w:t>
      </w:r>
      <w:r>
        <w:rPr>
          <w:rFonts w:hint="eastAsia" w:ascii="Times New Roman" w:hAnsi="Times New Roman" w:eastAsia="仿宋" w:cs="仿宋"/>
          <w:sz w:val="32"/>
          <w:szCs w:val="32"/>
        </w:rPr>
        <w:t>；39.05万元主要用于通讯补贴和公务交通补贴。</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的案件。构建依法有序的信访秩序，依法及时解决群众诉求。提高执法水平和办案质量、提升检察机关法律监督能力。为检察机关工作的顺利开展提供检务保障，努力建设公正、高效、权威的检察权运行机制。</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、检察事务管理</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承担系统综合业务管理和综合事务管理，确保全年各项检察工作圆满完成。</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（1）、综合业务管理</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绩效目标：提高执法水平和办案质量，提升检察机关法律监督能力</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绩效指标：各项综合业务管理工作完成率=100%</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（2）、综合事务管理</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绩效目标：为检察工作顺利开展提供保障</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绩效指标：各项综合事务工作完成率=100%</w:t>
      </w:r>
    </w:p>
    <w:p>
      <w:pPr>
        <w:autoSpaceDE w:val="0"/>
        <w:autoSpaceDN w:val="0"/>
        <w:adjustRightInd w:val="0"/>
        <w:ind w:left="198" w:firstLine="640" w:firstLineChars="200"/>
        <w:jc w:val="left"/>
        <w:rPr>
          <w:rFonts w:ascii="Times New Roman" w:hAnsi="Times New Roman" w:eastAsia="仿宋" w:cs="仿宋"/>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、检察监督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对侦查机关的侦查活动、人民法院的审批活动、看守所等机关执行刑罚的活动，依法实行法律监督，维护司法公正。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（1）、侦查监督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绩效目标：打击犯罪、保障人权、维护司法公正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绩效指标：立案和侦查活动监督完成率≥95%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错捕、捕后撤案、不起诉、判无罪率≤5%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批延准确率≥95%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（2）、公诉和审判监督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绩效目标：全面审查案件事实，核实证据，依法提出审查意见，打击犯罪，保障人权，维护司法公正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绩效指标：诉讼期限内审结案件占全部案件比例≥95%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出庭意见采纳率≥95%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（3）、民事行政诉讼监督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绩效目标：加大办案力度，提高办案质量</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绩效指标：案件审结率≥95%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抗诉案件再审改变率≥95%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不支持监督申请决定息讼息访率≤5%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检察建议采纳率≥95%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当事人对民事行政申请监督案件满意度≥95%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（4）、刑事执行检察</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绩效目标：保障刑罚执行和刑事执行活动的依法有序进行</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绩效指标：纠正意见或建议的采纳率≥95%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监督行为及效果满意度≥95%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（5）、未成年人刑事检察</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绩效目标：打击犯罪、保障人权、维护司法公正</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绩效指标：案件办理率≥95%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受援群众投诉率(%)≤0.1%</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（6）、控告和刑事申诉检察</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举报管理、涉检国家赔偿和司法救助</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绩效目标：加强和举报工作，保护被赔偿人和被救助人的合法权益</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绩效指标：举报线索处置率(%)≥95%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涉检国家赔偿率(%)≥95%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有效化解涉检信访矛盾率(%)≥95%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息诉罢访率(%)≥95%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司法救助率(%)≥95%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举报移送立案率(%)≥95%</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涉检国家赔偿和刑事申诉错案率(%)≥95%</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2020年，我院为实现年度绩效目标所采取的各项重要措施。根据预测可能存在的问题、环境变化的趋势，采取措施预做准备，控制偏差，保证计划目标的实现。以司法办案为中心，依法全面正确履行职责，以“四大检察”为核心，为无极县经济建设保驾护航。</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一是完善制度建设。加强制度管理，不断改进司法管理和司法权力运行监督机制，健全完善各项制度，制定完善预算绩效管理制度、资金管理办法、工作保障制度等，为全年预算绩效目标的实现奠定制度基础。</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二是加强支出管理，在加强制度管理的基础上，进一步扎牢制度的笼子，按照要求开展绩效运行监控，发现问题及时采取措施，确保绩效目标如期保质实现。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是加强绩效运行监控。通过优化支出结构、编细编实预算、加快履行政府采购手续、尽快启动项目、及时支付资金等多种措施，确保支出进度达标。充分发挥信息网络绩效运行等方面的优势，促进检察工作更加规范化、制度化。</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四是做好绩效自评。按要求开展上年度部门预算绩效自评和重点评价工作，对评价中发现的问题及时整改，调整优化支出结构，提高财政资金使用效益。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五是规范财务资产管理。完善财务管理制度，严格审批程序，加强固定资产登记、使用和报废处置管理，做到支出合理，物尽其用。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六是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eastAsia="方正仿宋_GBK"/>
          <w:sz w:val="28"/>
        </w:rPr>
      </w:pPr>
      <w:r>
        <w:rPr>
          <w:rFonts w:hint="eastAsia" w:ascii="Times New Roman" w:hAnsi="Times New Roman" w:eastAsia="仿宋" w:cs="仿宋"/>
          <w:sz w:val="32"/>
          <w:szCs w:val="32"/>
        </w:rPr>
        <w:t>七是加强宣传培训调研等。加强人员培训，提高本部门职工业务素质；加强调研，提出优化财政资金配置、提高资金使用效益的意见意见；加大宣传力度，强化预算绩效管理意识，促进预算绩效管理水平进一步提升。</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1、检察人员加班费绩效目标表</w:t>
      </w:r>
      <w:r>
        <w:fldChar w:fldCharType="begin"/>
      </w:r>
      <w:r>
        <w:rPr>
          <w:rFonts w:hint="eastAsia" w:ascii="方正仿宋_GBK" w:eastAsia="方正仿宋_GBK"/>
          <w:b/>
          <w:sz w:val="28"/>
        </w:rPr>
        <w:instrText xml:space="preserve">TC </w:instrText>
      </w:r>
      <w:bookmarkStart w:id="4" w:name="_Toc34858689"/>
      <w:r>
        <w:rPr>
          <w:rFonts w:hint="eastAsia" w:ascii="方正仿宋_GBK" w:eastAsia="方正仿宋_GBK"/>
          <w:b/>
          <w:sz w:val="28"/>
        </w:rPr>
        <w:instrText xml:space="preserve">1、检察人员加班费绩效目标表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151002</w:t>
            </w:r>
            <w:r>
              <w:rPr>
                <w:rFonts w:hint="eastAsia" w:ascii="方正书宋_GBK" w:eastAsia="方正书宋_GBK"/>
                <w:b/>
              </w:rPr>
              <w:t>无极县人民检察院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151-0402-JQN-OHE1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检察人员加班费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4.58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4.58</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检察人员加班费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、严格按照文件规定范围发放加班费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、按支出计划及时发放加班费</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是否能够足额发放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是否能够及时发放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带动工作积极性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能否带动工作积极性</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能</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推动检察工作发展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能否推动检察工作发展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能</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检察人员对加班费发放的满意程度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基本满意</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群众对加班费发放的满意度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基本满意</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文件规定</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2、提前下达2020年基层公检法司转移支付资金-检察绩效目标表</w:t>
      </w:r>
      <w:r>
        <w:fldChar w:fldCharType="begin"/>
      </w:r>
      <w:r>
        <w:rPr>
          <w:rFonts w:hint="eastAsia" w:ascii="方正仿宋_GBK" w:eastAsia="方正仿宋_GBK"/>
          <w:b/>
          <w:sz w:val="28"/>
        </w:rPr>
        <w:instrText xml:space="preserve">TC </w:instrText>
      </w:r>
      <w:bookmarkStart w:id="5" w:name="_Toc34858690"/>
      <w:r>
        <w:rPr>
          <w:rFonts w:hint="eastAsia" w:ascii="方正仿宋_GBK" w:eastAsia="方正仿宋_GBK"/>
          <w:b/>
          <w:sz w:val="28"/>
        </w:rPr>
        <w:instrText xml:space="preserve">2、提前下达2020年基层公检法司转移支付资金-检察绩效目标表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151002</w:t>
            </w:r>
            <w:r>
              <w:rPr>
                <w:rFonts w:hint="eastAsia" w:ascii="方正书宋_GBK" w:eastAsia="方正书宋_GBK"/>
                <w:b/>
              </w:rPr>
              <w:t>无极县人民检察院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151-0102-JQN-EWN5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年基层公检法司转移支付资金</w:t>
            </w:r>
            <w:r>
              <w:rPr>
                <w:rFonts w:ascii="方正书宋_GBK" w:eastAsia="方正书宋_GBK"/>
              </w:rPr>
              <w:t>-</w:t>
            </w:r>
            <w:r>
              <w:rPr>
                <w:rFonts w:hint="eastAsia" w:ascii="方正书宋_GBK" w:eastAsia="方正书宋_GBK"/>
              </w:rPr>
              <w:t>检察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办案经费用于办案费、消耗费、会议费、业务租赁费、业务维修费、检察宣传费、教育培训费、奖励费、派驻机构经费和其他业务费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、通过经费的使用促进各项检察案件的顺利进行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、保障公益诉讼扫黑除恶等专项活动的顺利开展</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案件审结率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审结案件占受理案件的比例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立案和侦查情况监督完成率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立案和侦查活动完成案件占所有案件的比例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全年组织开展宣传活动次数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组织次数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出庭意见采纳率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出庭意见被采纳案件占全部案件的比例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案件流程合规律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纳入审判流程管理合规案件与全部案件的比例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大众对检察工作的认知度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通过抽样调查的方式，对参加宣传活动的对象进行调查，是否对检察工作有充分人次的占比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社会大众对检察机关办案满意人数占比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案件当事人满意度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所办理案件涉案当事人对裁判结果满意的人数占比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3、提前下达2020年省级基层公检法司转移支付资金绩效目标表</w:t>
      </w:r>
      <w:r>
        <w:fldChar w:fldCharType="begin"/>
      </w:r>
      <w:r>
        <w:rPr>
          <w:rFonts w:hint="eastAsia" w:ascii="方正仿宋_GBK" w:eastAsia="方正仿宋_GBK"/>
          <w:b/>
          <w:sz w:val="28"/>
        </w:rPr>
        <w:instrText xml:space="preserve">TC </w:instrText>
      </w:r>
      <w:bookmarkStart w:id="6" w:name="_Toc34858691"/>
      <w:r>
        <w:rPr>
          <w:rFonts w:hint="eastAsia" w:ascii="方正仿宋_GBK" w:eastAsia="方正仿宋_GBK"/>
          <w:b/>
          <w:sz w:val="28"/>
        </w:rPr>
        <w:instrText xml:space="preserve">3、提前下达2020年省级基层公检法司转移支付资金绩效目标表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151002</w:t>
            </w:r>
            <w:r>
              <w:rPr>
                <w:rFonts w:hint="eastAsia" w:ascii="方正书宋_GBK" w:eastAsia="方正书宋_GBK"/>
                <w:b/>
              </w:rPr>
              <w:t>无极县人民检察院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151-0402-JQN-G9B0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业务装备经费主要用于购买检察业务技术装备、检察业务综合保障装备、司法警察装备、检察人员服装和其他业务装备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、按照进度支出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、按照范围支出</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政府采购率</w:t>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实际政府采购数量占应实施政府采购数量总和的比例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购置验收通过率</w:t>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通过验收的购置数量占购置总数的比例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购置质量合格率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购置质量合格的数量占购置的总数的比例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保障能力提升情况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能否及时补充缺少的业务装备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优、良、差</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装备改善效果情况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购置对业务装备改善的提升情况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优、良、差</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服装配发合体率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服装配发后合体数量占总制发数的比率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调查中使用人员满意和较满意的人数占总人数的比例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着装人员满意度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着装中满意的人数占全体着装人员的比率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4、提前下达2020年中央政法纪检监察转移支付资金绩效目标表</w:t>
      </w:r>
      <w:r>
        <w:fldChar w:fldCharType="begin"/>
      </w:r>
      <w:r>
        <w:rPr>
          <w:rFonts w:hint="eastAsia" w:ascii="方正仿宋_GBK" w:eastAsia="方正仿宋_GBK"/>
          <w:b/>
          <w:sz w:val="28"/>
        </w:rPr>
        <w:instrText xml:space="preserve">TC </w:instrText>
      </w:r>
      <w:bookmarkStart w:id="7" w:name="_Toc34858692"/>
      <w:r>
        <w:rPr>
          <w:rFonts w:hint="eastAsia" w:ascii="方正仿宋_GBK" w:eastAsia="方正仿宋_GBK"/>
          <w:b/>
          <w:sz w:val="28"/>
        </w:rPr>
        <w:instrText xml:space="preserve">4、提前下达2020年中央政法纪检监察转移支付资金绩效目标表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151002</w:t>
            </w:r>
            <w:r>
              <w:rPr>
                <w:rFonts w:hint="eastAsia" w:ascii="方正书宋_GBK" w:eastAsia="方正书宋_GBK"/>
                <w:b/>
              </w:rPr>
              <w:t>无极县人民检察院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151-0402-JQN-RGG1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业务装备经费主要用于购买检察业务技术装备、检察业务综合保障装备、司法警察装备、检察人员服装和其他业务装备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、按照进度支出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、按照范围支出</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政府采购率</w:t>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实际政府采购数量占应实施政府采购数量总和的比例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购置验收通过率</w:t>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通过验收的购置数量占购置总数的比例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购置质量合格率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购置质量合格的数量占购置的总数的比例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保障能力提升情况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能否及时补充缺少的业务装备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优、良、差</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装备改善效果情况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购置对业务装备改善的提升情况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优、良、差</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服装配发合体率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服装配发后合体数量占总制发数的比率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调查中使用人员满意和较满意的人数占总人数的比例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着装人员满意度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着装中满意的人数占全体着装人员的比率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实际工作情况</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5、提前下达2020年中央政法纪检监察转移支付资金-检察绩效目标表</w:t>
      </w:r>
      <w:r>
        <w:fldChar w:fldCharType="begin"/>
      </w:r>
      <w:r>
        <w:rPr>
          <w:rFonts w:hint="eastAsia" w:ascii="方正仿宋_GBK" w:eastAsia="方正仿宋_GBK"/>
          <w:b/>
          <w:sz w:val="28"/>
        </w:rPr>
        <w:instrText xml:space="preserve">TC </w:instrText>
      </w:r>
      <w:bookmarkStart w:id="8" w:name="_Toc34858693"/>
      <w:r>
        <w:rPr>
          <w:rFonts w:hint="eastAsia" w:ascii="方正仿宋_GBK" w:eastAsia="方正仿宋_GBK"/>
          <w:b/>
          <w:sz w:val="28"/>
        </w:rPr>
        <w:instrText xml:space="preserve">5、提前下达2020年中央政法纪检监察转移支付资金-检察绩效目标表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151002</w:t>
            </w:r>
            <w:r>
              <w:rPr>
                <w:rFonts w:hint="eastAsia" w:ascii="方正书宋_GBK" w:eastAsia="方正书宋_GBK"/>
                <w:b/>
              </w:rPr>
              <w:t>无极县人民检察院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151-0102-JQN-KZDN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年中央政法纪检监察转移支付资金</w:t>
            </w:r>
            <w:r>
              <w:rPr>
                <w:rFonts w:ascii="方正书宋_GBK" w:eastAsia="方正书宋_GBK"/>
              </w:rPr>
              <w:t>-</w:t>
            </w:r>
            <w:r>
              <w:rPr>
                <w:rFonts w:hint="eastAsia" w:ascii="方正书宋_GBK" w:eastAsia="方正书宋_GBK"/>
              </w:rPr>
              <w:t>检察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办案经费用于办案费、消耗费、会议费、业务租赁费、业务维修费、检察宣传费、教育培训费、奖励费、派驻机构经费和其他业务费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、通过经费的使用促进各项检察案件的顺利进行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、保障公益诉讼扫黑除恶等专项活动的顺利开展</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案件审结率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审结案件占受理案件的比例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立案和侦查情况监督完成率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立案和侦查活动完成案件占所有案件的比例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全年组织开展宣传活动次数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组织次数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出庭意见采纳率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出庭意见被采纳案件占全部案件的比例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案件流程合规律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纳入审判流程管理合规案件与全部案件的比例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大众对检察工作的认知度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通过抽样调查的方式，对参加宣传活动的对象进行调查，是否对检察工作有充分人次的占比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社会大众对检察机关办案满意人数占比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案件当事人满意度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所办理案件涉案当事人对裁判结果满意的人数占比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调查情况</w:t>
            </w:r>
            <w:bookmarkEnd w:id="0"/>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eastAsia" w:ascii="Times New Roman" w:hAnsi="Times New Roman" w:eastAsia="仿宋" w:cs="仿宋"/>
          <w:sz w:val="32"/>
          <w:szCs w:val="32"/>
        </w:rPr>
      </w:pPr>
      <w:bookmarkStart w:id="9"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9"/>
    </w:p>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713   无极县检察院</w:t>
      </w:r>
      <w:bookmarkStart w:id="10" w:name="_GoBack"/>
      <w:bookmarkEnd w:id="10"/>
      <w:r>
        <w:rPr>
          <w:rFonts w:hint="eastAsia" w:ascii="仿宋_GB2312" w:eastAsia="仿宋_GB2312"/>
          <w:sz w:val="32"/>
          <w:szCs w:val="32"/>
          <w:lang w:val="en-US" w:eastAsia="zh-CN"/>
        </w:rPr>
        <w:t xml:space="preserve">                                                      单位：万元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政府采购项目来源</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采购物品名称</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政府采购目录序号</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数量单位</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w:t>
            </w:r>
          </w:p>
        </w:tc>
        <w:tc>
          <w:tcPr>
            <w:tcW w:w="1020"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单价</w:t>
            </w:r>
          </w:p>
        </w:tc>
        <w:tc>
          <w:tcPr>
            <w:tcW w:w="7017" w:type="dxa"/>
            <w:gridSpan w:val="7"/>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项目名称</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预算资金</w:t>
            </w: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总计</w:t>
            </w:r>
          </w:p>
        </w:tc>
        <w:tc>
          <w:tcPr>
            <w:tcW w:w="4995" w:type="dxa"/>
            <w:gridSpan w:val="5"/>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当年部门预算安排资金</w:t>
            </w:r>
          </w:p>
        </w:tc>
        <w:tc>
          <w:tcPr>
            <w:tcW w:w="1002"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合计</w:t>
            </w: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一般公共预算拨款</w:t>
            </w: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基金预算拨款</w:t>
            </w: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财政专户核拨</w:t>
            </w: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其他来源收入</w:t>
            </w:r>
          </w:p>
        </w:tc>
        <w:tc>
          <w:tcPr>
            <w:tcW w:w="1002"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bl>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注：我单位无政府采购，空表列示。</w:t>
      </w:r>
    </w:p>
    <w:p>
      <w:pPr>
        <w:autoSpaceDE w:val="0"/>
        <w:autoSpaceDN w:val="0"/>
        <w:adjustRightInd w:val="0"/>
        <w:ind w:firstLine="640" w:firstLineChars="200"/>
        <w:jc w:val="left"/>
        <w:rPr>
          <w:rFonts w:hint="eastAsia" w:ascii="Times New Roman" w:hAnsi="Times New Roman" w:eastAsia="仿宋" w:cs="仿宋"/>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无极县人民检察院2019年末固定资产金额为2128.872896万元（详见下表），</w:t>
      </w:r>
      <w:r>
        <w:rPr>
          <w:rFonts w:hint="eastAsia" w:ascii="Times New Roman" w:hAnsi="Times New Roman" w:eastAsia="仿宋" w:cs="仿宋"/>
          <w:color w:val="000000"/>
          <w:sz w:val="32"/>
          <w:szCs w:val="32"/>
          <w:lang w:eastAsia="zh-CN"/>
        </w:rPr>
        <w:t>其中公务用车</w:t>
      </w:r>
      <w:r>
        <w:rPr>
          <w:rFonts w:hint="eastAsia" w:ascii="Times New Roman" w:hAnsi="Times New Roman" w:eastAsia="仿宋" w:cs="仿宋"/>
          <w:color w:val="000000"/>
          <w:sz w:val="32"/>
          <w:szCs w:val="32"/>
          <w:lang w:val="en-US" w:eastAsia="zh-CN"/>
        </w:rPr>
        <w:t>1辆，执法执勤车8辆。</w:t>
      </w:r>
      <w:r>
        <w:rPr>
          <w:rFonts w:hint="eastAsia" w:ascii="Times New Roman" w:hAnsi="Times New Roman" w:eastAsia="仿宋" w:cs="仿宋"/>
          <w:color w:val="000000"/>
          <w:sz w:val="32"/>
          <w:szCs w:val="32"/>
        </w:rPr>
        <w:t>本年度我单位拟购置固定资产总额为</w:t>
      </w:r>
      <w:r>
        <w:rPr>
          <w:rFonts w:hint="eastAsia" w:ascii="Times New Roman" w:hAnsi="Times New Roman" w:eastAsia="仿宋" w:cs="Times New Roman"/>
          <w:color w:val="000000"/>
          <w:sz w:val="32"/>
          <w:szCs w:val="32"/>
        </w:rPr>
        <w:t>24</w:t>
      </w:r>
      <w:r>
        <w:rPr>
          <w:rFonts w:hint="eastAsia" w:ascii="Times New Roman" w:hAnsi="Times New Roman" w:eastAsia="仿宋" w:cs="仿宋"/>
          <w:color w:val="000000"/>
          <w:sz w:val="32"/>
          <w:szCs w:val="32"/>
        </w:rPr>
        <w:t>万元，主要为计算机、一体机、空调、打印机、投影仪、办公家具等。</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无极县县直部门固定资产占用情况表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编制部门：无极县人民检察院</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2128.872896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6170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634.38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5170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634.38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Times New Roman"/>
                <w:kern w:val="0"/>
                <w:sz w:val="22"/>
                <w:szCs w:val="22"/>
              </w:rPr>
              <w:t>02.93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446.9227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944.640196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书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宋体"/>
    <w:panose1 w:val="00000000000000000000"/>
    <w:charset w:val="86"/>
    <w:family w:val="auto"/>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5"/>
      </w:rPr>
    </w:pPr>
    <w:r>
      <w:fldChar w:fldCharType="begin"/>
    </w:r>
    <w:r>
      <w:rPr>
        <w:rStyle w:val="15"/>
      </w:rPr>
      <w:instrText xml:space="preserve">PAGE  </w:instrText>
    </w:r>
    <w:r>
      <w:fldChar w:fldCharType="separate"/>
    </w:r>
    <w:r>
      <w:rPr>
        <w:rStyle w:val="15"/>
      </w:rPr>
      <w:t>13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61ED2BF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rFonts w:ascii="Calibri" w:hAnsi="Calibri" w:cs="Calibri"/>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semiHidden/>
    <w:qFormat/>
    <w:uiPriority w:val="0"/>
    <w:rPr>
      <w:rFonts w:ascii="Times New Roman" w:hAnsi="Times New Roman" w:eastAsia="宋体" w:cs="Times New Roman"/>
      <w:sz w:val="18"/>
      <w:szCs w:val="18"/>
    </w:rPr>
  </w:style>
  <w:style w:type="character" w:customStyle="1" w:styleId="11">
    <w:name w:val="页眉 Char"/>
    <w:basedOn w:val="8"/>
    <w:link w:val="3"/>
    <w:semiHidden/>
    <w:qFormat/>
    <w:uiPriority w:val="0"/>
    <w:rPr>
      <w:rFonts w:ascii="Times New Roman" w:hAnsi="Times New Roman" w:eastAsia="宋体" w:cs="Times New Roman"/>
      <w:sz w:val="18"/>
      <w:szCs w:val="18"/>
    </w:rPr>
  </w:style>
  <w:style w:type="character" w:customStyle="1" w:styleId="12">
    <w:name w:val="脚注文本 Char"/>
    <w:basedOn w:val="8"/>
    <w:link w:val="5"/>
    <w:semiHidden/>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page number"/>
    <w:basedOn w:val="8"/>
    <w:uiPriority w:val="0"/>
  </w:style>
  <w:style w:type="character" w:customStyle="1" w:styleId="15">
    <w:name w:val="页码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1188</Words>
  <Characters>6778</Characters>
  <Lines>56</Lines>
  <Paragraphs>15</Paragraphs>
  <TotalTime>1</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李润泽</cp:lastModifiedBy>
  <cp:lastPrinted>2020-01-11T15:53:00Z</cp:lastPrinted>
  <dcterms:modified xsi:type="dcterms:W3CDTF">2021-05-21T12:56:34Z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248950DBD01943B19C045333D3293F20</vt:lpwstr>
  </property>
</Properties>
</file>