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pict>
          <v:shape id="图片 7" o:spid="_x0000_s1041" o:spt="75" type="#_x0000_t75" style="position:absolute;left:0pt;margin-left:-76.55pt;margin-top:-105.25pt;height:850.15pt;width:596.6pt;z-index:-251652096;mso-width-relative:page;mso-height-relative:page;" filled="f" o:preferrelative="t" stroked="f" coordsize="21600,21600">
            <v:path/>
            <v:fill on="f" focussize="0,0"/>
            <v:stroke on="f" joinstyle="miter"/>
            <v:imagedata r:id="rId6" o:title=""/>
            <o:lock v:ext="edit" aspectratio="t"/>
          </v:shape>
        </w:pict>
      </w:r>
    </w:p>
    <w:p>
      <w:pPr>
        <w:widowControl/>
        <w:jc w:val="center"/>
        <w:rPr>
          <w:rFonts w:ascii="黑体" w:hAnsi="宋体" w:eastAsia="黑体"/>
          <w:color w:val="002060"/>
          <w:sz w:val="72"/>
          <w:szCs w:val="72"/>
        </w:rPr>
      </w:pPr>
      <w:r>
        <w:rPr>
          <w:sz w:val="72"/>
        </w:rPr>
        <w:pict>
          <v:rect id="文本框 8" o:spid="_x0000_s1031" o:spt="1" style="position:absolute;left:0pt;margin-left:-82.4pt;margin-top:29.3pt;height:194.25pt;width:596.2pt;z-index:25165926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中国共产党无极县委员会</w:t>
                  </w:r>
                </w:p>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老干部局</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w:t>
      </w:r>
      <w:bookmarkStart w:id="0" w:name="_GoBack"/>
      <w:bookmarkEnd w:id="0"/>
      <w:r>
        <w:rPr>
          <w:rFonts w:hint="eastAsia" w:ascii="黑体" w:eastAsia="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中国共产党无极县委员会老干部局</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6" o:spt="75" type="#_x0000_t75" style="position:absolute;left:0pt;margin-left:-83.75pt;margin-top:-143.25pt;height:844.65pt;width:597.3pt;z-index:-251652096;mso-width-relative:page;mso-height-relative:page;" filled="f" o:preferrelative="t" stroked="f" coordsize="21600,21600">
            <v:path/>
            <v:fill on="f" focussize="0,0"/>
            <v:stroke on="f" joinstyle="miter"/>
            <v:imagedata r:id="rId7" o:title=""/>
            <o:lock v:ext="edit" aspectratio="t"/>
          </v:shape>
        </w:pict>
      </w:r>
      <w:r>
        <w:rPr>
          <w:sz w:val="72"/>
        </w:rPr>
        <w:pict>
          <v:rect id="文本框 118" o:spid="_x0000_s1035" o:spt="1" style="position:absolute;left:0pt;margin-left:-96.6pt;margin-top:259.1pt;height:81.7pt;width:613.65pt;z-index:251663360;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第一部分部门概况</w:t>
                  </w:r>
                </w:p>
              </w:txbxContent>
            </v:textbox>
          </v:rect>
        </w:pict>
      </w:r>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627" w:firstLineChars="196"/>
        <w:jc w:val="left"/>
        <w:outlineLvl w:val="0"/>
        <w:rPr>
          <w:rFonts w:ascii="仿宋" w:hAnsi="仿宋" w:eastAsia="仿宋" w:cs="仿宋"/>
          <w:b/>
          <w:sz w:val="32"/>
          <w:szCs w:val="32"/>
        </w:rPr>
      </w:pPr>
      <w:r>
        <w:rPr>
          <w:rFonts w:hint="eastAsia" w:ascii="仿宋" w:hAnsi="仿宋" w:eastAsia="仿宋" w:cs="仿宋"/>
          <w:sz w:val="32"/>
          <w:szCs w:val="32"/>
        </w:rPr>
        <w:t>根据《中国共产党无极县委员会老干部局职能配置、内设机构和人员编制方案》规定，老干部局的主要职责是：</w:t>
      </w:r>
    </w:p>
    <w:p>
      <w:pPr>
        <w:spacing w:after="0" w:line="600" w:lineRule="exact"/>
        <w:ind w:firstLine="681"/>
        <w:rPr>
          <w:rFonts w:ascii="仿宋" w:hAnsi="仿宋" w:eastAsia="仿宋" w:cs="仿宋"/>
          <w:sz w:val="32"/>
        </w:rPr>
      </w:pPr>
      <w:r>
        <w:rPr>
          <w:rFonts w:ascii="仿宋" w:hAnsi="仿宋" w:eastAsia="仿宋" w:cs="仿宋"/>
          <w:sz w:val="32"/>
        </w:rPr>
        <w:t>（一）调查了解离退休老干部政治待遇和生活待遇的落实情况，提出解决问题的意见和办法。</w:t>
      </w:r>
    </w:p>
    <w:p>
      <w:pPr>
        <w:spacing w:after="0" w:line="600" w:lineRule="exact"/>
        <w:ind w:left="1" w:firstLine="640" w:firstLineChars="200"/>
        <w:textAlignment w:val="bottom"/>
        <w:rPr>
          <w:rFonts w:ascii="仿宋" w:hAnsi="仿宋" w:eastAsia="仿宋" w:cs="仿宋"/>
          <w:sz w:val="32"/>
        </w:rPr>
      </w:pPr>
      <w:r>
        <w:rPr>
          <w:rFonts w:ascii="仿宋" w:hAnsi="仿宋" w:eastAsia="仿宋" w:cs="仿宋"/>
          <w:sz w:val="32"/>
        </w:rPr>
        <w:t>（二）组织离退休老干部发挥余热。</w:t>
      </w:r>
    </w:p>
    <w:p>
      <w:pPr>
        <w:spacing w:after="0" w:line="600" w:lineRule="exact"/>
        <w:ind w:left="1" w:firstLine="640" w:firstLineChars="200"/>
        <w:textAlignment w:val="bottom"/>
        <w:rPr>
          <w:rFonts w:ascii="仿宋" w:hAnsi="仿宋" w:eastAsia="仿宋" w:cs="仿宋"/>
          <w:sz w:val="32"/>
        </w:rPr>
      </w:pPr>
      <w:r>
        <w:rPr>
          <w:rFonts w:ascii="仿宋" w:hAnsi="仿宋" w:eastAsia="仿宋" w:cs="仿宋"/>
          <w:sz w:val="32"/>
        </w:rPr>
        <w:t>（三）协助有关部门做好离退休老干部的思想政治工作。</w:t>
      </w:r>
    </w:p>
    <w:p>
      <w:pPr>
        <w:spacing w:after="0" w:line="600" w:lineRule="exact"/>
        <w:ind w:left="1" w:firstLine="640" w:firstLineChars="200"/>
        <w:textAlignment w:val="bottom"/>
        <w:rPr>
          <w:rFonts w:ascii="仿宋" w:hAnsi="仿宋" w:eastAsia="仿宋" w:cs="仿宋"/>
          <w:sz w:val="32"/>
        </w:rPr>
      </w:pPr>
      <w:r>
        <w:rPr>
          <w:rFonts w:ascii="仿宋" w:hAnsi="仿宋" w:eastAsia="仿宋" w:cs="仿宋"/>
          <w:sz w:val="32"/>
        </w:rPr>
        <w:t>（四）协助有关部门做好离退休老干部医疗保健和故后有关事宜的处理工作。</w:t>
      </w:r>
    </w:p>
    <w:p>
      <w:pPr>
        <w:spacing w:after="0" w:line="600" w:lineRule="exact"/>
        <w:ind w:left="1" w:firstLine="640" w:firstLineChars="200"/>
        <w:textAlignment w:val="bottom"/>
        <w:rPr>
          <w:rFonts w:ascii="仿宋" w:hAnsi="仿宋" w:eastAsia="仿宋" w:cs="仿宋"/>
          <w:sz w:val="32"/>
        </w:rPr>
      </w:pPr>
      <w:r>
        <w:rPr>
          <w:rFonts w:ascii="仿宋" w:hAnsi="仿宋" w:eastAsia="仿宋" w:cs="仿宋"/>
          <w:sz w:val="32"/>
        </w:rPr>
        <w:t>（五）做好离退休老干部公用经费和特需经费的筹集、使用工作。</w:t>
      </w:r>
    </w:p>
    <w:p>
      <w:pPr>
        <w:spacing w:after="0" w:line="600" w:lineRule="exact"/>
        <w:ind w:left="1" w:firstLine="640" w:firstLineChars="200"/>
        <w:textAlignment w:val="bottom"/>
      </w:pPr>
      <w:r>
        <w:rPr>
          <w:rFonts w:ascii="仿宋" w:hAnsi="仿宋" w:eastAsia="仿宋" w:cs="仿宋"/>
          <w:sz w:val="32"/>
        </w:rPr>
        <w:t>（六）搞好外地离退休老干部来我</w:t>
      </w:r>
      <w:r>
        <w:rPr>
          <w:rFonts w:hint="eastAsia" w:ascii="仿宋" w:hAnsi="仿宋" w:eastAsia="仿宋" w:cs="仿宋"/>
          <w:sz w:val="32"/>
        </w:rPr>
        <w:t>县</w:t>
      </w:r>
      <w:r>
        <w:rPr>
          <w:rFonts w:ascii="仿宋" w:hAnsi="仿宋" w:eastAsia="仿宋" w:cs="仿宋"/>
          <w:sz w:val="32"/>
        </w:rPr>
        <w:t>参观、探亲、访友等有关事宜的接待工作。</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32"/>
                <w:szCs w:val="32"/>
              </w:rPr>
              <w:t>中国共产党无极县委员会老干部局</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widowControl/>
        <w:spacing w:line="560" w:lineRule="exact"/>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7" o:spt="75" type="#_x0000_t75" style="position:absolute;left:0pt;margin-left:-79.9pt;margin-top:-103.8pt;height:840.95pt;width:596.15pt;z-index:-251651072;mso-width-relative:page;mso-height-relative:page;" filled="f" o:preferrelative="t" stroked="f" coordsize="21600,21600">
            <v:path/>
            <v:fill on="f" focussize="0,0"/>
            <v:stroke on="f" joinstyle="miter"/>
            <v:imagedata r:id="rId7"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rect id="文本框 17" o:spid="_x0000_s1032" o:spt="1" style="position:absolute;left:0pt;margin-left:-73.5pt;margin-top:120.3pt;height:159.1pt;width:596.2pt;z-index:251660288;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588.92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142.06</w:t>
            </w:r>
          </w:p>
          <w:p>
            <w:pPr>
              <w:widowControl/>
              <w:spacing w:after="0" w:line="200" w:lineRule="exac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450.73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588.92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592.79</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8.23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4.36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597.15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597.15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588.92</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588.92</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138.19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450.73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450.73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362.53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362.53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归口管理的行政事业单位离退休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229.89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229.89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592.79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509.19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83.6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450.73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367.13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278.93</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归口管理的行政事业单位离退休</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229.89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146.29</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抚恤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死亡抚恤</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588.92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142.06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142.06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450.73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450.73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588.92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592.79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592.79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8.23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4.36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8.23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597.15</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597.15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597.15</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color w:val="000000"/>
                <w:szCs w:val="21"/>
              </w:rPr>
              <w:t>592.79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509.19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142.06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450.73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367.13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362.53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278.93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归口管理的行政事业单位离退休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229.89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146.29</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其他行政事业单位离退休支出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132.64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88.2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91.9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39.61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52.44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12.21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18.88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3.05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13.85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rPr>
                <w:rFonts w:ascii="宋体" w:hAnsi="宋体" w:cs="宋体"/>
                <w:color w:val="000000"/>
                <w:sz w:val="20"/>
                <w:szCs w:val="20"/>
              </w:rPr>
            </w:pPr>
            <w:r>
              <w:rPr>
                <w:rFonts w:hint="eastAsia" w:ascii="宋体" w:hAnsi="宋体" w:cs="宋体"/>
                <w:color w:val="000000"/>
                <w:sz w:val="20"/>
                <w:szCs w:val="20"/>
              </w:rPr>
              <w:t>6.13</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0.01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6.73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0.5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rPr>
                <w:rFonts w:ascii="宋体" w:hAnsi="宋体" w:cs="宋体"/>
                <w:color w:val="000000"/>
                <w:sz w:val="20"/>
                <w:szCs w:val="20"/>
              </w:rPr>
            </w:pPr>
            <w:r>
              <w:rPr>
                <w:rFonts w:hint="eastAsia" w:ascii="宋体" w:hAnsi="宋体" w:cs="宋体"/>
                <w:color w:val="000000"/>
                <w:sz w:val="20"/>
                <w:szCs w:val="20"/>
              </w:rPr>
              <w:t>6.13</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2.22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0.46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3.87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1.53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1.86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371.55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0.56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132.64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10.96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88.2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137.04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2.71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5.2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2.14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463.45</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45.74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注：本部门本年度无政府性基金预算财政拨款收入、支出及结转和结余情况，按要求空表列示。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注：本部门本年度无国有资本经营预算财政拨款支出情况</w:t>
            </w:r>
            <w:r>
              <w:rPr>
                <w:rFonts w:hint="eastAsia" w:ascii="宋体" w:hAnsi="宋体" w:cs="宋体"/>
                <w:color w:val="000000"/>
                <w:kern w:val="0"/>
                <w:szCs w:val="21"/>
              </w:rPr>
              <w:t>，按要求空表列示</w:t>
            </w:r>
            <w:r>
              <w:rPr>
                <w:rFonts w:hint="eastAsia" w:ascii="宋体" w:hAnsi="宋体" w:cs="宋体"/>
                <w:color w:val="000000"/>
                <w:kern w:val="0"/>
                <w:sz w:val="22"/>
                <w:szCs w:val="22"/>
              </w:rPr>
              <w:t>。</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kern w:val="0"/>
                <w:sz w:val="20"/>
                <w:szCs w:val="20"/>
              </w:rPr>
              <w:t>中国共产党无极县委员会老干</w:t>
            </w:r>
            <w:r>
              <w:rPr>
                <w:rFonts w:hint="eastAsia" w:ascii="宋体" w:hAnsi="宋体" w:cs="宋体"/>
                <w:color w:val="000000"/>
                <w:kern w:val="0"/>
                <w:sz w:val="20"/>
                <w:szCs w:val="20"/>
              </w:rPr>
              <w:t>部局</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94.56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94.44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_x0000_s1028" o:spid="_x0000_s1028" o:spt="75" type="#_x0000_t75" style="position:absolute;left:0pt;margin-left:-78.75pt;margin-top:-104.65pt;height:840.95pt;width:594.5pt;z-index:-251650048;mso-width-relative:page;mso-height-relative:page;" filled="f" o:preferrelative="t" stroked="f" coordsize="21600,21600">
            <v:path/>
            <v:fill on="f" focussize="0,0"/>
            <v:stroke on="f" joinstyle="miter"/>
            <v:imagedata r:id="rId7" o:title=""/>
            <o:lock v:ext="edit" aspectratio="t"/>
          </v:shape>
        </w:pict>
      </w:r>
      <w:r>
        <w:rPr>
          <w:sz w:val="72"/>
        </w:rPr>
        <w:pict>
          <v:rect id="文本框 5" o:spid="_x0000_s1033" o:spt="1" style="position:absolute;left:0pt;margin-left:-78pt;margin-top:232.8pt;height:159.1pt;width:596.2pt;z-index:251661312;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6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本部门2018年度年收支总计（含结转和结余）597.15万元。与2017年度决算相比，收支各增加100.49万元，增加20.23%，主要是</w:t>
      </w:r>
      <w:r>
        <w:rPr>
          <w:rFonts w:hint="eastAsia" w:ascii="仿宋" w:hAnsi="仿宋" w:eastAsia="仿宋" w:cs="仿宋"/>
          <w:sz w:val="30"/>
          <w:szCs w:val="30"/>
        </w:rPr>
        <w:t>工资调整以及工作开展所需项目经费增加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本部门2018年度本年收入合计588.92万元，其中：财政拨款收入588.92万元，占100%；事业收入0万元；经营收入0万元；其他收入0万元。如图所示：</w:t>
      </w:r>
    </w:p>
    <w:p>
      <w:pPr>
        <w:jc w:val="center"/>
        <w:rPr>
          <w:rFonts w:ascii="黑体" w:eastAsia="黑体"/>
        </w:rPr>
      </w:pPr>
      <w:r>
        <w:rPr>
          <w:rFonts w:ascii="黑体" w:eastAsia="黑体"/>
        </w:rPr>
        <w:pict>
          <v:shape id="_x0000_i1025" o:spt="75" type="#_x0000_t75" style="height:207.65pt;width:354.15pt;" filled="f" o:preferrelative="t" stroked="f" coordsize="21600,21600">
            <v:path/>
            <v:fill on="f" focussize="0,0"/>
            <v:stroke on="f" joinstyle="miter"/>
            <v:imagedata r:id="rId8" o:title=""/>
            <o:lock v:ext="edit" aspectratio="f"/>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本部门2018年度本年支出合计592.79万元，其中：基本支出509.19万元，占85.9%；项目支出83.6万元，占14.1%；经营支出0万元。如图所示：</w:t>
      </w:r>
    </w:p>
    <w:p>
      <w:pPr>
        <w:jc w:val="center"/>
      </w:pPr>
      <w:r>
        <w:pict>
          <v:shape id="_x0000_i1026" o:spt="75" type="#_x0000_t75" style="height:205.1pt;width:340.75pt;" filled="f" o:preferrelative="t" stroked="f" coordsize="21600,21600">
            <v:path/>
            <v:fill on="f" focussize="0,0"/>
            <v:stroke on="f" joinstyle="miter"/>
            <v:imagedata r:id="rId9" o:title=""/>
            <o:lock v:ext="edit" aspectratio="f"/>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本部门2018年度形成的财政拨款收支均为一般公共预算财政拨款，其中一般公共预算财政拨款本年收入588.92万元,比2017年度增加102.26万元，增长21.01%，主要是</w:t>
      </w:r>
      <w:r>
        <w:rPr>
          <w:rFonts w:hint="eastAsia" w:ascii="仿宋" w:hAnsi="仿宋" w:eastAsia="仿宋" w:cs="仿宋"/>
          <w:sz w:val="30"/>
          <w:szCs w:val="30"/>
        </w:rPr>
        <w:t>工资调整以及工作开展所需项目经费增加</w:t>
      </w:r>
      <w:r>
        <w:rPr>
          <w:rFonts w:hint="eastAsia" w:ascii="仿宋_GB2312" w:eastAsia="仿宋_GB2312" w:cs="DengXian-Regular"/>
          <w:sz w:val="32"/>
          <w:szCs w:val="32"/>
        </w:rPr>
        <w:t>；本年支出592.79万元，增加104.36万元，增长21.37%，主要是</w:t>
      </w:r>
      <w:r>
        <w:rPr>
          <w:rFonts w:hint="eastAsia" w:ascii="仿宋" w:hAnsi="仿宋" w:eastAsia="仿宋" w:cs="仿宋"/>
          <w:sz w:val="30"/>
          <w:szCs w:val="30"/>
        </w:rPr>
        <w:t>工资调整以及工作开展所需项目经费增加</w:t>
      </w:r>
      <w:r>
        <w:rPr>
          <w:rFonts w:hint="eastAsia" w:ascii="仿宋_GB2312" w:eastAsia="仿宋_GB2312" w:cs="DengXian-Regular"/>
          <w:sz w:val="32"/>
          <w:szCs w:val="32"/>
        </w:rPr>
        <w:t>。</w:t>
      </w:r>
    </w:p>
    <w:p>
      <w:pPr>
        <w:adjustRightInd w:val="0"/>
        <w:snapToGrid w:val="0"/>
        <w:spacing w:after="0" w:line="240" w:lineRule="auto"/>
        <w:ind w:firstLine="420" w:firstLineChars="200"/>
        <w:rPr>
          <w:rFonts w:ascii="仿宋_GB2312" w:eastAsia="仿宋_GB2312" w:cs="DengXian-Regular"/>
          <w:sz w:val="32"/>
          <w:szCs w:val="32"/>
        </w:rPr>
      </w:pPr>
      <w:r>
        <w:pict>
          <v:shape id="_x0000_i1027" o:spt="75" type="#_x0000_t75" style="height:235.25pt;width:360.85pt;" filled="f" o:preferrelative="t" stroked="f" coordsize="21600,21600">
            <v:path/>
            <v:fill on="f" focussize="0,0"/>
            <v:stroke on="f" joinstyle="miter"/>
            <v:imagedata r:id="rId10" o:title=""/>
            <o:lock v:ext="edit" aspectratio="t"/>
            <w10:wrap type="none"/>
            <w10:anchorlock/>
          </v:shape>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588.92万元，完成年初预算的99.82%,比年初预算减少1.08万元，决算数小于预算数主要原因是项目支出减少；本年支出592.79万元，完成年初预算的104%,比年初预算增加2.79万元，决算数大于预算数主要原因是</w:t>
      </w:r>
      <w:r>
        <w:rPr>
          <w:rFonts w:hint="eastAsia" w:ascii="仿宋" w:hAnsi="仿宋" w:eastAsia="仿宋" w:cs="仿宋"/>
          <w:sz w:val="30"/>
          <w:szCs w:val="30"/>
        </w:rPr>
        <w:t>工资调整以及工作开展所需项目经费增加</w:t>
      </w:r>
      <w:r>
        <w:rPr>
          <w:rFonts w:hint="eastAsia" w:ascii="仿宋_GB2312" w:eastAsia="仿宋_GB2312" w:cs="DengXian-Regular"/>
          <w:sz w:val="32"/>
          <w:szCs w:val="32"/>
        </w:rPr>
        <w:t>。</w:t>
      </w:r>
    </w:p>
    <w:p>
      <w:pPr>
        <w:adjustRightInd w:val="0"/>
        <w:snapToGrid w:val="0"/>
        <w:spacing w:after="0" w:line="240" w:lineRule="auto"/>
        <w:jc w:val="center"/>
        <w:rPr>
          <w:rFonts w:ascii="仿宋_GB2312" w:eastAsia="仿宋_GB2312" w:cs="DengXian-Regular"/>
          <w:sz w:val="32"/>
          <w:szCs w:val="32"/>
          <w:highlight w:val="yellow"/>
        </w:rPr>
      </w:pPr>
      <w:r>
        <w:pict>
          <v:shape id="_x0000_i1028" o:spt="75" type="#_x0000_t75" style="height:274.6pt;width:360.85pt;" filled="f" o:preferrelative="t" stroked="f" coordsize="21600,21600">
            <v:path/>
            <v:fill on="f" focussize="0,0"/>
            <v:stroke on="f" joinstyle="miter"/>
            <v:imagedata r:id="rId11" o:title=""/>
            <o:lock v:ext="edit" aspectratio="t"/>
            <w10:wrap type="none"/>
            <w10:anchorlock/>
          </v:shape>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年度财政拨款支出592.79万元，主要用于以下方面:一般公共服务支142.06万元，占23.96%；社会保障和就业支出 450.73万元，占76.04%。</w:t>
      </w:r>
    </w:p>
    <w:p>
      <w:pPr>
        <w:adjustRightInd w:val="0"/>
        <w:snapToGrid w:val="0"/>
        <w:spacing w:after="0" w:line="240" w:lineRule="auto"/>
        <w:jc w:val="center"/>
        <w:rPr>
          <w:rFonts w:ascii="楷体_GB2312" w:eastAsia="楷体_GB2312" w:cs="DengXian-Bold"/>
          <w:b/>
          <w:bCs/>
          <w:sz w:val="32"/>
          <w:szCs w:val="32"/>
        </w:rPr>
      </w:pPr>
      <w:r>
        <w:rPr>
          <w:rFonts w:ascii="楷体_GB2312" w:eastAsia="楷体_GB2312" w:cs="DengXian-Bold"/>
          <w:b/>
          <w:sz w:val="32"/>
          <w:szCs w:val="32"/>
        </w:rPr>
        <w:pict>
          <v:shape id="_x0000_i1029" o:spt="75" type="#_x0000_t75" style="height:211.8pt;width:258.7pt;" filled="f" o:preferrelative="t" stroked="f" coordsize="21600,21600">
            <v:path/>
            <v:fill on="f" focussize="0,0"/>
            <v:stroke on="f" joinstyle="miter"/>
            <v:imagedata r:id="rId12" o:title=""/>
            <o:lock v:ext="edit" aspectratio="f"/>
            <w10:wrap type="none"/>
            <w10:anchorlock/>
          </v:shape>
        </w:pi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年度一般公共预算财政拨款基本支出509.19万元，其中：人员经费 463.45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45.74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本部门2018年度“三公”经费支出共计6万元，</w:t>
      </w:r>
      <w:r>
        <w:rPr>
          <w:rFonts w:hint="eastAsia" w:ascii="仿宋_GB2312" w:eastAsia="仿宋_GB2312" w:cs="DengXian-Regular"/>
          <w:b/>
          <w:bCs/>
          <w:sz w:val="32"/>
          <w:szCs w:val="32"/>
        </w:rPr>
        <w:t>与年初预算持平，</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（二）公务用车购置及运行维护费支出6万元。</w:t>
      </w:r>
      <w:r>
        <w:rPr>
          <w:rFonts w:hint="eastAsia" w:ascii="仿宋_GB2312" w:eastAsia="仿宋_GB2312" w:cs="DengXian-Regular"/>
          <w:sz w:val="32"/>
          <w:szCs w:val="32"/>
        </w:rPr>
        <w:t>本部门2018年度公务用车购置及运行维护费较年初预算减少0万元与年初预算持平，无增减变化。主要是认真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本部门2018年度公务用车购置量0辆，发生“公务用车购置”经费支出0万元。公务用车购置费支出较年初预算增加0万元与年初预算持平，无增减变化。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本部门2018年度单位公务用车保有量2辆，公务用车运行维护费6万元。公车运行维护费支出与年初预算持平，无增减变化。主要是认真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本部门2018年度公务接待共0批次、0人次。公务接待费支出与年初预算持平，无增减变化。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numPr>
          <w:ilvl w:val="0"/>
          <w:numId w:val="2"/>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老干部活动中心修缮》、《革命历史文化资料编纂》、《革命老区县发展史无极卷》3个项目，涉及资金83.59万元。从评价情况看，评价结果为良好。</w:t>
      </w:r>
    </w:p>
    <w:p>
      <w:pPr>
        <w:numPr>
          <w:ilvl w:val="0"/>
          <w:numId w:val="3"/>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预算项目绩效自评选例</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本单位老干部活动中心修缮项目绩效自评：根据年初设定的绩效目标，老干部活动中心修缮项目绩效自评结果为良好。项目全年预算数为94.25万元，执行数为37.78万元，完成预算的40%。主要产出和效果是进一步完善老干部局活动中心基础设施，改善老干部活动中心环境，丰富老干部活动内容。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本部门2018年度机关运行经费支出45.74万元，比年初预算数增加1.74万元，增长3.95%。主要原因是日常经费增加。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本部门2018年度政府采购支出总额94.44万元，从采购类型来看，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政府采购工程支出</w:t>
      </w:r>
      <w:r>
        <w:rPr>
          <w:rFonts w:hint="eastAsia" w:ascii="仿宋_GB2312" w:hAnsi="仿宋_GB2312" w:eastAsia="仿宋_GB2312" w:cs="仿宋_GB2312"/>
          <w:color w:val="000000"/>
          <w:kern w:val="0"/>
          <w:sz w:val="32"/>
          <w:szCs w:val="32"/>
        </w:rPr>
        <w:t>94.44</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 xml:space="preserve">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。授予中小企业合同金额94.44万元，占政府采购支出总额的100%，授予小微企业合同金额0万元，占政府采购支出总额的100%。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辆，比上年无增减变化。其中，副部（省）级及以上领导用车0辆，主要领导干部用车0辆，机要通信用车0辆，应急保障用车0辆，执法执勤用车0辆，特种专业技术用车0辆，离退休干部用车2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1、本部门2018年度政府性基金预算财政拨款收入支出决算表、国有资本经营预算无收支及结转结余情况，故政府性基金预算、国有资本经营预算以空表列示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21" o:spid="_x0000_s1029" o:spt="75" type="#_x0000_t75" style="position:absolute;left:0pt;margin-left:-78.75pt;margin-top:-104.65pt;height:840.95pt;width:594.5pt;z-index:-251649024;mso-width-relative:page;mso-height-relative:page;" filled="f" o:preferrelative="t" stroked="f" coordsize="21600,21600">
            <v:path/>
            <v:fill on="f" focussize="0,0"/>
            <v:stroke on="f" joinstyle="miter"/>
            <v:imagedata r:id="rId7" o:title=""/>
            <o:lock v:ext="edit" aspectratio="t"/>
          </v:shape>
        </w:pict>
      </w:r>
      <w:r>
        <w:rPr>
          <w:sz w:val="72"/>
        </w:rPr>
        <w:pict>
          <v:rect id="文本框 22" o:spid="_x0000_s1034" o:spt="1" style="position:absolute;left:0pt;margin-left:-78pt;margin-top:232.8pt;height:159.1pt;width:596.2pt;z-index:251662336;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0" o:spt="75" type="#_x0000_t75" style="position:absolute;left:0pt;margin-left:-77.3pt;margin-top:-106pt;height:845.35pt;width:597.65pt;z-index:-251648000;mso-width-relative:page;mso-height-relative:page;" filled="f" o:preferrelative="t" stroked="f" coordsize="21600,21600">
            <v:path/>
            <v:fill on="f" focussize="0,0"/>
            <v:stroke on="f" joinstyle="miter"/>
            <v:imagedata r:id="rId13" o:title=""/>
            <o:lock v:ext="edit" aspectratio="t"/>
          </v:shape>
        </w:pic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3"/>
      <w:numFmt w:val="chineseCounting"/>
      <w:suff w:val="nothing"/>
      <w:lvlText w:val="（%1）"/>
      <w:lvlJc w:val="left"/>
      <w:rPr>
        <w:rFonts w:hint="eastAsia"/>
      </w:rPr>
    </w:lvl>
  </w:abstractNum>
  <w:abstractNum w:abstractNumId="1">
    <w:nsid w:val="00000009"/>
    <w:multiLevelType w:val="singleLevel"/>
    <w:tmpl w:val="00000009"/>
    <w:lvl w:ilvl="0" w:tentative="0">
      <w:start w:val="3"/>
      <w:numFmt w:val="chineseCounting"/>
      <w:suff w:val="nothing"/>
      <w:lvlText w:val="（%1）"/>
      <w:lvlJc w:val="left"/>
    </w:lvl>
  </w:abstractNum>
  <w:abstractNum w:abstractNumId="2">
    <w:nsid w:val="0000000A"/>
    <w:multiLevelType w:val="singleLevel"/>
    <w:tmpl w:val="0000000A"/>
    <w:lvl w:ilvl="0" w:tentative="0">
      <w:start w:val="2"/>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82109"/>
    <w:rsid w:val="00154E02"/>
    <w:rsid w:val="00156860"/>
    <w:rsid w:val="00360E7C"/>
    <w:rsid w:val="00496124"/>
    <w:rsid w:val="004D5C04"/>
    <w:rsid w:val="005C73BA"/>
    <w:rsid w:val="005E44CC"/>
    <w:rsid w:val="00771ACE"/>
    <w:rsid w:val="008F7122"/>
    <w:rsid w:val="00A334B8"/>
    <w:rsid w:val="00A82109"/>
    <w:rsid w:val="00AE0452"/>
    <w:rsid w:val="00B42DC1"/>
    <w:rsid w:val="00BC7D4B"/>
    <w:rsid w:val="00C11123"/>
    <w:rsid w:val="00C372EF"/>
    <w:rsid w:val="00DE46CF"/>
    <w:rsid w:val="00E45125"/>
    <w:rsid w:val="00FD084B"/>
    <w:rsid w:val="01F93455"/>
    <w:rsid w:val="0ED467F0"/>
    <w:rsid w:val="17442C11"/>
    <w:rsid w:val="1F4720F8"/>
    <w:rsid w:val="24A84B75"/>
    <w:rsid w:val="26057ADF"/>
    <w:rsid w:val="27A25E23"/>
    <w:rsid w:val="2A8A5FDC"/>
    <w:rsid w:val="2B5A4825"/>
    <w:rsid w:val="30281F4D"/>
    <w:rsid w:val="316F5E43"/>
    <w:rsid w:val="319A3F99"/>
    <w:rsid w:val="34BE5F1D"/>
    <w:rsid w:val="351C3124"/>
    <w:rsid w:val="37382D7D"/>
    <w:rsid w:val="38537D07"/>
    <w:rsid w:val="3A9E7E83"/>
    <w:rsid w:val="3B531A70"/>
    <w:rsid w:val="3D797B6C"/>
    <w:rsid w:val="3F337BC9"/>
    <w:rsid w:val="40741024"/>
    <w:rsid w:val="41D4567F"/>
    <w:rsid w:val="420F2840"/>
    <w:rsid w:val="43FD0AA5"/>
    <w:rsid w:val="44765A85"/>
    <w:rsid w:val="466B5784"/>
    <w:rsid w:val="4BDF6428"/>
    <w:rsid w:val="4CA23AA6"/>
    <w:rsid w:val="4DB92921"/>
    <w:rsid w:val="4F74520B"/>
    <w:rsid w:val="4FB31789"/>
    <w:rsid w:val="51567EB8"/>
    <w:rsid w:val="51B24E8A"/>
    <w:rsid w:val="58B0183A"/>
    <w:rsid w:val="641B4B03"/>
    <w:rsid w:val="668E43F8"/>
    <w:rsid w:val="6D230969"/>
    <w:rsid w:val="6E6814F3"/>
    <w:rsid w:val="6E9B1804"/>
    <w:rsid w:val="72E03A1D"/>
    <w:rsid w:val="7A715A3C"/>
    <w:rsid w:val="7A8A26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uiPriority w:val="0"/>
    <w:rPr>
      <w:rFonts w:ascii="Calibri" w:hAnsi="Calibri" w:eastAsia="宋体" w:cs="黑体"/>
      <w:b/>
      <w:bCs/>
      <w:sz w:val="28"/>
      <w:szCs w:val="28"/>
    </w:rPr>
  </w:style>
  <w:style w:type="character" w:customStyle="1" w:styleId="16">
    <w:name w:val="日期 Char"/>
    <w:link w:val="17"/>
    <w:semiHidden/>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style>
  <w:style w:type="character" w:customStyle="1" w:styleId="18">
    <w:name w:val="页脚 Char"/>
    <w:link w:val="6"/>
    <w:semiHidden/>
    <w:qFormat/>
    <w:uiPriority w:val="0"/>
    <w:rPr>
      <w:sz w:val="18"/>
      <w:szCs w:val="18"/>
    </w:rPr>
  </w:style>
  <w:style w:type="character" w:customStyle="1" w:styleId="19">
    <w:name w:val="页眉 Char"/>
    <w:link w:val="7"/>
    <w:semiHidden/>
    <w:qFormat/>
    <w:uiPriority w:val="0"/>
    <w:rPr>
      <w:sz w:val="18"/>
      <w:szCs w:val="18"/>
    </w:rPr>
  </w:style>
  <w:style w:type="character" w:customStyle="1" w:styleId="20">
    <w:name w:val="副标题 Char"/>
    <w:link w:val="8"/>
    <w:semiHidden/>
    <w:uiPriority w:val="0"/>
    <w:rPr>
      <w:rFonts w:ascii="Calibri" w:hAnsi="Calibri" w:eastAsia="宋体" w:cs="黑体"/>
      <w:i/>
      <w:iCs/>
      <w:color w:val="F0A22E"/>
      <w:spacing w:val="15"/>
      <w:kern w:val="0"/>
      <w:sz w:val="24"/>
      <w:szCs w:val="24"/>
    </w:rPr>
  </w:style>
  <w:style w:type="character" w:customStyle="1" w:styleId="21">
    <w:name w:val="标题 Char"/>
    <w:link w:val="9"/>
    <w:semiHidden/>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uiPriority w:val="0"/>
    <w:rPr>
      <w:sz w:val="18"/>
      <w:szCs w:val="18"/>
    </w:rPr>
  </w:style>
  <w:style w:type="paragraph" w:customStyle="1" w:styleId="23">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qFormat/>
    <w:uiPriority w:val="0"/>
    <w:pPr>
      <w:ind w:firstLine="420" w:firstLineChars="200"/>
    </w:pPr>
  </w:style>
  <w:style w:type="character" w:customStyle="1" w:styleId="25">
    <w:name w:val="批注框文本 Char Char Char Char"/>
    <w:link w:val="22"/>
    <w:semiHidden/>
    <w:qFormat/>
    <w:uiPriority w:val="0"/>
    <w:rPr>
      <w:rFonts w:ascii="Times New Roman" w:hAnsi="Times New Roman" w:eastAsia="宋体" w:cs="Times New Roman"/>
      <w:sz w:val="18"/>
      <w:szCs w:val="18"/>
    </w:rPr>
  </w:style>
  <w:style w:type="character" w:customStyle="1" w:styleId="26">
    <w:name w:val="无间隔 Char"/>
    <w:link w:val="23"/>
    <w:semiHidden/>
    <w:qFormat/>
    <w:uiPriority w:val="0"/>
    <w:rPr>
      <w:sz w:val="22"/>
      <w:lang w:val="en-US" w:eastAsia="zh-CN" w:bidi="ar-SA"/>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41"/>
    <customShpInfo spid="_x0000_s1031"/>
    <customShpInfo spid="_x0000_s1026"/>
    <customShpInfo spid="_x0000_s1035"/>
    <customShpInfo spid="_x0000_s1027"/>
    <customShpInfo spid="_x0000_s1032"/>
    <customShpInfo spid="_x0000_s1028"/>
    <customShpInfo spid="_x0000_s1033"/>
    <customShpInfo spid="_x0000_s1029"/>
    <customShpInfo spid="_x0000_s1034"/>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1565</Words>
  <Characters>8926</Characters>
  <Lines>74</Lines>
  <Paragraphs>20</Paragraphs>
  <TotalTime>17</TotalTime>
  <ScaleCrop>false</ScaleCrop>
  <LinksUpToDate>false</LinksUpToDate>
  <CharactersWithSpaces>10471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2019-09-02T08:40:00Z</dcterms:created>
  <dc:creator>User</dc:creator>
  <cp:lastModifiedBy>古德纽斯</cp:lastModifiedBy>
  <cp:lastPrinted>2019-12-23T00:29:00Z</cp:lastPrinted>
  <dcterms:modified xsi:type="dcterms:W3CDTF">2023-08-28T07:33:51Z</dcterms:modified>
  <dc:subject>石家庄市xxx部门</dc:subject>
  <dc:title>2017年度部门决算</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59474FBF0390420F87120731DD2D6418</vt:lpwstr>
  </property>
</Properties>
</file>