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文本框 8" o:spid="_x0000_s1026" o:spt="202" type="#_x0000_t202" style="position:absolute;left:0pt;margin-left:-83.1pt;margin-top:43.25pt;height:166.25pt;width:596.2pt;z-index:25166028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无极县广播电视台</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无极县广播电视台</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w:pict>
          <v:shape id="文本框 118" o:spid="_x0000_s1027" o:spt="202" type="#_x0000_t202" style="position:absolute;left:0pt;margin-left:-97.3pt;margin-top:259.1pt;height:81.7pt;width:613.65pt;z-index:25166950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pStyle w:val="2"/>
        <w:spacing w:before="0" w:after="0" w:line="600" w:lineRule="exact"/>
        <w:ind w:firstLine="320" w:firstLineChars="100"/>
        <w:jc w:val="left"/>
        <w:rPr>
          <w:rFonts w:ascii="仿宋_GB2312" w:hAnsi="仿宋" w:eastAsia="仿宋_GB2312"/>
          <w:b w:val="0"/>
          <w:bCs w:val="0"/>
          <w:sz w:val="32"/>
          <w:szCs w:val="32"/>
        </w:rPr>
      </w:pPr>
      <w:r>
        <w:rPr>
          <w:rFonts w:hint="eastAsia" w:ascii="仿宋_GB2312" w:hAnsi="仿宋" w:eastAsia="仿宋_GB2312"/>
          <w:b w:val="0"/>
          <w:bCs w:val="0"/>
          <w:sz w:val="32"/>
          <w:szCs w:val="32"/>
        </w:rPr>
        <w:t>宣传贯彻执行党和国家的路线、方针政策；围绕县委、县政府的中心工作开展新闻宣传，做好各类广播电视节目制作、宣传、采访报道、传输发射、专题片等创作，做好新媒体运营，负责对各类电视广告的审查、制作，建立广播电视安全播出保障体系，加强安全播出管理。组织实施重大公益工程和公益活动。</w:t>
      </w:r>
    </w:p>
    <w:p>
      <w:pPr>
        <w:pStyle w:val="2"/>
        <w:spacing w:before="0" w:after="0" w:line="600" w:lineRule="exact"/>
        <w:ind w:firstLine="320" w:firstLineChars="100"/>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无极县广播电视台</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文本框 17" o:spid="_x0000_s1028" o:spt="202" type="#_x0000_t202" style="position:absolute;left:0pt;margin-left:-74.2pt;margin-top:120.3pt;height:159.1pt;width:596.2pt;z-index:25166233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部门：无极县广播电视台</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668.21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533.78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668.21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533.78</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93.09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227.52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761.3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761.3</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232"/>
        <w:gridCol w:w="66"/>
        <w:gridCol w:w="222"/>
        <w:gridCol w:w="1449"/>
        <w:gridCol w:w="402"/>
        <w:gridCol w:w="260"/>
        <w:gridCol w:w="343"/>
        <w:gridCol w:w="472"/>
        <w:gridCol w:w="413"/>
        <w:gridCol w:w="403"/>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9"/>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44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40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部门：无极县广播电视台</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483" w:type="dxa"/>
            <w:gridSpan w:val="6"/>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005"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885"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74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74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737" w:type="dxa"/>
            <w:gridSpan w:val="3"/>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005"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885"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4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48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10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7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48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100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668.21</w:t>
            </w:r>
          </w:p>
        </w:tc>
        <w:tc>
          <w:tcPr>
            <w:tcW w:w="88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668.21</w:t>
            </w:r>
          </w:p>
        </w:tc>
        <w:tc>
          <w:tcPr>
            <w:tcW w:w="74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8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w:t>
            </w: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文化体育与传媒支出</w:t>
            </w:r>
          </w:p>
        </w:tc>
        <w:tc>
          <w:tcPr>
            <w:tcW w:w="10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668.21</w:t>
            </w: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668.21</w:t>
            </w:r>
          </w:p>
        </w:tc>
        <w:tc>
          <w:tcPr>
            <w:tcW w:w="7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w:t>
            </w: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新闻出版广播影视</w:t>
            </w:r>
          </w:p>
        </w:tc>
        <w:tc>
          <w:tcPr>
            <w:tcW w:w="10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548.45</w:t>
            </w: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548.46</w:t>
            </w:r>
          </w:p>
        </w:tc>
        <w:tc>
          <w:tcPr>
            <w:tcW w:w="7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2070401</w:t>
            </w: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251.92</w:t>
            </w: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251.92</w:t>
            </w:r>
          </w:p>
        </w:tc>
        <w:tc>
          <w:tcPr>
            <w:tcW w:w="7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2070405</w:t>
            </w: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电视</w:t>
            </w:r>
          </w:p>
        </w:tc>
        <w:tc>
          <w:tcPr>
            <w:tcW w:w="10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289.15</w:t>
            </w: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289.15</w:t>
            </w:r>
          </w:p>
        </w:tc>
        <w:tc>
          <w:tcPr>
            <w:tcW w:w="7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2070408</w:t>
            </w: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出版发行</w:t>
            </w:r>
          </w:p>
        </w:tc>
        <w:tc>
          <w:tcPr>
            <w:tcW w:w="10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w:t>
            </w: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w:t>
            </w:r>
          </w:p>
        </w:tc>
        <w:tc>
          <w:tcPr>
            <w:tcW w:w="7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20799</w:t>
            </w: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其他文化体育与传媒支出</w:t>
            </w:r>
          </w:p>
        </w:tc>
        <w:tc>
          <w:tcPr>
            <w:tcW w:w="10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119.76</w:t>
            </w: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119.76</w:t>
            </w:r>
          </w:p>
        </w:tc>
        <w:tc>
          <w:tcPr>
            <w:tcW w:w="7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2079999</w:t>
            </w: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其他文化与传媒支出</w:t>
            </w:r>
          </w:p>
        </w:tc>
        <w:tc>
          <w:tcPr>
            <w:tcW w:w="10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119.76</w:t>
            </w: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119.76</w:t>
            </w:r>
          </w:p>
        </w:tc>
        <w:tc>
          <w:tcPr>
            <w:tcW w:w="7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05"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286"/>
        <w:gridCol w:w="517"/>
        <w:gridCol w:w="1648"/>
        <w:gridCol w:w="116"/>
        <w:gridCol w:w="694"/>
        <w:gridCol w:w="424"/>
        <w:gridCol w:w="641"/>
        <w:gridCol w:w="479"/>
        <w:gridCol w:w="586"/>
        <w:gridCol w:w="532"/>
        <w:gridCol w:w="548"/>
        <w:gridCol w:w="572"/>
        <w:gridCol w:w="294"/>
        <w:gridCol w:w="1084"/>
      </w:tblGrid>
      <w:tr>
        <w:tblPrEx>
          <w:tblCellMar>
            <w:top w:w="0" w:type="dxa"/>
            <w:left w:w="0" w:type="dxa"/>
            <w:bottom w:w="0" w:type="dxa"/>
            <w:right w:w="0" w:type="dxa"/>
          </w:tblCellMar>
        </w:tblPrEx>
        <w:trPr>
          <w:trHeight w:val="798" w:hRule="atLeast"/>
        </w:trPr>
        <w:tc>
          <w:tcPr>
            <w:tcW w:w="9000" w:type="dxa"/>
            <w:gridSpan w:val="1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64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无极县广播电视台</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0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1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6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6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0"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866"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8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1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65"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65"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0"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66"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303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8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3030"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533.78</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294.77</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239.01</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8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8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w:t>
            </w:r>
          </w:p>
        </w:tc>
        <w:tc>
          <w:tcPr>
            <w:tcW w:w="21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文化体育与传媒支出</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533.78</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294.77</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239.01</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w:t>
            </w:r>
          </w:p>
        </w:tc>
        <w:tc>
          <w:tcPr>
            <w:tcW w:w="21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新闻出版广播影视</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502.34</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294.77</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207.57</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2070401</w:t>
            </w:r>
          </w:p>
        </w:tc>
        <w:tc>
          <w:tcPr>
            <w:tcW w:w="21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251.92</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251.92</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2070405</w:t>
            </w:r>
          </w:p>
        </w:tc>
        <w:tc>
          <w:tcPr>
            <w:tcW w:w="21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电视</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241.51</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42.85</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198.65</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2070408</w:t>
            </w:r>
          </w:p>
        </w:tc>
        <w:tc>
          <w:tcPr>
            <w:tcW w:w="21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出版发行</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2070499</w:t>
            </w:r>
          </w:p>
        </w:tc>
        <w:tc>
          <w:tcPr>
            <w:tcW w:w="21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其他新闻出版广播影视</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1.53</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1.53</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20799</w:t>
            </w:r>
          </w:p>
        </w:tc>
        <w:tc>
          <w:tcPr>
            <w:tcW w:w="21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其他文化体育与传媒支出</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31.44</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31.44</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8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2079999</w:t>
            </w:r>
          </w:p>
        </w:tc>
        <w:tc>
          <w:tcPr>
            <w:tcW w:w="21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其他文化体育与传媒支出</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31.44</w:t>
            </w: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31.44</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部门：无极县广播电视台</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668.21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533.78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533.78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668.21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533.78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533.78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93.09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227.52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227.52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93.09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761.3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761.3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761.3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352"/>
        <w:gridCol w:w="502"/>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5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0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无极县广播电视台</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34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51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35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676"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3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676"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3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676"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34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6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34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6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533.78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294.77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239.01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w:t>
            </w:r>
          </w:p>
        </w:tc>
        <w:tc>
          <w:tcPr>
            <w:tcW w:w="23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文化体育与传媒支出</w:t>
            </w:r>
          </w:p>
        </w:tc>
        <w:tc>
          <w:tcPr>
            <w:tcW w:w="16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533.78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294.77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239.01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w:t>
            </w:r>
          </w:p>
        </w:tc>
        <w:tc>
          <w:tcPr>
            <w:tcW w:w="23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新闻出版广播影视</w:t>
            </w:r>
          </w:p>
        </w:tc>
        <w:tc>
          <w:tcPr>
            <w:tcW w:w="16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502.34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294.77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207.57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2070401</w:t>
            </w:r>
          </w:p>
        </w:tc>
        <w:tc>
          <w:tcPr>
            <w:tcW w:w="23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6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251.92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251.92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2070405</w:t>
            </w:r>
          </w:p>
        </w:tc>
        <w:tc>
          <w:tcPr>
            <w:tcW w:w="23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电视</w:t>
            </w:r>
          </w:p>
        </w:tc>
        <w:tc>
          <w:tcPr>
            <w:tcW w:w="16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241.51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42.85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198.65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2070408</w:t>
            </w:r>
          </w:p>
        </w:tc>
        <w:tc>
          <w:tcPr>
            <w:tcW w:w="23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出版发行</w:t>
            </w:r>
          </w:p>
        </w:tc>
        <w:tc>
          <w:tcPr>
            <w:tcW w:w="16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2070499</w:t>
            </w:r>
          </w:p>
        </w:tc>
        <w:tc>
          <w:tcPr>
            <w:tcW w:w="23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其他新闻出版广播影视</w:t>
            </w:r>
          </w:p>
        </w:tc>
        <w:tc>
          <w:tcPr>
            <w:tcW w:w="16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20799</w:t>
            </w:r>
          </w:p>
        </w:tc>
        <w:tc>
          <w:tcPr>
            <w:tcW w:w="23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其他文化体育与传媒支出</w:t>
            </w:r>
          </w:p>
        </w:tc>
        <w:tc>
          <w:tcPr>
            <w:tcW w:w="16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2079999</w:t>
            </w:r>
          </w:p>
        </w:tc>
        <w:tc>
          <w:tcPr>
            <w:tcW w:w="23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其他文化体育与传媒支出</w:t>
            </w:r>
          </w:p>
        </w:tc>
        <w:tc>
          <w:tcPr>
            <w:tcW w:w="16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3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6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rPr>
              <w:t>无极县广播电视台</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233.82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42.85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132.01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4.01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17.46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32.74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51.61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23.46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251.92</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42.85</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部门：无极县广播电视台</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2.41</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2.41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注：本表反映部门本年度“三公”经费支出预决算情况。其中：预算数为“三公”经费年度预算数，决算数是包括当年一般公共预算财政拨款和以前年度结转资金安排的实际支出。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无极县广播电视台</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rPr>
                <w:rFonts w:ascii="宋体" w:hAnsi="宋体" w:cs="宋体"/>
                <w:color w:val="000000"/>
                <w:sz w:val="28"/>
                <w:szCs w:val="28"/>
              </w:rPr>
            </w:pPr>
            <w:r>
              <w:rPr>
                <w:rFonts w:hint="eastAsia" w:ascii="宋体" w:hAnsi="宋体" w:cs="宋体"/>
                <w:color w:val="000000"/>
                <w:kern w:val="0"/>
                <w:sz w:val="28"/>
                <w:szCs w:val="28"/>
              </w:rPr>
              <w:t xml:space="preserve">注： </w:t>
            </w:r>
            <w:r>
              <w:rPr>
                <w:rFonts w:hint="eastAsia" w:ascii="宋体" w:hAnsi="宋体" w:cs="宋体"/>
                <w:sz w:val="28"/>
                <w:szCs w:val="28"/>
                <w:shd w:val="clear" w:color="auto" w:fill="FFFFFF" w:themeFill="background1"/>
              </w:rPr>
              <w:t>本部门本年度无相关收入（或支出、收支及结转结余等）情况，按要求以空表列示。</w:t>
            </w:r>
            <w:r>
              <w:rPr>
                <w:rFonts w:hint="eastAsia" w:ascii="宋体" w:hAnsi="宋体" w:cs="宋体"/>
                <w:color w:val="FFFFFF" w:themeColor="background1"/>
                <w:sz w:val="28"/>
                <w:szCs w:val="28"/>
              </w:rPr>
              <w:t>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无极县广播电视台</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w:t>
            </w:r>
            <w:r>
              <w:rPr>
                <w:rFonts w:hint="eastAsia" w:ascii="宋体" w:hAnsi="宋体" w:cs="宋体"/>
                <w:sz w:val="22"/>
                <w:szCs w:val="22"/>
                <w:shd w:val="clear" w:color="auto" w:fill="FFFFFF" w:themeFill="background1"/>
              </w:rPr>
              <w:t>本部门本年度无</w:t>
            </w:r>
            <w:r>
              <w:rPr>
                <w:rFonts w:hint="eastAsia" w:cs="黑体" w:asciiTheme="majorEastAsia" w:hAnsiTheme="majorEastAsia" w:eastAsiaTheme="majorEastAsia"/>
                <w:color w:val="000000"/>
                <w:kern w:val="0"/>
                <w:sz w:val="24"/>
              </w:rPr>
              <w:t>国有资本经营预算财政拨款支出</w:t>
            </w:r>
            <w:r>
              <w:rPr>
                <w:rFonts w:hint="eastAsia" w:ascii="宋体" w:hAnsi="宋体" w:cs="宋体"/>
                <w:sz w:val="22"/>
                <w:szCs w:val="22"/>
                <w:shd w:val="clear" w:color="auto" w:fill="FFFFFF" w:themeFill="background1"/>
              </w:rPr>
              <w:t>情况，按要求以空表列示。</w:t>
            </w:r>
            <w:r>
              <w:rPr>
                <w:rFonts w:hint="eastAsia" w:ascii="宋体" w:hAnsi="宋体" w:cs="宋体"/>
                <w:color w:val="FFFFFF" w:themeColor="background1"/>
                <w:sz w:val="28"/>
                <w:szCs w:val="28"/>
              </w:rPr>
              <w:t>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无极县广播电视台</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272.46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272.46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272.46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61.7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61.7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61.7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210.76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210.76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210.76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267.81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267.81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267.81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61.6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61.6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61.6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206.21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206.21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206.21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29" o:spid="_x0000_s1029" o:spt="202" type="#_x0000_t202" style="position:absolute;left:0pt;margin-left:-78.7pt;margin-top:232.8pt;height:159.1pt;width:596.2pt;z-index:25166438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本部门2018年度收支总计（含结转和结余）761.3万元。与2017年度决算相比，收支各减少68.03万元，下降8.21%，主要原因是今年已不存在国库返还资金及项目资金的减少。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本部门2018年度本年收入合计668.21万元，其中：财政拨款收入668.21万元，占100%。如图所示：</w:t>
      </w:r>
    </w:p>
    <w:p>
      <w:pPr>
        <w:adjustRightInd w:val="0"/>
        <w:snapToGrid w:val="0"/>
        <w:spacing w:after="0" w:line="240" w:lineRule="auto"/>
        <w:ind w:firstLine="1260" w:firstLineChars="600"/>
        <w:rPr>
          <w:rFonts w:ascii="仿宋_GB2312" w:eastAsia="仿宋_GB2312" w:cs="DengXian-Regular"/>
          <w:sz w:val="32"/>
          <w:szCs w:val="32"/>
        </w:rPr>
      </w:pPr>
      <w:r>
        <w:drawing>
          <wp:inline distT="0" distB="0" distL="114300" distR="114300">
            <wp:extent cx="3657600" cy="2185035"/>
            <wp:effectExtent l="0" t="0" r="0" b="0"/>
            <wp:docPr id="2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本部门2018年度本年支出合计533.78万元，其中：基本支出294.77万元，占55.22%；项目支出239.01万元，占44.78%；经营支出0万元，占0%。如图所示：</w:t>
      </w:r>
    </w:p>
    <w:p>
      <w:pPr>
        <w:adjustRightInd w:val="0"/>
        <w:snapToGrid w:val="0"/>
        <w:spacing w:after="0" w:line="240" w:lineRule="auto"/>
        <w:ind w:firstLine="1260" w:firstLineChars="600"/>
        <w:rPr>
          <w:rFonts w:ascii="仿宋_GB2312" w:eastAsia="仿宋_GB2312" w:cs="DengXian-Regular"/>
          <w:sz w:val="32"/>
          <w:szCs w:val="32"/>
        </w:rPr>
      </w:pPr>
      <w:r>
        <w:drawing>
          <wp:inline distT="0" distB="0" distL="114300" distR="114300">
            <wp:extent cx="3087370" cy="1983105"/>
            <wp:effectExtent l="0" t="0" r="0" b="0"/>
            <wp:docPr id="2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668.21万元,比2017年度减少161.12万元，降低19.43%，主要是国库返还资金及项目资金的减少；本年支出533.78万元，减少181.34万元，降低25.36%，主要是项目支出减少。</w:t>
      </w:r>
    </w:p>
    <w:p>
      <w:pPr>
        <w:adjustRightInd w:val="0"/>
        <w:snapToGrid w:val="0"/>
        <w:spacing w:after="0" w:line="240" w:lineRule="auto"/>
        <w:ind w:firstLine="420" w:firstLineChars="200"/>
        <w:rPr>
          <w:rFonts w:ascii="仿宋_GB2312" w:eastAsia="仿宋_GB2312" w:cs="DengXian-Regular"/>
          <w:sz w:val="32"/>
          <w:szCs w:val="32"/>
        </w:rPr>
      </w:pPr>
      <w:r>
        <w:drawing>
          <wp:inline distT="0" distB="0" distL="114300" distR="114300">
            <wp:extent cx="4572000" cy="2981325"/>
            <wp:effectExtent l="4445" t="4445" r="14605" b="5080"/>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sz w:val="32"/>
        </w:rPr>
        <w:pict>
          <v:shape id="Text Box 4" o:spid="_x0000_s1030" o:spt="202" type="#_x0000_t202" style="position:absolute;left:0pt;margin-left:54.55pt;margin-top:7.35pt;height:74.05pt;width:329.1pt;z-index:-251645952;mso-width-relative:page;mso-height-relative:page;" fillcolor="#FFFFFF"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w:pi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本部门2018年度一般公共预算财政拨款收入668.21万元，完成年度预算的85.20%,比年度预算减少116.08万元，决算数小于预算数主要原因是办公地点搬迁演播室项目及新媒体设备购置项目剩余款合同未到期未下达收入；本年支出533.78万元，完成年度预算的68.06%,比年度预算减少250.51万元，决算数小于预算数主要原因是本部门认真落实中央八项规定精神和</w:t>
      </w:r>
      <w:r>
        <w:rPr>
          <w:rFonts w:hint="eastAsia" w:ascii="仿宋_GB2312" w:eastAsia="仿宋_GB2312" w:cs="DengXian-Regular"/>
          <w:sz w:val="32"/>
          <w:szCs w:val="32"/>
          <w:lang w:eastAsia="zh-CN"/>
        </w:rPr>
        <w:t>厉行节约</w:t>
      </w:r>
      <w:r>
        <w:rPr>
          <w:rFonts w:hint="eastAsia" w:ascii="仿宋_GB2312" w:eastAsia="仿宋_GB2312" w:cs="DengXian-Regular"/>
          <w:sz w:val="32"/>
          <w:szCs w:val="32"/>
        </w:rPr>
        <w:t>要求，从严控制“三公经费”开支，全年实际支出比预算有所节约，另外办公地点搬迁中演播室项目及新媒体设备购置项目剩余款合同未到期。</w:t>
      </w:r>
    </w:p>
    <w:p>
      <w:pPr>
        <w:adjustRightInd w:val="0"/>
        <w:snapToGrid w:val="0"/>
        <w:spacing w:after="0" w:line="240" w:lineRule="auto"/>
        <w:ind w:firstLine="840" w:firstLineChars="400"/>
      </w:pPr>
      <w:r>
        <w:drawing>
          <wp:inline distT="0" distB="0" distL="0" distR="0">
            <wp:extent cx="4572000" cy="3486150"/>
            <wp:effectExtent l="57150" t="0" r="57150" b="76200"/>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adjustRightInd w:val="0"/>
        <w:snapToGrid w:val="0"/>
        <w:spacing w:after="0" w:line="580" w:lineRule="exact"/>
        <w:ind w:firstLine="321" w:firstLineChars="100"/>
        <w:rPr>
          <w:rFonts w:ascii="楷体_GB2312" w:eastAsia="楷体_GB2312" w:cs="DengXian-Bold"/>
          <w:b/>
          <w:bCs/>
          <w:sz w:val="32"/>
          <w:szCs w:val="32"/>
        </w:rPr>
      </w:pPr>
      <w:r>
        <w:rPr>
          <w:rFonts w:hint="eastAsia" w:ascii="楷体_GB2312" w:eastAsia="楷体_GB2312" w:cs="DengXian-Bold"/>
          <w:b/>
          <w:bCs/>
          <w:sz w:val="32"/>
          <w:szCs w:val="32"/>
        </w:rPr>
        <w:t>（三）财政拨款支出决算结构情况。</w:t>
      </w:r>
    </w:p>
    <w:p>
      <w:pPr>
        <w:adjustRightInd w:val="0"/>
        <w:snapToGrid w:val="0"/>
        <w:spacing w:after="0" w:line="580" w:lineRule="exact"/>
        <w:ind w:firstLine="640" w:firstLineChars="200"/>
        <w:rPr>
          <w:rFonts w:ascii="楷体_GB2312" w:eastAsia="楷体_GB2312" w:cs="DengXian-Bold"/>
          <w:b/>
          <w:bCs/>
          <w:sz w:val="32"/>
          <w:szCs w:val="32"/>
        </w:rPr>
      </w:pPr>
      <w:r>
        <w:rPr>
          <w:rFonts w:hint="eastAsia" w:ascii="仿宋_GB2312" w:eastAsia="仿宋_GB2312" w:cs="DengXian-Regular"/>
          <w:sz w:val="32"/>
          <w:szCs w:val="32"/>
        </w:rPr>
        <w:t>2018 年度财政拨款支出533.78万元，主要用于以下方面：文化体育与传媒支出533.78万元，占100%。</w:t>
      </w:r>
    </w:p>
    <w:p>
      <w:pPr>
        <w:adjustRightInd w:val="0"/>
        <w:snapToGrid w:val="0"/>
        <w:spacing w:after="0" w:line="240" w:lineRule="auto"/>
      </w:pPr>
      <w:r>
        <w:drawing>
          <wp:inline distT="0" distB="0" distL="0" distR="0">
            <wp:extent cx="4576445" cy="3070860"/>
            <wp:effectExtent l="57150" t="0" r="52705" b="72390"/>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294.77万元，其中：人员经费251.92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42.85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“三公”经费支出共计2.41万元，</w:t>
      </w:r>
      <w:r>
        <w:rPr>
          <w:rFonts w:hint="eastAsia" w:ascii="仿宋_GB2312" w:eastAsia="仿宋_GB2312" w:cs="DengXian-Regular"/>
          <w:b/>
          <w:bCs/>
          <w:sz w:val="32"/>
          <w:szCs w:val="32"/>
        </w:rPr>
        <w:t>较年初预算减少0.59万元，降低3.59%，</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w:t>
      </w:r>
      <w:bookmarkStart w:id="0" w:name="_GoBack"/>
      <w:bookmarkEnd w:id="0"/>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 w:hAnsi="仿宋" w:eastAsia="仿宋" w:cs="仿宋"/>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本部门2018年度因公出国（境）团组0个、共0人参加，因公出国（境）费支出较年初预算增加0万元，与年初预算持平，无增减变化。</w:t>
      </w:r>
      <w:r>
        <w:rPr>
          <w:rFonts w:hint="eastAsia" w:ascii="仿宋" w:hAnsi="仿宋" w:eastAsia="仿宋" w:cs="仿宋"/>
          <w:sz w:val="32"/>
          <w:szCs w:val="32"/>
        </w:rPr>
        <w:t>。</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（二）公务用车购置及运行维护费支出2.41万元。</w:t>
      </w:r>
      <w:r>
        <w:rPr>
          <w:rFonts w:hint="eastAsia" w:ascii="仿宋_GB2312" w:eastAsia="仿宋_GB2312" w:cs="DengXian-Regular"/>
          <w:sz w:val="32"/>
          <w:szCs w:val="32"/>
        </w:rPr>
        <w:t>本部门2018年度公务用车购置及运行维护费较年初预算减少0.59万元，降低3.59%,主要是认真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sz w:val="32"/>
          <w:szCs w:val="32"/>
        </w:rPr>
        <w:t>其中：</w:t>
      </w:r>
    </w:p>
    <w:p>
      <w:pPr>
        <w:adjustRightInd w:val="0"/>
        <w:snapToGrid w:val="0"/>
        <w:spacing w:after="0" w:line="580" w:lineRule="exact"/>
        <w:ind w:firstLine="643" w:firstLineChars="200"/>
        <w:rPr>
          <w:rFonts w:ascii="仿宋_GB2312" w:eastAsia="仿宋_GB2312" w:cs="DengXian-Regular"/>
          <w:color w:val="000000" w:themeColor="text1"/>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本部门2018年度公务用车购置量0辆，发生“公务用车购置”经费支出0万元。公务用车购置费支出较年初预算增加0万元，增长0%,主要是未发生公务用车购置。</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本部门2018年度单位公务用车保有量1辆。公车运行维护费支出2.41万元，公车运行维护费支出较年度预算减少0.59万元，降低3.59%,主要是认真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本部门2018年度公务接待共0批次、0人次。公务接待费支出较年初预算增加0万元，增长0%,主要是未发生公务接待费。</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上海皮革招商宣传片经费、制作“生态新城、魅力无极”城市建设专题片经费、与省市栏目配套设备资金、配置发射机费、县级公共文化服务体系建设资金、办公地点搬迁费用、无极之声报刊征订费用、中央补助地方公共文化服务体系建设专项资金等14个项目，涉及资金468.5万元。从评价情况看，评价结果为优秀的项目有2个，良好的项目有10个，一般的项目2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本部门项目支出符合单位职责和相关管理规定，绩效目标合理，项目较好完成了目标任务，产生了较好地经济效益和社会效益，达到了预期绩效目标。</w:t>
      </w:r>
    </w:p>
    <w:p>
      <w:pPr>
        <w:ind w:firstLine="720" w:firstLineChars="225"/>
        <w:rPr>
          <w:rFonts w:ascii="仿宋_GB2312" w:eastAsia="仿宋_GB2312" w:cs="DengXian-Regular"/>
          <w:sz w:val="32"/>
          <w:szCs w:val="32"/>
        </w:rPr>
      </w:pPr>
      <w:r>
        <w:rPr>
          <w:rFonts w:hint="eastAsia" w:ascii="仿宋_GB2312" w:eastAsia="仿宋_GB2312" w:cs="DengXian-Regular"/>
          <w:sz w:val="32"/>
          <w:szCs w:val="32"/>
        </w:rPr>
        <w:t>本单位上海皮革招商宣传片经费项目绩效自评：根据年度设定的绩效目标，上海皮革招商宣传片经费项目自评结果为优秀。项目全年预算数为31.2万元，执行数30.3万元，完成预算的97.12%，主要产出和效果是更好的宣传无极皮革产业的发展，为我县的经济发展助力。本单位制作“生态新城、魅力无极”城市建设专题片经费项目绩效自评：根据年初设定的绩效目标，制作“生态新城、魅力无极”城市建设专题片经费自评结果为优秀，项目全年预算数为10万元。执行数10万元，完成预算的100%，主要产出和效果更好的宣传了无极县的城市建设。本单位无极之声报刊征订费用项目绩效自评：根据年初设定的绩效目标，无极之声报刊征订费用项目自评结果为良好，项目全年预算数为10万元，执行数7.39万元，完成预算的73.9%。主要产出和效果更好发展文化服务体系建设，满足群众的文化需要。本单位办公地点搬迁费用项目绩效自评：根据年初设定的绩效目标，办公地点搬迁费用项目费用项目自评结果为良好，项目全年预算数为280万元，执行数97.1万元，完成预算的34.67%。主要产出和效果其中演播室及新媒体多功能室的完成提高了我县节目的制作水平，丰富了群众的文化生活。本单位对辅助人员经费项目绩效自评：根据年初设定的绩效目标，辅助人员经费项目自评结果为良好，项目全年预算数为10万元，执行数9.11万元，完成预算的91.10%。主要产出和效果保障了新闻的采编播需要，制作出了高水平的节目。本单位对电视发展专项资金及中央补助地方公共文化服务体系建设专项资金项目绩效自评：根据年初设定的绩效目标，中央补助地方公共文化服务体系建设专项资金项目自评结果为一般。项目全年预算数为58.37万元、执行数12.91万元，完成预算的22.11%，主要产出和效果保障了电视节目的传输及覆盖范围。本单位对与省市栏目配套设备资金项目绩效自评：根据年初设定的绩效目标，与省市栏目配套设备资金项目自评结果为优秀。项目全年预算数为20万元，执行数2.77万，完成预算的13.85%。</w:t>
      </w:r>
    </w:p>
    <w:p>
      <w:pPr>
        <w:ind w:firstLine="720" w:firstLineChars="225"/>
        <w:rPr>
          <w:rFonts w:ascii="仿宋_GB2312" w:eastAsia="仿宋_GB2312" w:cs="DengXian-Regular"/>
          <w:sz w:val="32"/>
          <w:szCs w:val="32"/>
        </w:rPr>
      </w:pPr>
      <w:r>
        <w:rPr>
          <w:rFonts w:hint="eastAsia" w:ascii="仿宋_GB2312" w:eastAsia="仿宋_GB2312" w:cs="DengXian-Regular"/>
          <w:sz w:val="32"/>
          <w:szCs w:val="32"/>
        </w:rPr>
        <w:t>发现的问题及原因：一是少数项目进展慢，二是资金使用率较低，部分资金支出与目标不符；三是实施程序不很到位；四是监督检查不很到位。</w:t>
      </w:r>
    </w:p>
    <w:p>
      <w:pPr>
        <w:spacing w:line="580" w:lineRule="exact"/>
        <w:ind w:firstLine="720" w:firstLineChars="225"/>
        <w:rPr>
          <w:rFonts w:ascii="仿宋_GB2312" w:eastAsia="仿宋_GB2312" w:cs="DengXian-Regular"/>
          <w:sz w:val="32"/>
          <w:szCs w:val="32"/>
        </w:rPr>
      </w:pPr>
      <w:r>
        <w:rPr>
          <w:rFonts w:hint="eastAsia" w:ascii="仿宋_GB2312" w:eastAsia="仿宋_GB2312" w:cs="DengXian-Regular"/>
          <w:sz w:val="32"/>
          <w:szCs w:val="32"/>
        </w:rPr>
        <w:t>下一步改进措施：一是提高资金的使用效率；二是完善项目实施程序；三是加强日常监督；四是科学合理制定产出目标；五是重视并加强满意度调查工作，五加快项目执行进度。</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楷体_GB2312" w:eastAsia="楷体_GB2312" w:cs="DengXian-Bold"/>
          <w:sz w:val="32"/>
          <w:szCs w:val="32"/>
        </w:rPr>
        <w:t>我单位为事业单位无机关运行经费</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本部门2018年度政府采购支出总额267.81万元，从采购类型来看，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61.6</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206.21</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万元。其中授予小微企业合同金额</w:t>
      </w:r>
      <w:r>
        <w:rPr>
          <w:rFonts w:hint="eastAsia" w:ascii="仿宋_GB2312" w:hAnsi="仿宋_GB2312" w:eastAsia="仿宋_GB2312" w:cs="仿宋_GB2312"/>
          <w:color w:val="000000"/>
          <w:kern w:val="0"/>
          <w:sz w:val="32"/>
          <w:szCs w:val="32"/>
        </w:rPr>
        <w:t>267.81</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比上年增加0辆，与上年持平。其中，副部（省）级及以上领导用车0辆，主要领导干部用车0辆，机要通信用车0辆，应急保障用车0辆，执法执勤用车0辆，特种专业技术用车0辆，离退休干部用车0辆，其他用车0辆，其他用车主要是1辆，主要用于新闻采访；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万元以上通用设备1台（套），比上年增加0套，与上年持平，单位价值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万元以上专用设备0台（套）比上年增加0套,主要是本部门无单位价值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1、1、本部门 2018 年度国有资本经营财政拨款无收支及结转结余情况，</w:t>
      </w:r>
      <w:r>
        <w:rPr>
          <w:rFonts w:hint="eastAsia" w:ascii="仿宋_GB2312" w:hAnsi="仿宋_GB2312" w:eastAsia="仿宋_GB2312" w:cs="仿宋_GB2312"/>
          <w:color w:val="000000"/>
          <w:kern w:val="0"/>
          <w:sz w:val="32"/>
          <w:szCs w:val="32"/>
        </w:rPr>
        <w:t>政府性基金预算财政拨款收入支出决算表</w:t>
      </w:r>
      <w:r>
        <w:rPr>
          <w:rFonts w:hint="eastAsia" w:ascii="仿宋_GB2312" w:eastAsia="仿宋_GB2312" w:cs="DengXian-Regular"/>
          <w:sz w:val="32"/>
          <w:szCs w:val="32"/>
        </w:rPr>
        <w:t>无收支及结转结余情况，故国有资本经营预算财政拨款支出决算表和</w:t>
      </w:r>
      <w:r>
        <w:rPr>
          <w:rFonts w:hint="eastAsia" w:ascii="仿宋_GB2312" w:hAnsi="仿宋_GB2312" w:eastAsia="仿宋_GB2312" w:cs="仿宋_GB2312"/>
          <w:color w:val="000000"/>
          <w:kern w:val="0"/>
          <w:sz w:val="32"/>
          <w:szCs w:val="32"/>
        </w:rPr>
        <w:t>政府性基金预算财政拨款收入支出决算</w:t>
      </w:r>
      <w:r>
        <w:rPr>
          <w:rFonts w:hint="eastAsia" w:ascii="仿宋_GB2312" w:eastAsia="仿宋_GB2312" w:cs="DengXian-Regular"/>
          <w:sz w:val="32"/>
          <w:szCs w:val="32"/>
        </w:rPr>
        <w:t>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167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文本框 22" o:spid="_x0000_s1031" o:spt="202" type="#_x0000_t202" style="position:absolute;left:0pt;margin-left:-78.7pt;margin-top:232.8pt;height:159.1pt;width:596.2pt;z-index:25166643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EBBD336-4BBC-4030-970D-913FC31776A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A086D631-968D-4C78-8A2F-554F35BE45AD}"/>
  </w:font>
  <w:font w:name="楷体">
    <w:panose1 w:val="02010609060101010101"/>
    <w:charset w:val="86"/>
    <w:family w:val="modern"/>
    <w:pitch w:val="default"/>
    <w:sig w:usb0="800002BF" w:usb1="38CF7CFA" w:usb2="00000016" w:usb3="00000000" w:csb0="00040001" w:csb1="00000000"/>
    <w:embedRegular r:id="rId3" w:fontKey="{F82CA92F-0590-4821-9960-84982274C26B}"/>
  </w:font>
  <w:font w:name="楷体_GB2312">
    <w:panose1 w:val="02010609030101010101"/>
    <w:charset w:val="86"/>
    <w:family w:val="modern"/>
    <w:pitch w:val="default"/>
    <w:sig w:usb0="00000001" w:usb1="080E0000" w:usb2="00000000" w:usb3="00000000" w:csb0="00040000" w:csb1="00000000"/>
    <w:embedRegular r:id="rId4" w:fontKey="{091BB82E-4636-485B-8635-FA5E65EA5215}"/>
  </w:font>
  <w:font w:name="仿宋_GB2312">
    <w:panose1 w:val="02010609030101010101"/>
    <w:charset w:val="86"/>
    <w:family w:val="modern"/>
    <w:pitch w:val="default"/>
    <w:sig w:usb0="00000001" w:usb1="080E0000" w:usb2="00000000" w:usb3="00000000" w:csb0="00040000" w:csb1="00000000"/>
    <w:embedRegular r:id="rId5" w:fontKey="{0FDCA906-E496-473C-ACE0-201B61EB010F}"/>
  </w:font>
  <w:font w:name="ArialUnicodeMS">
    <w:altName w:val="Malgun Gothic"/>
    <w:panose1 w:val="00000000000000000000"/>
    <w:charset w:val="81"/>
    <w:family w:val="auto"/>
    <w:pitch w:val="default"/>
    <w:sig w:usb0="00000000" w:usb1="00000000" w:usb2="00000010" w:usb3="00000000" w:csb0="00080001" w:csb1="00000000"/>
    <w:embedRegular r:id="rId6" w:fontKey="{0F58ABED-C73F-4CC0-B189-7DA2F6DF3403}"/>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embedRegular r:id="rId7" w:fontKey="{2AD30253-D039-43E2-9266-43D4DED54558}"/>
  </w:font>
  <w:font w:name="MS-UIGothic,Bold">
    <w:altName w:val="Malgun Gothic"/>
    <w:panose1 w:val="00000000000000000000"/>
    <w:charset w:val="81"/>
    <w:family w:val="auto"/>
    <w:pitch w:val="default"/>
    <w:sig w:usb0="00000000" w:usb1="00000000" w:usb2="00000010" w:usb3="00000000" w:csb0="00080000" w:csb1="00000000"/>
    <w:embedRegular r:id="rId8" w:fontKey="{75419555-2E88-4B89-8FA3-21531ED7575C}"/>
  </w:font>
  <w:font w:name="Arial">
    <w:panose1 w:val="020B0604020202020204"/>
    <w:charset w:val="00"/>
    <w:family w:val="swiss"/>
    <w:pitch w:val="default"/>
    <w:sig w:usb0="E0002EFF" w:usb1="C000785B" w:usb2="00000009" w:usb3="00000000" w:csb0="400001FF" w:csb1="FFFF0000"/>
    <w:embedRegular r:id="rId9" w:fontKey="{AEC9A7AA-6ABD-4051-AFEF-335E047F2423}"/>
  </w:font>
  <w:font w:name="DengXian-Regular">
    <w:altName w:val="宋体"/>
    <w:panose1 w:val="00000000000000000000"/>
    <w:charset w:val="86"/>
    <w:family w:val="auto"/>
    <w:pitch w:val="default"/>
    <w:sig w:usb0="00000000" w:usb1="00000000" w:usb2="00000010" w:usb3="00000000" w:csb0="00040001" w:csb1="00000000"/>
    <w:embedRegular r:id="rId10" w:fontKey="{6212D7B9-0F4B-499A-8BAE-A26AE01B1151}"/>
  </w:font>
  <w:font w:name="DengXian-Bold">
    <w:altName w:val="宋体"/>
    <w:panose1 w:val="00000000000000000000"/>
    <w:charset w:val="86"/>
    <w:family w:val="auto"/>
    <w:pitch w:val="default"/>
    <w:sig w:usb0="00000000" w:usb1="00000000" w:usb2="00000010" w:usb3="00000000" w:csb0="00040001" w:csb1="00000000"/>
    <w:embedRegular r:id="rId11" w:fontKey="{86D52CCD-A9FC-4EAA-8C3D-40BCA6C11E79}"/>
  </w:font>
  <w:font w:name="TimesNewRomanPSMT">
    <w:altName w:val="Arial"/>
    <w:panose1 w:val="00000000000000000000"/>
    <w:charset w:val="00"/>
    <w:family w:val="swiss"/>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C1413"/>
    <w:rsid w:val="00024E7F"/>
    <w:rsid w:val="000475A0"/>
    <w:rsid w:val="000838C3"/>
    <w:rsid w:val="000B2446"/>
    <w:rsid w:val="000D7C65"/>
    <w:rsid w:val="000E2F81"/>
    <w:rsid w:val="000E7CB5"/>
    <w:rsid w:val="00117946"/>
    <w:rsid w:val="00117E2C"/>
    <w:rsid w:val="00146C47"/>
    <w:rsid w:val="00152FB8"/>
    <w:rsid w:val="0016012A"/>
    <w:rsid w:val="00176658"/>
    <w:rsid w:val="0018239E"/>
    <w:rsid w:val="001B3410"/>
    <w:rsid w:val="001B41DE"/>
    <w:rsid w:val="001C030D"/>
    <w:rsid w:val="001C4A84"/>
    <w:rsid w:val="001E5902"/>
    <w:rsid w:val="00221B5E"/>
    <w:rsid w:val="00223B28"/>
    <w:rsid w:val="00224E91"/>
    <w:rsid w:val="00233705"/>
    <w:rsid w:val="00236703"/>
    <w:rsid w:val="00252DE6"/>
    <w:rsid w:val="00275CA2"/>
    <w:rsid w:val="002A65A5"/>
    <w:rsid w:val="002C04C4"/>
    <w:rsid w:val="002C36EA"/>
    <w:rsid w:val="002D08B0"/>
    <w:rsid w:val="002D1AE3"/>
    <w:rsid w:val="002F2ECE"/>
    <w:rsid w:val="00341C8F"/>
    <w:rsid w:val="00345C33"/>
    <w:rsid w:val="003540DE"/>
    <w:rsid w:val="0035463A"/>
    <w:rsid w:val="00357AB5"/>
    <w:rsid w:val="00391D9D"/>
    <w:rsid w:val="00391E1D"/>
    <w:rsid w:val="003B0D3A"/>
    <w:rsid w:val="003B6C51"/>
    <w:rsid w:val="003C1413"/>
    <w:rsid w:val="003C549F"/>
    <w:rsid w:val="003D5A16"/>
    <w:rsid w:val="003E7DB3"/>
    <w:rsid w:val="003F7EC9"/>
    <w:rsid w:val="00431175"/>
    <w:rsid w:val="004B6E37"/>
    <w:rsid w:val="004C32BA"/>
    <w:rsid w:val="00501C44"/>
    <w:rsid w:val="00502871"/>
    <w:rsid w:val="005311AC"/>
    <w:rsid w:val="005324DC"/>
    <w:rsid w:val="00553C02"/>
    <w:rsid w:val="00575922"/>
    <w:rsid w:val="005A6C90"/>
    <w:rsid w:val="005C4673"/>
    <w:rsid w:val="005E3FB0"/>
    <w:rsid w:val="005F4B66"/>
    <w:rsid w:val="005F5208"/>
    <w:rsid w:val="00617F3A"/>
    <w:rsid w:val="00641318"/>
    <w:rsid w:val="0064405D"/>
    <w:rsid w:val="0065700B"/>
    <w:rsid w:val="00685302"/>
    <w:rsid w:val="00685994"/>
    <w:rsid w:val="00695557"/>
    <w:rsid w:val="006D09CE"/>
    <w:rsid w:val="006D4EA7"/>
    <w:rsid w:val="006E7958"/>
    <w:rsid w:val="0070012A"/>
    <w:rsid w:val="0070664B"/>
    <w:rsid w:val="007071B8"/>
    <w:rsid w:val="00720DCB"/>
    <w:rsid w:val="007414DE"/>
    <w:rsid w:val="0074209C"/>
    <w:rsid w:val="00752EAA"/>
    <w:rsid w:val="0077475E"/>
    <w:rsid w:val="007905A9"/>
    <w:rsid w:val="007E5500"/>
    <w:rsid w:val="007F055B"/>
    <w:rsid w:val="0080644C"/>
    <w:rsid w:val="00811C2F"/>
    <w:rsid w:val="00833D46"/>
    <w:rsid w:val="00840A97"/>
    <w:rsid w:val="008758D6"/>
    <w:rsid w:val="008A1941"/>
    <w:rsid w:val="008C0149"/>
    <w:rsid w:val="008C689C"/>
    <w:rsid w:val="008D5DED"/>
    <w:rsid w:val="008E25CA"/>
    <w:rsid w:val="008F34FC"/>
    <w:rsid w:val="00935058"/>
    <w:rsid w:val="00944CD7"/>
    <w:rsid w:val="009831B2"/>
    <w:rsid w:val="009A1ABE"/>
    <w:rsid w:val="009A42B7"/>
    <w:rsid w:val="009E21A4"/>
    <w:rsid w:val="009F22C6"/>
    <w:rsid w:val="00A0694B"/>
    <w:rsid w:val="00A07E50"/>
    <w:rsid w:val="00A15397"/>
    <w:rsid w:val="00A35CE0"/>
    <w:rsid w:val="00A4462E"/>
    <w:rsid w:val="00A44AA4"/>
    <w:rsid w:val="00A61623"/>
    <w:rsid w:val="00A84687"/>
    <w:rsid w:val="00AB0A0E"/>
    <w:rsid w:val="00AD3B6E"/>
    <w:rsid w:val="00B1751F"/>
    <w:rsid w:val="00B56722"/>
    <w:rsid w:val="00B74D39"/>
    <w:rsid w:val="00B91DA4"/>
    <w:rsid w:val="00BC17A3"/>
    <w:rsid w:val="00C12630"/>
    <w:rsid w:val="00C13339"/>
    <w:rsid w:val="00C34562"/>
    <w:rsid w:val="00C3774E"/>
    <w:rsid w:val="00C57456"/>
    <w:rsid w:val="00C65387"/>
    <w:rsid w:val="00C87FAB"/>
    <w:rsid w:val="00C91FF7"/>
    <w:rsid w:val="00C94E53"/>
    <w:rsid w:val="00CE633E"/>
    <w:rsid w:val="00D0048E"/>
    <w:rsid w:val="00D23E7A"/>
    <w:rsid w:val="00D61063"/>
    <w:rsid w:val="00DA4663"/>
    <w:rsid w:val="00DB35AF"/>
    <w:rsid w:val="00DD72D7"/>
    <w:rsid w:val="00DF5B88"/>
    <w:rsid w:val="00E0589E"/>
    <w:rsid w:val="00E241FA"/>
    <w:rsid w:val="00E2595E"/>
    <w:rsid w:val="00E35374"/>
    <w:rsid w:val="00E50C19"/>
    <w:rsid w:val="00E64655"/>
    <w:rsid w:val="00E73081"/>
    <w:rsid w:val="00E856C9"/>
    <w:rsid w:val="00E8744D"/>
    <w:rsid w:val="00EB6A8B"/>
    <w:rsid w:val="00EF38C6"/>
    <w:rsid w:val="00F17117"/>
    <w:rsid w:val="00F679C7"/>
    <w:rsid w:val="00F74F22"/>
    <w:rsid w:val="00F7711A"/>
    <w:rsid w:val="00FA01CE"/>
    <w:rsid w:val="00FA0D58"/>
    <w:rsid w:val="00FA56F4"/>
    <w:rsid w:val="00FB4EDA"/>
    <w:rsid w:val="00FD3BD5"/>
    <w:rsid w:val="00FE3DC8"/>
    <w:rsid w:val="02B6797E"/>
    <w:rsid w:val="04073F84"/>
    <w:rsid w:val="0B60750A"/>
    <w:rsid w:val="0D1879DC"/>
    <w:rsid w:val="10686488"/>
    <w:rsid w:val="10DF728A"/>
    <w:rsid w:val="1264200E"/>
    <w:rsid w:val="141C5B77"/>
    <w:rsid w:val="18D8339D"/>
    <w:rsid w:val="190020BE"/>
    <w:rsid w:val="1A1522E6"/>
    <w:rsid w:val="1A21388F"/>
    <w:rsid w:val="1A570D2F"/>
    <w:rsid w:val="1BD912E7"/>
    <w:rsid w:val="213E7F4D"/>
    <w:rsid w:val="25FD43EA"/>
    <w:rsid w:val="278E5F93"/>
    <w:rsid w:val="28FB0B8D"/>
    <w:rsid w:val="2A580F46"/>
    <w:rsid w:val="2A9870FC"/>
    <w:rsid w:val="2BCB509D"/>
    <w:rsid w:val="2D2B7942"/>
    <w:rsid w:val="2D46481D"/>
    <w:rsid w:val="2E733B28"/>
    <w:rsid w:val="2F0A789C"/>
    <w:rsid w:val="31852B5A"/>
    <w:rsid w:val="32D01238"/>
    <w:rsid w:val="3419696A"/>
    <w:rsid w:val="35F916DB"/>
    <w:rsid w:val="3A22786A"/>
    <w:rsid w:val="3CFB638F"/>
    <w:rsid w:val="3DC81298"/>
    <w:rsid w:val="3DFC59A8"/>
    <w:rsid w:val="3E3403F4"/>
    <w:rsid w:val="3ECF245E"/>
    <w:rsid w:val="3FB96314"/>
    <w:rsid w:val="429E397A"/>
    <w:rsid w:val="43041EDC"/>
    <w:rsid w:val="441D48ED"/>
    <w:rsid w:val="4AE56EFF"/>
    <w:rsid w:val="4D3612EE"/>
    <w:rsid w:val="4DC63EC0"/>
    <w:rsid w:val="53A44FAF"/>
    <w:rsid w:val="54E6104C"/>
    <w:rsid w:val="57D10D31"/>
    <w:rsid w:val="58171C01"/>
    <w:rsid w:val="594329EC"/>
    <w:rsid w:val="5BEE1540"/>
    <w:rsid w:val="5C0518F1"/>
    <w:rsid w:val="5D886394"/>
    <w:rsid w:val="5DE61A5D"/>
    <w:rsid w:val="5EA932E9"/>
    <w:rsid w:val="63C04243"/>
    <w:rsid w:val="649C01C7"/>
    <w:rsid w:val="65AB69DD"/>
    <w:rsid w:val="68DB4347"/>
    <w:rsid w:val="69472C27"/>
    <w:rsid w:val="699A3F60"/>
    <w:rsid w:val="69F477ED"/>
    <w:rsid w:val="71EF13CB"/>
    <w:rsid w:val="72902E62"/>
    <w:rsid w:val="73C61104"/>
    <w:rsid w:val="74247587"/>
    <w:rsid w:val="776452EA"/>
    <w:rsid w:val="77FA68AF"/>
    <w:rsid w:val="78B73210"/>
    <w:rsid w:val="790C3AAF"/>
    <w:rsid w:val="7DC663B9"/>
    <w:rsid w:val="7DF5409B"/>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3.xml"/><Relationship Id="rId15" Type="http://schemas.openxmlformats.org/officeDocument/2006/relationships/customXml" Target="../customXml/item2.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D:\&#20915;&#31639;&#20844;&#24320;\&#37096;&#38376;&#20915;&#31639;&#20844;&#24320;&#21046;&#22270;&#27169;&#26495;(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20915;&#31639;&#20844;&#24320;\&#37096;&#38376;&#20915;&#31639;&#20844;&#24320;&#21046;&#22270;&#27169;&#26495;(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20915;&#31639;&#20844;&#24320;\&#37096;&#38376;&#20915;&#31639;&#20844;&#24320;&#21046;&#22270;&#27169;&#26495;(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2"/>
          <c:y val="0.850746268656718"/>
        </c:manualLayout>
      </c:layout>
      <c:overlay val="0"/>
    </c:title>
    <c:autoTitleDeleted val="0"/>
    <c:plotArea>
      <c:layout>
        <c:manualLayout>
          <c:layoutTarget val="inner"/>
          <c:xMode val="edge"/>
          <c:yMode val="edge"/>
          <c:x val="0.0943148809218805"/>
          <c:y val="0.0575245818153329"/>
          <c:w val="0.811370238156239"/>
          <c:h val="0.765547851294709"/>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'[部门决算公开制图模板(1).xlsx]收入情况说明'!$C$9:$C$12</c:f>
              <c:strCache>
                <c:ptCount val="4"/>
                <c:pt idx="0">
                  <c:v>财政拨款收入</c:v>
                </c:pt>
                <c:pt idx="1">
                  <c:v>事业收入</c:v>
                </c:pt>
                <c:pt idx="2">
                  <c:v>经营收入</c:v>
                </c:pt>
                <c:pt idx="3">
                  <c:v>其他收入</c:v>
                </c:pt>
              </c:strCache>
            </c:strRef>
          </c:cat>
          <c:val>
            <c:numRef>
              <c:f>'[部门决算公开制图模板(1).xlsx]收入情况说明'!$D$9:$D$12</c:f>
              <c:numCache>
                <c:formatCode>General</c:formatCode>
                <c:ptCount val="4"/>
                <c:pt idx="0">
                  <c:v>668.21</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2"/>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'[部门决算公开制图模板(1).xlsx]支出情况说明'!$A$5:$A$7</c:f>
              <c:strCache>
                <c:ptCount val="3"/>
                <c:pt idx="0">
                  <c:v>基本支出</c:v>
                </c:pt>
                <c:pt idx="1">
                  <c:v>项目支出</c:v>
                </c:pt>
                <c:pt idx="2">
                  <c:v>经营支出</c:v>
                </c:pt>
              </c:strCache>
            </c:strRef>
          </c:cat>
          <c:val>
            <c:numRef>
              <c:f>'[部门决算公开制图模板(1).xlsx]支出情况说明'!$B$5:$B$7</c:f>
              <c:numCache>
                <c:formatCode>General</c:formatCode>
                <c:ptCount val="3"/>
                <c:pt idx="0">
                  <c:v>294.77</c:v>
                </c:pt>
                <c:pt idx="1">
                  <c:v>239.01</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
        </c:manualLayout>
      </c:layout>
      <c:overlay val="0"/>
    </c:title>
    <c:autoTitleDeleted val="0"/>
    <c:plotArea>
      <c:layout>
        <c:manualLayout>
          <c:layoutTarget val="inner"/>
          <c:xMode val="edge"/>
          <c:yMode val="edge"/>
          <c:x val="0.100155074365704"/>
          <c:y val="0.0702982734186981"/>
          <c:w val="0.869289370078741"/>
          <c:h val="0.601993408970845"/>
        </c:manualLayout>
      </c:layout>
      <c:barChart>
        <c:barDir val="col"/>
        <c:grouping val="clustered"/>
        <c:varyColors val="0"/>
        <c:ser>
          <c:idx val="0"/>
          <c:order val="0"/>
          <c:tx>
            <c:strRef>
              <c:f>'[部门决算公开制图模板(1).xlsx]收支与决算对比'!$A$5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'[部门决算公开制图模板(1).xlsx]收支与决算对比'!$B$4:$C$4</c:f>
              <c:strCache>
                <c:ptCount val="2"/>
                <c:pt idx="0">
                  <c:v>财政拨款收入</c:v>
                </c:pt>
                <c:pt idx="1">
                  <c:v>财政拨款支出</c:v>
                </c:pt>
              </c:strCache>
            </c:strRef>
          </c:cat>
          <c:val>
            <c:numRef>
              <c:f>'[部门决算公开制图模板(1).xlsx]收支与决算对比'!$B$5:$C$5</c:f>
              <c:numCache>
                <c:formatCode>General</c:formatCode>
                <c:ptCount val="2"/>
                <c:pt idx="0">
                  <c:v>668.21</c:v>
                </c:pt>
                <c:pt idx="1">
                  <c:v>533.780000000001</c:v>
                </c:pt>
              </c:numCache>
            </c:numRef>
          </c:val>
        </c:ser>
        <c:ser>
          <c:idx val="1"/>
          <c:order val="1"/>
          <c:tx>
            <c:strRef>
              <c:f>'[部门决算公开制图模板(1).xlsx]收支与决算对比'!$A$6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'[部门决算公开制图模板(1).xlsx]收支与决算对比'!$B$4:$C$4</c:f>
              <c:strCache>
                <c:ptCount val="2"/>
                <c:pt idx="0">
                  <c:v>财政拨款收入</c:v>
                </c:pt>
                <c:pt idx="1">
                  <c:v>财政拨款支出</c:v>
                </c:pt>
              </c:strCache>
            </c:strRef>
          </c:cat>
          <c:val>
            <c:numRef>
              <c:f>'[部门决算公开制图模板(1).xlsx]收支与决算对比'!$B$6:$C$6</c:f>
              <c:numCache>
                <c:formatCode>General</c:formatCode>
                <c:ptCount val="2"/>
                <c:pt idx="0">
                  <c:v>829.329999999999</c:v>
                </c:pt>
                <c:pt idx="1">
                  <c:v>715.12</c:v>
                </c:pt>
              </c:numCache>
            </c:numRef>
          </c:val>
        </c:ser>
        <c:dLbls>
          <c:showLegendKey val="0"/>
          <c:showVal val="1"/>
          <c:showCatName val="0"/>
          <c:showSerName val="0"/>
          <c:showPercent val="0"/>
          <c:showBubbleSize val="0"/>
        </c:dLbls>
        <c:gapWidth val="75"/>
        <c:axId val="237209856"/>
        <c:axId val="237740032"/>
      </c:barChart>
      <c:catAx>
        <c:axId val="237209856"/>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7740032"/>
        <c:crosses val="autoZero"/>
        <c:auto val="1"/>
        <c:lblAlgn val="ctr"/>
        <c:lblOffset val="100"/>
        <c:noMultiLvlLbl val="0"/>
      </c:catAx>
      <c:valAx>
        <c:axId val="23774003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7209856"/>
        <c:crosses val="autoZero"/>
        <c:crossBetween val="between"/>
      </c:valAx>
    </c:plotArea>
    <c:legend>
      <c:legendPos val="b"/>
      <c:layout>
        <c:manualLayout>
          <c:xMode val="edge"/>
          <c:yMode val="edge"/>
          <c:x val="0.426340551181102"/>
          <c:y val="0.756835299740888"/>
          <c:w val="0.208429790026247"/>
          <c:h val="0.077030514955598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3"/>
        </c:manualLayout>
      </c:layout>
      <c:overlay val="0"/>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784.29</c:v>
                </c:pt>
                <c:pt idx="1">
                  <c:v>784.29</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668.21</c:v>
                </c:pt>
                <c:pt idx="1">
                  <c:v>533.78</c:v>
                </c:pt>
              </c:numCache>
            </c:numRef>
          </c:val>
        </c:ser>
        <c:dLbls>
          <c:showLegendKey val="0"/>
          <c:showVal val="1"/>
          <c:showCatName val="0"/>
          <c:showSerName val="0"/>
          <c:showPercent val="0"/>
          <c:showBubbleSize val="0"/>
        </c:dLbls>
        <c:gapWidth val="75"/>
        <c:axId val="240772224"/>
        <c:axId val="240773760"/>
      </c:barChart>
      <c:catAx>
        <c:axId val="240772224"/>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0773760"/>
        <c:crosses val="autoZero"/>
        <c:auto val="1"/>
        <c:lblAlgn val="ctr"/>
        <c:lblOffset val="100"/>
        <c:noMultiLvlLbl val="0"/>
      </c:catAx>
      <c:valAx>
        <c:axId val="24077376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0772224"/>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5"/>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spPr>
              <a:solidFill>
                <a:srgbClr val="002060"/>
              </a:solidFill>
            </c:spPr>
          </c:dPt>
          <c:dPt>
            <c:idx val="17"/>
            <c:bubble3D val="0"/>
          </c:dPt>
          <c:dPt>
            <c:idx val="18"/>
            <c:bubble3D val="0"/>
          </c:dPt>
          <c:dLbls>
            <c:dLbl>
              <c:idx val="0"/>
              <c:delete val="1"/>
            </c:dLbl>
            <c:dLbl>
              <c:idx val="1"/>
              <c:delete val="1"/>
            </c:dLbl>
            <c:dLbl>
              <c:idx val="2"/>
              <c:delete val="1"/>
            </c:dLbl>
            <c:dLbl>
              <c:idx val="3"/>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4">
                  <c:v>533.78</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C832D3-0857-490F-B831-65BD37FF0A92}">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31</Pages>
  <Words>1721</Words>
  <Characters>9815</Characters>
  <Lines>81</Lines>
  <Paragraphs>23</Paragraphs>
  <TotalTime>9</TotalTime>
  <ScaleCrop>false</ScaleCrop>
  <LinksUpToDate>false</LinksUpToDate>
  <CharactersWithSpaces>11513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2021-05-21T00:53:00Z</dcterms:created>
  <dc:creator>User</dc:creator>
  <cp:lastModifiedBy>古德纽斯</cp:lastModifiedBy>
  <cp:lastPrinted>2019-08-02T01:01:00Z</cp:lastPrinted>
  <dcterms:modified xsi:type="dcterms:W3CDTF">2023-08-28T07:32:31Z</dcterms:modified>
  <dc:subject>石家庄市xxx部门</dc:subject>
  <dc:title>2017年度部门决算</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0814C552FC334BCE9102AFCC2763006A</vt:lpwstr>
  </property>
</Properties>
</file>