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68C4" w:rsidRDefault="00113FA3">
      <w:pPr>
        <w:widowControl/>
        <w:jc w:val="center"/>
        <w:rPr>
          <w:rFonts w:asciiTheme="minorEastAsia" w:eastAsiaTheme="minorEastAsia" w:hAnsiTheme="minorEastAsia"/>
          <w:b/>
          <w:sz w:val="72"/>
          <w:szCs w:val="72"/>
        </w:rPr>
      </w:pPr>
      <w:r>
        <w:rPr>
          <w:rFonts w:asciiTheme="minorEastAsia" w:eastAsiaTheme="minorEastAsia" w:hAnsi="宋体" w:hint="eastAsia"/>
          <w:noProof/>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10"/>
                    <a:stretch>
                      <a:fillRect/>
                    </a:stretch>
                  </pic:blipFill>
                  <pic:spPr>
                    <a:xfrm>
                      <a:off x="0" y="0"/>
                      <a:ext cx="7576820" cy="10796905"/>
                    </a:xfrm>
                    <a:prstGeom prst="rect">
                      <a:avLst/>
                    </a:prstGeom>
                  </pic:spPr>
                </pic:pic>
              </a:graphicData>
            </a:graphic>
          </wp:anchor>
        </w:drawing>
      </w:r>
    </w:p>
    <w:p w:rsidR="001368C4" w:rsidRDefault="001368C4">
      <w:pPr>
        <w:widowControl/>
        <w:jc w:val="center"/>
        <w:rPr>
          <w:rFonts w:asciiTheme="minorEastAsia" w:eastAsiaTheme="minorEastAsia" w:hAnsi="宋体"/>
          <w:color w:val="002060"/>
          <w:sz w:val="72"/>
          <w:szCs w:val="72"/>
        </w:rPr>
      </w:pPr>
      <w:r w:rsidRPr="001368C4">
        <w:rPr>
          <w:sz w:val="72"/>
        </w:rPr>
        <w:pict>
          <v:shapetype id="_x0000_t202" coordsize="21600,21600" o:spt="202" path="m,l,21600r21600,l21600,xe">
            <v:stroke joinstyle="miter"/>
            <v:path gradientshapeok="t" o:connecttype="rect"/>
          </v:shapetype>
          <v:shape id="_x0000_s1026" type="#_x0000_t202" style="position:absolute;left:0;text-align:left;margin-left:-83.1pt;margin-top:43.25pt;width:596.2pt;height:166.25pt;z-index:251660288"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y6SxeE4CAACBBAAADgAAAGRycy9lMm9Eb2MueG1s&#10;rVTNjtMwEL4j8Q6W7zRJf7a7VdNV2aoIacWuVBBn13GaSLbH2G6T8gDwBpy4cOe5+hyMnbZbLRz2&#10;wMUde77MzPfNTKe3rZJkJ6yrQec066WUCM2hqPUmp58+Lt9cU+I80wWToEVO98LR29nrV9PGTEQf&#10;KpCFsASDaDdpTE4r780kSRyvhGKuB0ZodJZgFfN4tZuksKzB6Eom/TS9ShqwhbHAhXP4uuic9BjR&#10;viQglGXNxQL4Vgntu6hWSOaRkqtq4+gsVluWgvuHsnTCE5lTZOrjiUnQXoczmU3ZZGOZqWp+LIG9&#10;pIRnnBSrNSY9h1owz8jW1n+FUjW34KD0PQ4q6YhERZBFlj7TZlUxIyIXlNqZs+ju/4XlH3aPltRF&#10;TrHtmils+OHH98PP34df38h1kKcxboKolUGcb99Ci0Nzenf4GFi3pVXhF/mQ4B8ORlmKEu9z2h9l&#10;N+lw1AktWk84AsajcTYeIoAHRJZlg3FEJE+hjHX+nQBFgpFTi52MArPdvfNYFkJPkJBZw7KWMnZT&#10;atLk9GowSuMHZw9+IXXAijgXxzCBXkcjWL5dt0fOayj2SNlCNzPO8GWNpdwz5x+ZxSHB8nGN/AMe&#10;pQRMCUeLkgrs13+9Bzz2Dr2UNDh0OXVftswKSuR7jV29yYZBFR8vw9G4jxd76VlfevRW3QHOdYYL&#10;a3g0A97Lk1laUJ9x2+YhK7qY5pg7p/5k3vluFXBbuZjPIwjn0jB/r1eGh9CduPOth7KOugeZOm2w&#10;CeGCkxnbcdyiMPqX94h6+ueY/Q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AcM8NU2wAAAAwBAAAP&#10;AAAAAAAAAAEAIAAAACIAAABkcnMvZG93bnJldi54bWxQSwECFAAUAAAACACHTuJAy6SxeE4CAACB&#10;BAAADgAAAAAAAAABACAAAAAqAQAAZHJzL2Uyb0RvYy54bWxQSwUGAAAAAAYABgBZAQAA6gUAAAAA&#10;" filled="f" stroked="f" strokeweight=".5pt">
            <v:textbox>
              <w:txbxContent>
                <w:p w:rsidR="001368C4" w:rsidRDefault="00113FA3">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无极县科学技术协会</w:t>
                  </w:r>
                </w:p>
                <w:p w:rsidR="001368C4" w:rsidRDefault="00113FA3">
                  <w:pPr>
                    <w:widowControl/>
                    <w:spacing w:line="1200" w:lineRule="exact"/>
                    <w:jc w:val="center"/>
                    <w:rPr>
                      <w:color w:val="FDEFBE"/>
                      <w:sz w:val="96"/>
                      <w:szCs w:val="96"/>
                    </w:rPr>
                  </w:pPr>
                  <w:r>
                    <w:rPr>
                      <w:rFonts w:asciiTheme="minorEastAsia" w:eastAsiaTheme="minorEastAsia" w:hAnsi="宋体" w:hint="eastAsia"/>
                      <w:color w:val="FDEFBE"/>
                      <w:sz w:val="96"/>
                      <w:szCs w:val="96"/>
                    </w:rPr>
                    <w:t>2018</w:t>
                  </w:r>
                  <w:r>
                    <w:rPr>
                      <w:rFonts w:asciiTheme="minorEastAsia" w:eastAsiaTheme="minorEastAsia" w:hAnsi="宋体" w:hint="eastAsia"/>
                      <w:color w:val="FDEFBE"/>
                      <w:sz w:val="96"/>
                      <w:szCs w:val="96"/>
                    </w:rPr>
                    <w:t>年度部门决算</w:t>
                  </w:r>
                </w:p>
                <w:p w:rsidR="001368C4" w:rsidRDefault="001368C4">
                  <w:pPr>
                    <w:rPr>
                      <w:color w:val="FDEFBE"/>
                      <w:sz w:val="96"/>
                      <w:szCs w:val="96"/>
                    </w:rPr>
                  </w:pPr>
                </w:p>
              </w:txbxContent>
            </v:textbox>
          </v:shape>
        </w:pict>
      </w:r>
    </w:p>
    <w:p w:rsidR="001368C4" w:rsidRDefault="001368C4">
      <w:pPr>
        <w:widowControl/>
        <w:jc w:val="center"/>
        <w:rPr>
          <w:rFonts w:asciiTheme="minorEastAsia" w:eastAsiaTheme="minorEastAsia" w:hAnsiTheme="minorEastAsia"/>
          <w:b/>
          <w:sz w:val="72"/>
          <w:szCs w:val="72"/>
        </w:rPr>
      </w:pPr>
    </w:p>
    <w:p w:rsidR="001368C4" w:rsidRDefault="001368C4">
      <w:pPr>
        <w:widowControl/>
        <w:jc w:val="center"/>
        <w:rPr>
          <w:rFonts w:asciiTheme="minorEastAsia" w:eastAsiaTheme="minorEastAsia" w:hAnsiTheme="minorEastAsia"/>
          <w:b/>
          <w:sz w:val="72"/>
          <w:szCs w:val="72"/>
        </w:rPr>
      </w:pPr>
    </w:p>
    <w:p w:rsidR="001368C4" w:rsidRDefault="001368C4">
      <w:pPr>
        <w:widowControl/>
        <w:jc w:val="center"/>
        <w:rPr>
          <w:rFonts w:asciiTheme="minorEastAsia" w:eastAsiaTheme="minorEastAsia" w:hAnsiTheme="minorEastAsia"/>
          <w:b/>
          <w:sz w:val="72"/>
          <w:szCs w:val="72"/>
        </w:rPr>
      </w:pPr>
    </w:p>
    <w:p w:rsidR="001368C4" w:rsidRDefault="001368C4">
      <w:pPr>
        <w:widowControl/>
        <w:jc w:val="center"/>
        <w:rPr>
          <w:rFonts w:asciiTheme="minorEastAsia" w:eastAsiaTheme="minorEastAsia" w:hAnsiTheme="minorEastAsia"/>
          <w:b/>
          <w:sz w:val="72"/>
          <w:szCs w:val="72"/>
        </w:rPr>
      </w:pPr>
    </w:p>
    <w:p w:rsidR="001368C4" w:rsidRDefault="001368C4">
      <w:pPr>
        <w:widowControl/>
        <w:jc w:val="center"/>
        <w:rPr>
          <w:rFonts w:asciiTheme="minorEastAsia" w:eastAsiaTheme="minorEastAsia" w:hAnsiTheme="minorEastAsia"/>
          <w:b/>
          <w:sz w:val="72"/>
          <w:szCs w:val="72"/>
        </w:rPr>
      </w:pPr>
    </w:p>
    <w:p w:rsidR="001368C4" w:rsidRDefault="001368C4">
      <w:pPr>
        <w:widowControl/>
        <w:jc w:val="center"/>
        <w:rPr>
          <w:rFonts w:asciiTheme="minorEastAsia" w:eastAsiaTheme="minorEastAsia" w:hAnsiTheme="minorEastAsia"/>
          <w:b/>
          <w:sz w:val="72"/>
          <w:szCs w:val="72"/>
        </w:rPr>
      </w:pPr>
    </w:p>
    <w:p w:rsidR="001368C4" w:rsidRDefault="001368C4">
      <w:pPr>
        <w:widowControl/>
        <w:jc w:val="center"/>
        <w:rPr>
          <w:rFonts w:asciiTheme="minorEastAsia" w:eastAsiaTheme="minorEastAsia" w:hAnsiTheme="minorEastAsia"/>
          <w:b/>
          <w:sz w:val="72"/>
          <w:szCs w:val="72"/>
        </w:rPr>
      </w:pPr>
    </w:p>
    <w:p w:rsidR="001368C4" w:rsidRDefault="001368C4">
      <w:pPr>
        <w:widowControl/>
        <w:jc w:val="center"/>
        <w:rPr>
          <w:rFonts w:asciiTheme="minorEastAsia" w:eastAsiaTheme="minorEastAsia" w:hAnsiTheme="minorEastAsia"/>
          <w:b/>
          <w:sz w:val="72"/>
          <w:szCs w:val="72"/>
        </w:rPr>
      </w:pPr>
    </w:p>
    <w:p w:rsidR="001368C4" w:rsidRDefault="001368C4">
      <w:pPr>
        <w:widowControl/>
        <w:jc w:val="center"/>
        <w:rPr>
          <w:rFonts w:ascii="楷体" w:eastAsia="楷体" w:hAnsi="楷体" w:cs="楷体"/>
          <w:b/>
          <w:sz w:val="40"/>
          <w:szCs w:val="40"/>
        </w:rPr>
      </w:pPr>
    </w:p>
    <w:p w:rsidR="001368C4" w:rsidRDefault="00113FA3">
      <w:pPr>
        <w:widowControl/>
        <w:jc w:val="center"/>
        <w:rPr>
          <w:rFonts w:ascii="楷体_GB2312" w:eastAsia="楷体_GB2312" w:hAnsi="楷体" w:cs="楷体"/>
          <w:b/>
          <w:sz w:val="40"/>
          <w:szCs w:val="40"/>
        </w:rPr>
        <w:sectPr w:rsidR="001368C4">
          <w:pgSz w:w="11906" w:h="16838"/>
          <w:pgMar w:top="2098" w:right="1474" w:bottom="1985" w:left="1588" w:header="851" w:footer="992" w:gutter="0"/>
          <w:cols w:space="425"/>
          <w:docGrid w:type="lines" w:linePitch="312"/>
        </w:sectPr>
      </w:pPr>
      <w:r>
        <w:rPr>
          <w:rFonts w:ascii="楷体_GB2312" w:eastAsia="楷体_GB2312" w:hAnsi="楷体" w:cs="楷体" w:hint="eastAsia"/>
          <w:b/>
          <w:sz w:val="40"/>
          <w:szCs w:val="40"/>
        </w:rPr>
        <w:t>二</w:t>
      </w:r>
      <w:r>
        <w:rPr>
          <w:rFonts w:ascii="宋体" w:hAnsi="宋体" w:cs="宋体" w:hint="eastAsia"/>
          <w:b/>
          <w:sz w:val="40"/>
          <w:szCs w:val="40"/>
        </w:rPr>
        <w:t>〇</w:t>
      </w:r>
      <w:r>
        <w:rPr>
          <w:rFonts w:ascii="楷体_GB2312" w:eastAsia="楷体_GB2312" w:hAnsi="楷体_GB2312" w:cs="楷体_GB2312" w:hint="eastAsia"/>
          <w:b/>
          <w:sz w:val="40"/>
          <w:szCs w:val="40"/>
        </w:rPr>
        <w:t>一九年九</w:t>
      </w:r>
      <w:r>
        <w:rPr>
          <w:rFonts w:ascii="楷体_GB2312" w:eastAsia="楷体_GB2312" w:hAnsi="楷体" w:cs="楷体" w:hint="eastAsia"/>
          <w:b/>
          <w:sz w:val="40"/>
          <w:szCs w:val="40"/>
        </w:rPr>
        <w:t>月十日</w:t>
      </w:r>
    </w:p>
    <w:p w:rsidR="001368C4" w:rsidRDefault="00113FA3" w:rsidP="008C29C5">
      <w:pPr>
        <w:spacing w:beforeLines="200" w:after="0" w:line="1000" w:lineRule="exact"/>
        <w:jc w:val="center"/>
        <w:rPr>
          <w:rFonts w:ascii="黑体" w:eastAsia="黑体"/>
          <w:sz w:val="48"/>
          <w:szCs w:val="48"/>
        </w:rPr>
      </w:pPr>
      <w:r>
        <w:rPr>
          <w:rFonts w:ascii="黑体" w:eastAsia="黑体" w:hint="eastAsia"/>
          <w:sz w:val="48"/>
          <w:szCs w:val="48"/>
        </w:rPr>
        <w:lastRenderedPageBreak/>
        <w:t>目</w:t>
      </w:r>
      <w:r>
        <w:rPr>
          <w:rFonts w:ascii="黑体" w:eastAsia="黑体" w:hint="eastAsia"/>
          <w:sz w:val="48"/>
          <w:szCs w:val="48"/>
        </w:rPr>
        <w:t xml:space="preserve">    </w:t>
      </w:r>
      <w:r>
        <w:rPr>
          <w:rFonts w:ascii="黑体" w:eastAsia="黑体" w:hint="eastAsia"/>
          <w:sz w:val="48"/>
          <w:szCs w:val="48"/>
        </w:rPr>
        <w:t>录</w:t>
      </w:r>
    </w:p>
    <w:p w:rsidR="001368C4" w:rsidRDefault="001368C4">
      <w:pPr>
        <w:widowControl/>
        <w:spacing w:line="580" w:lineRule="exact"/>
        <w:ind w:firstLineChars="200" w:firstLine="640"/>
        <w:rPr>
          <w:rFonts w:eastAsia="黑体"/>
          <w:sz w:val="32"/>
          <w:szCs w:val="32"/>
        </w:rPr>
      </w:pPr>
    </w:p>
    <w:p w:rsidR="001368C4" w:rsidRDefault="00113FA3">
      <w:pPr>
        <w:widowControl/>
        <w:spacing w:line="580" w:lineRule="exact"/>
        <w:ind w:firstLineChars="200" w:firstLine="640"/>
        <w:rPr>
          <w:rFonts w:eastAsia="仿宋_GB2312"/>
          <w:sz w:val="24"/>
          <w:szCs w:val="32"/>
        </w:rPr>
      </w:pPr>
      <w:r>
        <w:rPr>
          <w:rFonts w:eastAsia="黑体"/>
          <w:sz w:val="32"/>
          <w:szCs w:val="32"/>
        </w:rPr>
        <w:t>第一部分</w:t>
      </w:r>
      <w:r>
        <w:rPr>
          <w:rFonts w:eastAsia="黑体"/>
          <w:sz w:val="32"/>
          <w:szCs w:val="32"/>
        </w:rPr>
        <w:t xml:space="preserve">   </w:t>
      </w:r>
      <w:r>
        <w:rPr>
          <w:rFonts w:eastAsia="黑体"/>
          <w:sz w:val="32"/>
          <w:szCs w:val="32"/>
        </w:rPr>
        <w:t>部门概况</w:t>
      </w:r>
    </w:p>
    <w:p w:rsidR="001368C4" w:rsidRDefault="00113FA3">
      <w:pPr>
        <w:widowControl/>
        <w:spacing w:line="580" w:lineRule="exact"/>
        <w:ind w:firstLineChars="400" w:firstLine="1280"/>
        <w:rPr>
          <w:rFonts w:eastAsia="仿宋_GB2312"/>
          <w:sz w:val="32"/>
          <w:szCs w:val="32"/>
        </w:rPr>
      </w:pPr>
      <w:r>
        <w:rPr>
          <w:rFonts w:eastAsia="仿宋_GB2312"/>
          <w:sz w:val="32"/>
          <w:szCs w:val="32"/>
        </w:rPr>
        <w:t>一、部门</w:t>
      </w:r>
      <w:r>
        <w:rPr>
          <w:rFonts w:eastAsia="仿宋_GB2312" w:hint="eastAsia"/>
          <w:sz w:val="32"/>
          <w:szCs w:val="32"/>
        </w:rPr>
        <w:t>职责</w:t>
      </w:r>
    </w:p>
    <w:p w:rsidR="001368C4" w:rsidRDefault="00113FA3">
      <w:pPr>
        <w:widowControl/>
        <w:spacing w:line="580" w:lineRule="exact"/>
        <w:ind w:firstLineChars="400" w:firstLine="1280"/>
        <w:rPr>
          <w:rFonts w:eastAsia="仿宋_GB2312"/>
          <w:sz w:val="32"/>
          <w:szCs w:val="32"/>
        </w:rPr>
      </w:pPr>
      <w:r>
        <w:rPr>
          <w:rFonts w:eastAsia="仿宋_GB2312" w:hint="eastAsia"/>
          <w:sz w:val="32"/>
          <w:szCs w:val="32"/>
        </w:rPr>
        <w:t>二、机构设置</w:t>
      </w:r>
    </w:p>
    <w:p w:rsidR="001368C4" w:rsidRDefault="00113FA3">
      <w:pPr>
        <w:widowControl/>
        <w:spacing w:line="580" w:lineRule="exact"/>
        <w:ind w:firstLineChars="200" w:firstLine="640"/>
        <w:rPr>
          <w:rFonts w:eastAsia="仿宋_GB2312"/>
          <w:sz w:val="20"/>
          <w:szCs w:val="32"/>
        </w:rPr>
      </w:pPr>
      <w:r>
        <w:rPr>
          <w:rFonts w:eastAsia="黑体"/>
          <w:sz w:val="32"/>
          <w:szCs w:val="32"/>
        </w:rPr>
        <w:t>第二部分</w:t>
      </w:r>
      <w:r>
        <w:rPr>
          <w:rFonts w:eastAsia="黑体"/>
          <w:sz w:val="32"/>
          <w:szCs w:val="32"/>
        </w:rPr>
        <w:t xml:space="preserve">   201</w:t>
      </w:r>
      <w:r>
        <w:rPr>
          <w:rFonts w:eastAsia="黑体" w:hint="eastAsia"/>
          <w:sz w:val="32"/>
          <w:szCs w:val="32"/>
        </w:rPr>
        <w:t>8</w:t>
      </w:r>
      <w:r>
        <w:rPr>
          <w:rFonts w:eastAsia="黑体"/>
          <w:sz w:val="32"/>
          <w:szCs w:val="32"/>
        </w:rPr>
        <w:t>年度部门决算报表</w:t>
      </w:r>
    </w:p>
    <w:p w:rsidR="001368C4" w:rsidRDefault="00113FA3">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1368C4" w:rsidRDefault="00113FA3">
      <w:pPr>
        <w:widowControl/>
        <w:spacing w:line="580" w:lineRule="exact"/>
        <w:ind w:left="640" w:firstLineChars="200" w:firstLine="640"/>
        <w:rPr>
          <w:rFonts w:eastAsia="仿宋_GB2312"/>
          <w:sz w:val="32"/>
          <w:szCs w:val="32"/>
        </w:rPr>
      </w:pPr>
      <w:r>
        <w:rPr>
          <w:rFonts w:eastAsia="仿宋_GB2312"/>
          <w:sz w:val="32"/>
          <w:szCs w:val="32"/>
        </w:rPr>
        <w:t>二、收入决算表</w:t>
      </w:r>
    </w:p>
    <w:p w:rsidR="001368C4" w:rsidRDefault="00113FA3">
      <w:pPr>
        <w:widowControl/>
        <w:spacing w:line="580" w:lineRule="exact"/>
        <w:ind w:left="640" w:firstLineChars="200" w:firstLine="640"/>
        <w:rPr>
          <w:rFonts w:eastAsia="仿宋_GB2312"/>
          <w:sz w:val="32"/>
          <w:szCs w:val="32"/>
        </w:rPr>
      </w:pPr>
      <w:r>
        <w:rPr>
          <w:rFonts w:eastAsia="仿宋_GB2312"/>
          <w:sz w:val="32"/>
          <w:szCs w:val="32"/>
        </w:rPr>
        <w:t>三、支出决算表</w:t>
      </w:r>
    </w:p>
    <w:p w:rsidR="001368C4" w:rsidRDefault="00113FA3">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1368C4" w:rsidRDefault="00113FA3">
      <w:pPr>
        <w:widowControl/>
        <w:spacing w:line="580" w:lineRule="exact"/>
        <w:ind w:left="640" w:firstLineChars="200" w:firstLine="640"/>
        <w:rPr>
          <w:rFonts w:eastAsia="仿宋_GB2312"/>
          <w:sz w:val="32"/>
          <w:szCs w:val="32"/>
        </w:rPr>
      </w:pPr>
      <w:r>
        <w:rPr>
          <w:rFonts w:eastAsia="仿宋_GB2312"/>
          <w:sz w:val="32"/>
          <w:szCs w:val="32"/>
        </w:rPr>
        <w:t>五、一般公共预算财政拨款支出决算表</w:t>
      </w:r>
    </w:p>
    <w:p w:rsidR="001368C4" w:rsidRDefault="00113FA3">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六、一般公共预算财政拨款基本支出决算表</w:t>
      </w:r>
    </w:p>
    <w:p w:rsidR="001368C4" w:rsidRDefault="00113FA3">
      <w:pPr>
        <w:widowControl/>
        <w:spacing w:line="580" w:lineRule="exact"/>
        <w:ind w:left="640" w:firstLineChars="200" w:firstLine="640"/>
        <w:rPr>
          <w:rFonts w:eastAsia="仿宋_GB2312"/>
          <w:sz w:val="32"/>
          <w:szCs w:val="32"/>
        </w:rPr>
      </w:pPr>
      <w:r>
        <w:rPr>
          <w:rFonts w:eastAsia="仿宋_GB2312"/>
          <w:sz w:val="32"/>
          <w:szCs w:val="32"/>
        </w:rPr>
        <w:t>七、</w:t>
      </w:r>
      <w:r>
        <w:rPr>
          <w:rFonts w:eastAsia="仿宋_GB2312" w:hint="eastAsia"/>
          <w:sz w:val="32"/>
          <w:szCs w:val="32"/>
        </w:rPr>
        <w:t>一般公共预算财政拨款</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w:t>
      </w:r>
      <w:r>
        <w:rPr>
          <w:rFonts w:eastAsia="仿宋_GB2312" w:hint="eastAsia"/>
          <w:sz w:val="32"/>
          <w:szCs w:val="32"/>
        </w:rPr>
        <w:t>支出决算表</w:t>
      </w:r>
    </w:p>
    <w:p w:rsidR="001368C4" w:rsidRDefault="00113FA3">
      <w:pPr>
        <w:widowControl/>
        <w:spacing w:line="580" w:lineRule="exact"/>
        <w:ind w:left="640" w:firstLineChars="200" w:firstLine="640"/>
        <w:rPr>
          <w:rFonts w:eastAsia="仿宋_GB2312"/>
          <w:sz w:val="32"/>
          <w:szCs w:val="32"/>
        </w:rPr>
      </w:pPr>
      <w:r>
        <w:rPr>
          <w:rFonts w:eastAsia="仿宋_GB2312" w:hint="eastAsia"/>
          <w:sz w:val="32"/>
          <w:szCs w:val="32"/>
        </w:rPr>
        <w:t>八、</w:t>
      </w:r>
      <w:r>
        <w:rPr>
          <w:rFonts w:eastAsia="仿宋_GB2312"/>
          <w:sz w:val="32"/>
          <w:szCs w:val="32"/>
        </w:rPr>
        <w:t>政府性基金预算财政拨款收入支出决算表</w:t>
      </w:r>
    </w:p>
    <w:p w:rsidR="001368C4" w:rsidRDefault="00113FA3">
      <w:pPr>
        <w:widowControl/>
        <w:spacing w:line="580" w:lineRule="exact"/>
        <w:ind w:left="640" w:firstLineChars="200" w:firstLine="640"/>
        <w:rPr>
          <w:rFonts w:eastAsia="仿宋_GB2312"/>
          <w:sz w:val="32"/>
          <w:szCs w:val="32"/>
        </w:rPr>
      </w:pPr>
      <w:r>
        <w:rPr>
          <w:rFonts w:eastAsia="仿宋_GB2312" w:hint="eastAsia"/>
          <w:sz w:val="32"/>
          <w:szCs w:val="32"/>
        </w:rPr>
        <w:t>九</w:t>
      </w:r>
      <w:r>
        <w:rPr>
          <w:rFonts w:eastAsia="仿宋_GB2312"/>
          <w:sz w:val="32"/>
          <w:szCs w:val="32"/>
        </w:rPr>
        <w:t>、国有资本经营预算</w:t>
      </w:r>
      <w:r>
        <w:rPr>
          <w:rFonts w:eastAsia="仿宋_GB2312" w:hint="eastAsia"/>
          <w:sz w:val="32"/>
          <w:szCs w:val="32"/>
        </w:rPr>
        <w:t>财政拨款</w:t>
      </w:r>
      <w:r>
        <w:rPr>
          <w:rFonts w:eastAsia="仿宋_GB2312"/>
          <w:sz w:val="32"/>
          <w:szCs w:val="32"/>
        </w:rPr>
        <w:t>支出决算表</w:t>
      </w:r>
    </w:p>
    <w:p w:rsidR="001368C4" w:rsidRDefault="00113FA3">
      <w:pPr>
        <w:widowControl/>
        <w:spacing w:line="580" w:lineRule="exact"/>
        <w:ind w:left="640" w:firstLineChars="200" w:firstLine="640"/>
        <w:rPr>
          <w:rFonts w:eastAsia="仿宋_GB2312"/>
          <w:sz w:val="32"/>
          <w:szCs w:val="32"/>
        </w:rPr>
      </w:pPr>
      <w:r>
        <w:rPr>
          <w:rFonts w:eastAsia="仿宋_GB2312" w:hint="eastAsia"/>
          <w:sz w:val="32"/>
          <w:szCs w:val="32"/>
        </w:rPr>
        <w:t>十</w:t>
      </w:r>
      <w:r>
        <w:rPr>
          <w:rFonts w:eastAsia="仿宋_GB2312"/>
          <w:sz w:val="32"/>
          <w:szCs w:val="32"/>
        </w:rPr>
        <w:t>、政府采购情况表</w:t>
      </w:r>
    </w:p>
    <w:p w:rsidR="001368C4" w:rsidRDefault="001368C4">
      <w:pPr>
        <w:widowControl/>
        <w:spacing w:line="580" w:lineRule="exact"/>
        <w:ind w:firstLineChars="200" w:firstLine="640"/>
        <w:rPr>
          <w:rFonts w:eastAsia="黑体"/>
          <w:sz w:val="32"/>
          <w:szCs w:val="32"/>
        </w:rPr>
      </w:pPr>
    </w:p>
    <w:p w:rsidR="001368C4" w:rsidRDefault="00113FA3">
      <w:pPr>
        <w:widowControl/>
        <w:spacing w:line="580" w:lineRule="exact"/>
        <w:ind w:firstLineChars="200" w:firstLine="640"/>
        <w:rPr>
          <w:rFonts w:eastAsia="黑体"/>
          <w:sz w:val="32"/>
          <w:szCs w:val="32"/>
        </w:rPr>
      </w:pPr>
      <w:r>
        <w:rPr>
          <w:rFonts w:eastAsia="黑体"/>
          <w:sz w:val="32"/>
          <w:szCs w:val="32"/>
        </w:rPr>
        <w:t>第三部分</w:t>
      </w:r>
      <w:r>
        <w:rPr>
          <w:rFonts w:eastAsia="黑体"/>
          <w:sz w:val="32"/>
          <w:szCs w:val="32"/>
        </w:rPr>
        <w:t xml:space="preserve">  </w:t>
      </w:r>
      <w:r>
        <w:rPr>
          <w:rFonts w:eastAsia="黑体" w:hint="eastAsia"/>
          <w:sz w:val="32"/>
          <w:szCs w:val="32"/>
        </w:rPr>
        <w:t>无极县科学技术协会</w:t>
      </w:r>
      <w:r>
        <w:rPr>
          <w:rFonts w:eastAsia="黑体"/>
          <w:sz w:val="32"/>
          <w:szCs w:val="32"/>
        </w:rPr>
        <w:t>201</w:t>
      </w:r>
      <w:r>
        <w:rPr>
          <w:rFonts w:eastAsia="黑体" w:hint="eastAsia"/>
          <w:sz w:val="32"/>
          <w:szCs w:val="32"/>
        </w:rPr>
        <w:t>8</w:t>
      </w:r>
      <w:r>
        <w:rPr>
          <w:rFonts w:eastAsia="黑体"/>
          <w:sz w:val="32"/>
          <w:szCs w:val="32"/>
        </w:rPr>
        <w:t>年部门决算情况说明</w:t>
      </w:r>
    </w:p>
    <w:p w:rsidR="001368C4" w:rsidRDefault="00113FA3">
      <w:pPr>
        <w:widowControl/>
        <w:spacing w:line="580" w:lineRule="exact"/>
        <w:ind w:left="640" w:firstLineChars="200" w:firstLine="640"/>
        <w:rPr>
          <w:rFonts w:eastAsia="仿宋_GB2312"/>
          <w:sz w:val="32"/>
          <w:szCs w:val="32"/>
        </w:rPr>
      </w:pPr>
      <w:r>
        <w:rPr>
          <w:rFonts w:eastAsia="仿宋_GB2312"/>
          <w:sz w:val="32"/>
          <w:szCs w:val="32"/>
        </w:rPr>
        <w:t>一、收入支出决算总体情况说明</w:t>
      </w:r>
    </w:p>
    <w:p w:rsidR="001368C4" w:rsidRDefault="00113FA3">
      <w:pPr>
        <w:widowControl/>
        <w:spacing w:line="580" w:lineRule="exact"/>
        <w:ind w:left="640" w:firstLineChars="200" w:firstLine="640"/>
        <w:rPr>
          <w:rFonts w:eastAsia="仿宋_GB2312"/>
          <w:sz w:val="32"/>
          <w:szCs w:val="32"/>
        </w:rPr>
      </w:pPr>
      <w:r>
        <w:rPr>
          <w:rFonts w:eastAsia="仿宋_GB2312"/>
          <w:sz w:val="32"/>
          <w:szCs w:val="32"/>
        </w:rPr>
        <w:t>二、收入决算情况说明</w:t>
      </w:r>
    </w:p>
    <w:p w:rsidR="001368C4" w:rsidRDefault="00113FA3">
      <w:pPr>
        <w:widowControl/>
        <w:spacing w:line="580" w:lineRule="exact"/>
        <w:ind w:left="640" w:firstLineChars="200" w:firstLine="640"/>
        <w:rPr>
          <w:rFonts w:eastAsia="仿宋_GB2312"/>
          <w:sz w:val="32"/>
          <w:szCs w:val="32"/>
        </w:rPr>
      </w:pPr>
      <w:r>
        <w:rPr>
          <w:rFonts w:eastAsia="仿宋_GB2312"/>
          <w:sz w:val="32"/>
          <w:szCs w:val="32"/>
        </w:rPr>
        <w:t>三、支出决算情况说明</w:t>
      </w:r>
    </w:p>
    <w:p w:rsidR="001368C4" w:rsidRDefault="00113FA3">
      <w:pPr>
        <w:widowControl/>
        <w:spacing w:line="580" w:lineRule="exact"/>
        <w:ind w:left="640" w:firstLineChars="200" w:firstLine="640"/>
        <w:rPr>
          <w:rFonts w:eastAsia="仿宋_GB2312"/>
          <w:sz w:val="32"/>
          <w:szCs w:val="32"/>
        </w:rPr>
      </w:pPr>
      <w:r>
        <w:rPr>
          <w:rFonts w:eastAsia="仿宋_GB2312"/>
          <w:sz w:val="32"/>
          <w:szCs w:val="32"/>
        </w:rPr>
        <w:t>四、财政拨款收入支出决算情况说明</w:t>
      </w:r>
    </w:p>
    <w:p w:rsidR="001368C4" w:rsidRDefault="00113FA3">
      <w:pPr>
        <w:widowControl/>
        <w:spacing w:line="580" w:lineRule="exact"/>
        <w:ind w:left="640" w:firstLineChars="200" w:firstLine="640"/>
        <w:rPr>
          <w:rFonts w:eastAsia="仿宋_GB2312"/>
          <w:sz w:val="32"/>
          <w:szCs w:val="32"/>
        </w:rPr>
      </w:pPr>
      <w:r>
        <w:rPr>
          <w:rFonts w:eastAsia="仿宋_GB2312" w:hint="eastAsia"/>
          <w:sz w:val="32"/>
          <w:szCs w:val="32"/>
        </w:rPr>
        <w:t>五、一般公共预算财政拨款</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经费支出决算情况说明</w:t>
      </w:r>
    </w:p>
    <w:p w:rsidR="001368C4" w:rsidRDefault="00113FA3">
      <w:pPr>
        <w:widowControl/>
        <w:spacing w:line="580" w:lineRule="exact"/>
        <w:ind w:left="640" w:firstLineChars="200" w:firstLine="640"/>
        <w:rPr>
          <w:rFonts w:eastAsia="仿宋_GB2312"/>
          <w:sz w:val="32"/>
          <w:szCs w:val="32"/>
        </w:rPr>
      </w:pPr>
      <w:r>
        <w:rPr>
          <w:rFonts w:eastAsia="仿宋_GB2312" w:hint="eastAsia"/>
          <w:sz w:val="32"/>
          <w:szCs w:val="32"/>
        </w:rPr>
        <w:t>六</w:t>
      </w:r>
      <w:r>
        <w:rPr>
          <w:rFonts w:eastAsia="仿宋_GB2312"/>
          <w:sz w:val="32"/>
          <w:szCs w:val="32"/>
        </w:rPr>
        <w:t>、预算绩效情况说明</w:t>
      </w:r>
    </w:p>
    <w:p w:rsidR="001368C4" w:rsidRDefault="00113FA3">
      <w:pPr>
        <w:widowControl/>
        <w:spacing w:line="580" w:lineRule="exact"/>
        <w:ind w:left="640" w:firstLineChars="200" w:firstLine="640"/>
        <w:rPr>
          <w:rFonts w:eastAsia="仿宋_GB2312"/>
          <w:sz w:val="32"/>
          <w:szCs w:val="32"/>
        </w:rPr>
      </w:pPr>
      <w:r>
        <w:rPr>
          <w:rFonts w:eastAsia="仿宋_GB2312" w:hint="eastAsia"/>
          <w:sz w:val="32"/>
          <w:szCs w:val="32"/>
        </w:rPr>
        <w:t>七</w:t>
      </w:r>
      <w:r>
        <w:rPr>
          <w:rFonts w:eastAsia="仿宋_GB2312"/>
          <w:sz w:val="32"/>
          <w:szCs w:val="32"/>
        </w:rPr>
        <w:t>、其他重要事项的说明</w:t>
      </w:r>
    </w:p>
    <w:p w:rsidR="001368C4" w:rsidRDefault="00113FA3">
      <w:pPr>
        <w:widowControl/>
        <w:spacing w:line="580" w:lineRule="exact"/>
        <w:ind w:firstLineChars="200" w:firstLine="640"/>
        <w:rPr>
          <w:rFonts w:eastAsia="黑体"/>
          <w:sz w:val="32"/>
          <w:szCs w:val="32"/>
        </w:rPr>
      </w:pPr>
      <w:r>
        <w:rPr>
          <w:rFonts w:eastAsia="黑体"/>
          <w:sz w:val="32"/>
          <w:szCs w:val="32"/>
        </w:rPr>
        <w:t>第四部分</w:t>
      </w:r>
      <w:r>
        <w:rPr>
          <w:rFonts w:eastAsia="黑体"/>
          <w:sz w:val="32"/>
          <w:szCs w:val="32"/>
        </w:rPr>
        <w:t xml:space="preserve">  </w:t>
      </w:r>
      <w:r>
        <w:rPr>
          <w:rFonts w:eastAsia="黑体"/>
          <w:sz w:val="32"/>
          <w:szCs w:val="32"/>
        </w:rPr>
        <w:t>名词解释</w:t>
      </w:r>
    </w:p>
    <w:p w:rsidR="001368C4" w:rsidRDefault="001368C4">
      <w:pPr>
        <w:widowControl/>
        <w:spacing w:line="580" w:lineRule="exact"/>
        <w:ind w:firstLineChars="200" w:firstLine="640"/>
        <w:rPr>
          <w:rFonts w:eastAsia="黑体"/>
          <w:sz w:val="32"/>
          <w:szCs w:val="32"/>
        </w:rPr>
      </w:pPr>
    </w:p>
    <w:p w:rsidR="001368C4" w:rsidRDefault="001368C4">
      <w:pPr>
        <w:widowControl/>
        <w:spacing w:line="580" w:lineRule="exact"/>
        <w:ind w:firstLineChars="200" w:firstLine="640"/>
        <w:rPr>
          <w:rFonts w:eastAsia="黑体"/>
          <w:sz w:val="32"/>
          <w:szCs w:val="32"/>
        </w:rPr>
      </w:pPr>
    </w:p>
    <w:p w:rsidR="001368C4" w:rsidRDefault="001368C4">
      <w:pPr>
        <w:widowControl/>
        <w:spacing w:line="580" w:lineRule="exact"/>
        <w:ind w:firstLineChars="200" w:firstLine="640"/>
        <w:rPr>
          <w:rFonts w:eastAsia="黑体"/>
          <w:sz w:val="32"/>
          <w:szCs w:val="32"/>
        </w:rPr>
      </w:pPr>
    </w:p>
    <w:p w:rsidR="001368C4" w:rsidRDefault="001368C4">
      <w:pPr>
        <w:widowControl/>
        <w:spacing w:line="580" w:lineRule="exact"/>
        <w:ind w:firstLineChars="200" w:firstLine="640"/>
        <w:rPr>
          <w:rFonts w:eastAsia="黑体"/>
          <w:sz w:val="32"/>
          <w:szCs w:val="32"/>
        </w:rPr>
      </w:pPr>
    </w:p>
    <w:p w:rsidR="001368C4" w:rsidRDefault="00113FA3">
      <w:r>
        <w:br w:type="page"/>
      </w:r>
    </w:p>
    <w:p w:rsidR="001368C4" w:rsidRDefault="00113FA3">
      <w:r>
        <w:rPr>
          <w:rFonts w:ascii="宋体" w:hAnsi="宋体" w:cs="ArialUnicodeMS" w:hint="eastAsia"/>
          <w:noProof/>
          <w:color w:val="000000"/>
          <w:kern w:val="0"/>
        </w:rPr>
        <w:lastRenderedPageBreak/>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11"/>
                    <a:stretch>
                      <a:fillRect/>
                    </a:stretch>
                  </pic:blipFill>
                  <pic:spPr>
                    <a:xfrm>
                      <a:off x="0" y="0"/>
                      <a:ext cx="7585710" cy="10727055"/>
                    </a:xfrm>
                    <a:prstGeom prst="rect">
                      <a:avLst/>
                    </a:prstGeom>
                  </pic:spPr>
                </pic:pic>
              </a:graphicData>
            </a:graphic>
          </wp:anchor>
        </w:drawing>
      </w:r>
      <w:r w:rsidR="001368C4" w:rsidRPr="001368C4">
        <w:rPr>
          <w:sz w:val="72"/>
        </w:rPr>
        <w:pict>
          <v:shape id="_x0000_s1030" type="#_x0000_t202" style="position:absolute;left:0;text-align:left;margin-left:-97.3pt;margin-top:259.1pt;width:613.65pt;height:81.7pt;z-index:251669504;mso-position-horizontal-relative:text;mso-position-vertical-relative:text"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PV9lc0YCAAB5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Tb4qz8MmTII0lJ6k2K/6Dc4VVXeA6WmYleDkeYtSLkSIV8JjOIAM6xMvcdSakJI2&#10;EmcN+W//0id/9AxWzjoMW8nD17XwijP9waKbR+ODgzSd+XIwne3j4p9aVk8tdm1OCfM8xqI6mcXk&#10;H/VWrD2ZL9iyZcoKk7ASuUset+JpHFYAWyrVcpmdMI9OxAt77WQKPZC7XEeq28x7omngBk1IF0xk&#10;bsdme9LIP71nr8c/xuI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qIrDqd4AAAANAQAADwAAAAAA&#10;AAABACAAAAAiAAAAZHJzL2Rvd25yZXYueG1sUEsBAhQAFAAAAAgAh07iQD1fZXNGAgAAeQQAAA4A&#10;AAAAAAAAAQAgAAAALQEAAGRycy9lMm9Eb2MueG1sUEsFBgAAAAAGAAYAWQEAAOUFAAAAAA==&#10;" filled="f" stroked="f" strokeweight=".5pt">
            <v:textbox>
              <w:txbxContent>
                <w:p w:rsidR="001368C4" w:rsidRDefault="00113FA3">
                  <w:pPr>
                    <w:widowControl/>
                    <w:jc w:val="center"/>
                    <w:rPr>
                      <w:color w:val="FDEFBE"/>
                      <w:sz w:val="96"/>
                      <w:szCs w:val="96"/>
                    </w:rPr>
                  </w:pPr>
                  <w:r>
                    <w:rPr>
                      <w:rFonts w:asciiTheme="minorEastAsia" w:eastAsiaTheme="minorEastAsia" w:hAnsi="宋体" w:hint="eastAsia"/>
                      <w:color w:val="FDEFBE"/>
                      <w:sz w:val="96"/>
                      <w:szCs w:val="96"/>
                    </w:rPr>
                    <w:t>第一部分</w:t>
                  </w:r>
                  <w:r>
                    <w:rPr>
                      <w:rFonts w:asciiTheme="minorEastAsia" w:eastAsiaTheme="minorEastAsia" w:hAnsi="宋体" w:hint="eastAsia"/>
                      <w:color w:val="FDEFBE"/>
                      <w:sz w:val="96"/>
                      <w:szCs w:val="96"/>
                    </w:rPr>
                    <w:t xml:space="preserve">  </w:t>
                  </w:r>
                  <w:r>
                    <w:rPr>
                      <w:rFonts w:asciiTheme="minorEastAsia" w:eastAsiaTheme="minorEastAsia" w:hAnsi="宋体" w:hint="eastAsia"/>
                      <w:color w:val="FDEFBE"/>
                      <w:sz w:val="96"/>
                      <w:szCs w:val="96"/>
                    </w:rPr>
                    <w:t>部门概况</w:t>
                  </w:r>
                </w:p>
              </w:txbxContent>
            </v:textbox>
          </v:shape>
        </w:pict>
      </w:r>
    </w:p>
    <w:p w:rsidR="001368C4" w:rsidRDefault="001368C4"/>
    <w:p w:rsidR="001368C4" w:rsidRDefault="001368C4"/>
    <w:p w:rsidR="001368C4" w:rsidRDefault="001368C4"/>
    <w:p w:rsidR="001368C4" w:rsidRDefault="001368C4"/>
    <w:p w:rsidR="001368C4" w:rsidRDefault="001368C4"/>
    <w:p w:rsidR="001368C4" w:rsidRDefault="001368C4"/>
    <w:p w:rsidR="001368C4" w:rsidRDefault="001368C4"/>
    <w:p w:rsidR="001368C4" w:rsidRDefault="001368C4"/>
    <w:p w:rsidR="001368C4" w:rsidRDefault="001368C4"/>
    <w:p w:rsidR="001368C4" w:rsidRDefault="001368C4"/>
    <w:p w:rsidR="001368C4" w:rsidRDefault="001368C4"/>
    <w:p w:rsidR="001368C4" w:rsidRDefault="001368C4"/>
    <w:p w:rsidR="001368C4" w:rsidRDefault="001368C4"/>
    <w:p w:rsidR="001368C4" w:rsidRDefault="001368C4"/>
    <w:p w:rsidR="001368C4" w:rsidRDefault="001368C4"/>
    <w:p w:rsidR="001368C4" w:rsidRDefault="00113FA3">
      <w:pPr>
        <w:pStyle w:val="1"/>
        <w:spacing w:before="0" w:after="0" w:line="600" w:lineRule="exact"/>
        <w:jc w:val="left"/>
        <w:rPr>
          <w:rFonts w:ascii="黑体" w:eastAsia="黑体" w:hAnsiTheme="minorHAnsi" w:cs="黑体"/>
          <w:b w:val="0"/>
          <w:bCs w:val="0"/>
          <w:kern w:val="0"/>
          <w:sz w:val="32"/>
          <w:szCs w:val="32"/>
        </w:rPr>
      </w:pPr>
      <w:r>
        <w:rPr>
          <w:rFonts w:ascii="黑体" w:eastAsia="黑体" w:hAnsiTheme="minorHAnsi" w:cs="黑体" w:hint="eastAsia"/>
          <w:b w:val="0"/>
          <w:bCs w:val="0"/>
          <w:kern w:val="0"/>
          <w:sz w:val="32"/>
          <w:szCs w:val="32"/>
        </w:rPr>
        <w:lastRenderedPageBreak/>
        <w:t>一、部门职责</w:t>
      </w:r>
    </w:p>
    <w:p w:rsidR="001368C4" w:rsidRDefault="00113FA3">
      <w:pPr>
        <w:spacing w:line="360" w:lineRule="auto"/>
        <w:ind w:firstLineChars="200" w:firstLine="640"/>
        <w:rPr>
          <w:rFonts w:ascii="仿宋" w:eastAsia="仿宋" w:hAnsi="仿宋"/>
          <w:sz w:val="32"/>
          <w:szCs w:val="28"/>
        </w:rPr>
      </w:pPr>
      <w:r>
        <w:rPr>
          <w:rFonts w:ascii="仿宋" w:eastAsia="仿宋" w:hAnsi="仿宋" w:hint="eastAsia"/>
          <w:sz w:val="32"/>
          <w:szCs w:val="28"/>
        </w:rPr>
        <w:t>1</w:t>
      </w:r>
      <w:r>
        <w:rPr>
          <w:rFonts w:ascii="仿宋" w:eastAsia="仿宋" w:hAnsi="仿宋" w:hint="eastAsia"/>
          <w:sz w:val="32"/>
          <w:szCs w:val="28"/>
        </w:rPr>
        <w:t>、开展学术交流，活跃学术思想，促进学科发展和知识创新。</w:t>
      </w:r>
    </w:p>
    <w:p w:rsidR="001368C4" w:rsidRDefault="00113FA3">
      <w:pPr>
        <w:spacing w:line="360" w:lineRule="auto"/>
        <w:ind w:firstLineChars="200" w:firstLine="640"/>
        <w:rPr>
          <w:rFonts w:ascii="仿宋" w:eastAsia="仿宋" w:hAnsi="仿宋"/>
          <w:sz w:val="32"/>
          <w:szCs w:val="28"/>
        </w:rPr>
      </w:pPr>
      <w:r>
        <w:rPr>
          <w:rFonts w:ascii="仿宋" w:eastAsia="仿宋" w:hAnsi="仿宋" w:hint="eastAsia"/>
          <w:sz w:val="32"/>
          <w:szCs w:val="28"/>
        </w:rPr>
        <w:t>2</w:t>
      </w:r>
      <w:r>
        <w:rPr>
          <w:rFonts w:ascii="仿宋" w:eastAsia="仿宋" w:hAnsi="仿宋" w:hint="eastAsia"/>
          <w:sz w:val="32"/>
          <w:szCs w:val="28"/>
        </w:rPr>
        <w:t>、普及科学知识，传播科学思想和科学方法，推广先进技术，开展青少年科学技术教育普及活动。</w:t>
      </w:r>
    </w:p>
    <w:p w:rsidR="001368C4" w:rsidRDefault="00113FA3">
      <w:pPr>
        <w:spacing w:line="360" w:lineRule="auto"/>
        <w:ind w:firstLineChars="200" w:firstLine="640"/>
        <w:rPr>
          <w:rFonts w:ascii="仿宋" w:eastAsia="仿宋" w:hAnsi="仿宋"/>
          <w:sz w:val="32"/>
          <w:szCs w:val="28"/>
        </w:rPr>
      </w:pPr>
      <w:r>
        <w:rPr>
          <w:rFonts w:ascii="仿宋" w:eastAsia="仿宋" w:hAnsi="仿宋" w:hint="eastAsia"/>
          <w:sz w:val="32"/>
          <w:szCs w:val="28"/>
        </w:rPr>
        <w:t>3</w:t>
      </w:r>
      <w:r>
        <w:rPr>
          <w:rFonts w:ascii="仿宋" w:eastAsia="仿宋" w:hAnsi="仿宋" w:hint="eastAsia"/>
          <w:sz w:val="32"/>
          <w:szCs w:val="28"/>
        </w:rPr>
        <w:t>、维护科学技术工作者的合法权益。反映科学技术工作者的意见和要求，组织科学技术工作者参与科技政策、有关地方性法规的拟定和国家事务的政治协商、科学决策、民主监督工作。组织实施科学技术普及法，完善建设“科技工作者之家”的各项举措，全心全意为科技工作服务。</w:t>
      </w:r>
    </w:p>
    <w:p w:rsidR="001368C4" w:rsidRDefault="00113FA3">
      <w:pPr>
        <w:spacing w:line="360" w:lineRule="auto"/>
        <w:ind w:firstLineChars="200" w:firstLine="640"/>
        <w:rPr>
          <w:rFonts w:ascii="仿宋" w:eastAsia="仿宋" w:hAnsi="仿宋"/>
          <w:sz w:val="32"/>
          <w:szCs w:val="28"/>
        </w:rPr>
      </w:pPr>
      <w:r>
        <w:rPr>
          <w:rFonts w:ascii="仿宋" w:eastAsia="仿宋" w:hAnsi="仿宋" w:hint="eastAsia"/>
          <w:sz w:val="32"/>
          <w:szCs w:val="28"/>
        </w:rPr>
        <w:t>4</w:t>
      </w:r>
      <w:r>
        <w:rPr>
          <w:rFonts w:ascii="仿宋" w:eastAsia="仿宋" w:hAnsi="仿宋" w:hint="eastAsia"/>
          <w:sz w:val="32"/>
          <w:szCs w:val="28"/>
        </w:rPr>
        <w:t>、表彰奖励优秀科学技术工作者，举荐人才。</w:t>
      </w:r>
    </w:p>
    <w:p w:rsidR="001368C4" w:rsidRDefault="00113FA3">
      <w:pPr>
        <w:spacing w:line="360" w:lineRule="auto"/>
        <w:ind w:firstLineChars="200" w:firstLine="640"/>
        <w:rPr>
          <w:rFonts w:ascii="仿宋" w:eastAsia="仿宋" w:hAnsi="仿宋"/>
          <w:sz w:val="32"/>
          <w:szCs w:val="28"/>
        </w:rPr>
      </w:pPr>
      <w:r>
        <w:rPr>
          <w:rFonts w:ascii="仿宋" w:eastAsia="仿宋" w:hAnsi="仿宋" w:hint="eastAsia"/>
          <w:sz w:val="32"/>
          <w:szCs w:val="28"/>
        </w:rPr>
        <w:t>5</w:t>
      </w:r>
      <w:r>
        <w:rPr>
          <w:rFonts w:ascii="仿宋" w:eastAsia="仿宋" w:hAnsi="仿宋" w:hint="eastAsia"/>
          <w:sz w:val="32"/>
          <w:szCs w:val="28"/>
        </w:rPr>
        <w:t>、开展科学论证、科技咨询服务工作，提出政策建议，促进科学技术成果的转化和技术创新。</w:t>
      </w:r>
    </w:p>
    <w:p w:rsidR="001368C4" w:rsidRDefault="00113FA3">
      <w:pPr>
        <w:spacing w:line="360" w:lineRule="auto"/>
        <w:ind w:firstLineChars="200" w:firstLine="640"/>
        <w:rPr>
          <w:rFonts w:ascii="仿宋" w:eastAsia="仿宋" w:hAnsi="仿宋"/>
          <w:sz w:val="32"/>
          <w:szCs w:val="28"/>
        </w:rPr>
      </w:pPr>
      <w:r>
        <w:rPr>
          <w:rFonts w:ascii="仿宋" w:eastAsia="仿宋" w:hAnsi="仿宋" w:hint="eastAsia"/>
          <w:sz w:val="32"/>
          <w:szCs w:val="28"/>
        </w:rPr>
        <w:t>6</w:t>
      </w:r>
      <w:r>
        <w:rPr>
          <w:rFonts w:ascii="仿宋" w:eastAsia="仿宋" w:hAnsi="仿宋" w:hint="eastAsia"/>
          <w:sz w:val="32"/>
          <w:szCs w:val="28"/>
        </w:rPr>
        <w:t>、开展科技交流活动，发展科学技术团体和</w:t>
      </w:r>
      <w:r>
        <w:rPr>
          <w:rFonts w:ascii="仿宋" w:eastAsia="仿宋" w:hAnsi="仿宋" w:hint="eastAsia"/>
          <w:sz w:val="32"/>
          <w:szCs w:val="28"/>
        </w:rPr>
        <w:t>科学技术工作者的友好交往。</w:t>
      </w:r>
    </w:p>
    <w:p w:rsidR="001368C4" w:rsidRDefault="00113FA3">
      <w:pPr>
        <w:spacing w:line="360" w:lineRule="auto"/>
        <w:ind w:firstLineChars="200" w:firstLine="640"/>
        <w:rPr>
          <w:rFonts w:ascii="仿宋" w:eastAsia="仿宋" w:hAnsi="仿宋"/>
          <w:sz w:val="32"/>
          <w:szCs w:val="28"/>
        </w:rPr>
      </w:pPr>
      <w:r>
        <w:rPr>
          <w:rFonts w:ascii="仿宋" w:eastAsia="仿宋" w:hAnsi="仿宋" w:hint="eastAsia"/>
          <w:sz w:val="32"/>
          <w:szCs w:val="28"/>
        </w:rPr>
        <w:t>7</w:t>
      </w:r>
      <w:r>
        <w:rPr>
          <w:rFonts w:ascii="仿宋" w:eastAsia="仿宋" w:hAnsi="仿宋" w:hint="eastAsia"/>
          <w:sz w:val="32"/>
          <w:szCs w:val="28"/>
        </w:rPr>
        <w:t>、开展科技工作者的继续教育和培训工作。</w:t>
      </w:r>
    </w:p>
    <w:p w:rsidR="001368C4" w:rsidRDefault="00113FA3">
      <w:pPr>
        <w:spacing w:line="360" w:lineRule="auto"/>
        <w:ind w:firstLineChars="200" w:firstLine="640"/>
        <w:rPr>
          <w:rFonts w:ascii="仿宋" w:eastAsia="仿宋" w:hAnsi="仿宋"/>
          <w:sz w:val="32"/>
          <w:szCs w:val="28"/>
        </w:rPr>
      </w:pPr>
      <w:r>
        <w:rPr>
          <w:rFonts w:ascii="仿宋" w:eastAsia="仿宋" w:hAnsi="仿宋" w:hint="eastAsia"/>
          <w:sz w:val="32"/>
          <w:szCs w:val="28"/>
        </w:rPr>
        <w:t>8</w:t>
      </w:r>
      <w:r>
        <w:rPr>
          <w:rFonts w:ascii="仿宋" w:eastAsia="仿宋" w:hAnsi="仿宋" w:hint="eastAsia"/>
          <w:sz w:val="32"/>
          <w:szCs w:val="28"/>
        </w:rPr>
        <w:t>、负责指导本县各乡镇科协，企业科协及所主管的有关学会和科技类社会团体工作。</w:t>
      </w:r>
    </w:p>
    <w:p w:rsidR="001368C4" w:rsidRDefault="00113FA3">
      <w:pPr>
        <w:spacing w:line="360" w:lineRule="auto"/>
        <w:ind w:firstLineChars="200" w:firstLine="640"/>
        <w:rPr>
          <w:rFonts w:ascii="仿宋" w:eastAsia="仿宋" w:hAnsi="仿宋"/>
          <w:sz w:val="32"/>
          <w:szCs w:val="28"/>
        </w:rPr>
      </w:pPr>
      <w:r>
        <w:rPr>
          <w:rFonts w:ascii="仿宋" w:eastAsia="仿宋" w:hAnsi="仿宋" w:hint="eastAsia"/>
          <w:sz w:val="32"/>
          <w:szCs w:val="28"/>
        </w:rPr>
        <w:lastRenderedPageBreak/>
        <w:t>9</w:t>
      </w:r>
      <w:r>
        <w:rPr>
          <w:rFonts w:ascii="仿宋" w:eastAsia="仿宋" w:hAnsi="仿宋" w:hint="eastAsia"/>
          <w:sz w:val="32"/>
          <w:szCs w:val="28"/>
        </w:rPr>
        <w:t>、参与指导全县的反邪教工作，积极组织全县科协系统开展反对伪科学、反科学活动。</w:t>
      </w:r>
    </w:p>
    <w:p w:rsidR="001368C4" w:rsidRDefault="00113FA3">
      <w:pPr>
        <w:spacing w:line="360" w:lineRule="auto"/>
        <w:ind w:firstLineChars="200" w:firstLine="640"/>
        <w:rPr>
          <w:rFonts w:ascii="仿宋" w:eastAsia="仿宋" w:hAnsi="仿宋"/>
          <w:sz w:val="32"/>
          <w:szCs w:val="28"/>
        </w:rPr>
      </w:pPr>
      <w:r>
        <w:rPr>
          <w:rFonts w:ascii="仿宋" w:eastAsia="仿宋" w:hAnsi="仿宋" w:hint="eastAsia"/>
          <w:sz w:val="32"/>
          <w:szCs w:val="28"/>
        </w:rPr>
        <w:t>10</w:t>
      </w:r>
      <w:r>
        <w:rPr>
          <w:rFonts w:ascii="仿宋" w:eastAsia="仿宋" w:hAnsi="仿宋" w:hint="eastAsia"/>
          <w:sz w:val="32"/>
          <w:szCs w:val="28"/>
        </w:rPr>
        <w:t>、承担县委、县政府交办的有关事宜。</w:t>
      </w:r>
    </w:p>
    <w:p w:rsidR="001368C4" w:rsidRDefault="00113FA3">
      <w:pPr>
        <w:pStyle w:val="1"/>
        <w:spacing w:before="0" w:after="0" w:line="600" w:lineRule="exact"/>
        <w:jc w:val="left"/>
        <w:rPr>
          <w:rFonts w:ascii="黑体" w:eastAsia="黑体" w:hAnsiTheme="minorHAnsi" w:cs="黑体"/>
          <w:b w:val="0"/>
          <w:bCs w:val="0"/>
          <w:kern w:val="0"/>
          <w:sz w:val="32"/>
          <w:szCs w:val="32"/>
        </w:rPr>
      </w:pPr>
      <w:r>
        <w:rPr>
          <w:rFonts w:ascii="黑体" w:eastAsia="黑体" w:hAnsiTheme="minorHAnsi" w:cs="黑体" w:hint="eastAsia"/>
          <w:b w:val="0"/>
          <w:bCs w:val="0"/>
          <w:kern w:val="0"/>
          <w:sz w:val="32"/>
          <w:szCs w:val="32"/>
        </w:rPr>
        <w:t>二、机构设置</w:t>
      </w:r>
    </w:p>
    <w:p w:rsidR="001368C4" w:rsidRDefault="00113FA3">
      <w:pPr>
        <w:spacing w:after="0" w:line="560" w:lineRule="exact"/>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从决算编报单位构成看，纳入</w:t>
      </w:r>
      <w:r>
        <w:rPr>
          <w:rFonts w:ascii="仿宋_GB2312" w:eastAsia="仿宋_GB2312" w:hAnsiTheme="minorHAnsi" w:cs="ArialUnicodeMS" w:hint="eastAsia"/>
          <w:kern w:val="0"/>
          <w:sz w:val="32"/>
          <w:szCs w:val="32"/>
        </w:rPr>
        <w:t xml:space="preserve">2018 </w:t>
      </w:r>
      <w:r>
        <w:rPr>
          <w:rFonts w:ascii="仿宋_GB2312" w:eastAsia="仿宋_GB2312" w:hAnsiTheme="minorHAnsi" w:cs="ArialUnicodeMS" w:hint="eastAsia"/>
          <w:kern w:val="0"/>
          <w:sz w:val="32"/>
          <w:szCs w:val="32"/>
        </w:rPr>
        <w:t>年度本部门决算汇编范围的独立核算单位（以下简称“单位”）共</w:t>
      </w:r>
      <w:r>
        <w:rPr>
          <w:rFonts w:ascii="仿宋_GB2312" w:eastAsia="仿宋_GB2312" w:hAnsiTheme="minorHAnsi" w:cs="ArialUnicodeMS" w:hint="eastAsia"/>
          <w:kern w:val="0"/>
          <w:sz w:val="32"/>
          <w:szCs w:val="32"/>
        </w:rPr>
        <w:t xml:space="preserve">1 </w:t>
      </w:r>
      <w:r>
        <w:rPr>
          <w:rFonts w:ascii="仿宋_GB2312" w:eastAsia="仿宋_GB2312" w:hAnsiTheme="minorHAnsi" w:cs="ArialUnicodeMS" w:hint="eastAsia"/>
          <w:kern w:val="0"/>
          <w:sz w:val="32"/>
          <w:szCs w:val="32"/>
        </w:rPr>
        <w:t>个，具体情况如下：</w:t>
      </w:r>
    </w:p>
    <w:tbl>
      <w:tblPr>
        <w:tblStyle w:val="a9"/>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1368C4">
        <w:trPr>
          <w:trHeight w:val="811"/>
          <w:jc w:val="center"/>
        </w:trPr>
        <w:tc>
          <w:tcPr>
            <w:tcW w:w="985" w:type="dxa"/>
            <w:vAlign w:val="center"/>
          </w:tcPr>
          <w:p w:rsidR="001368C4" w:rsidRDefault="00113FA3">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序号</w:t>
            </w:r>
          </w:p>
        </w:tc>
        <w:tc>
          <w:tcPr>
            <w:tcW w:w="3485" w:type="dxa"/>
            <w:vAlign w:val="center"/>
          </w:tcPr>
          <w:p w:rsidR="001368C4" w:rsidRDefault="00113FA3">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单位名称</w:t>
            </w:r>
          </w:p>
        </w:tc>
        <w:tc>
          <w:tcPr>
            <w:tcW w:w="2445" w:type="dxa"/>
            <w:vAlign w:val="center"/>
          </w:tcPr>
          <w:p w:rsidR="001368C4" w:rsidRDefault="00113FA3">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单位基本性质</w:t>
            </w:r>
          </w:p>
        </w:tc>
        <w:tc>
          <w:tcPr>
            <w:tcW w:w="2665" w:type="dxa"/>
            <w:vAlign w:val="center"/>
          </w:tcPr>
          <w:p w:rsidR="001368C4" w:rsidRDefault="00113FA3">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经费形式</w:t>
            </w:r>
          </w:p>
        </w:tc>
      </w:tr>
      <w:tr w:rsidR="001368C4">
        <w:trPr>
          <w:trHeight w:val="596"/>
          <w:jc w:val="center"/>
        </w:trPr>
        <w:tc>
          <w:tcPr>
            <w:tcW w:w="985" w:type="dxa"/>
          </w:tcPr>
          <w:p w:rsidR="001368C4" w:rsidRDefault="00113FA3">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1</w:t>
            </w:r>
          </w:p>
        </w:tc>
        <w:tc>
          <w:tcPr>
            <w:tcW w:w="3485" w:type="dxa"/>
          </w:tcPr>
          <w:p w:rsidR="001368C4" w:rsidRDefault="00113FA3">
            <w:pPr>
              <w:spacing w:after="0" w:line="560" w:lineRule="exact"/>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无极县科学技术协会</w:t>
            </w:r>
          </w:p>
        </w:tc>
        <w:tc>
          <w:tcPr>
            <w:tcW w:w="2445" w:type="dxa"/>
          </w:tcPr>
          <w:p w:rsidR="001368C4" w:rsidRDefault="00113FA3">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行政单位</w:t>
            </w:r>
          </w:p>
        </w:tc>
        <w:tc>
          <w:tcPr>
            <w:tcW w:w="2665" w:type="dxa"/>
          </w:tcPr>
          <w:p w:rsidR="001368C4" w:rsidRDefault="00113FA3">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财政拨款</w:t>
            </w:r>
          </w:p>
        </w:tc>
      </w:tr>
      <w:tr w:rsidR="001368C4">
        <w:trPr>
          <w:trHeight w:val="606"/>
          <w:jc w:val="center"/>
        </w:trPr>
        <w:tc>
          <w:tcPr>
            <w:tcW w:w="9580" w:type="dxa"/>
            <w:gridSpan w:val="4"/>
            <w:tcBorders>
              <w:top w:val="single" w:sz="4" w:space="0" w:color="auto"/>
              <w:left w:val="nil"/>
              <w:bottom w:val="nil"/>
              <w:right w:val="nil"/>
            </w:tcBorders>
          </w:tcPr>
          <w:p w:rsidR="001368C4" w:rsidRDefault="001368C4">
            <w:pPr>
              <w:spacing w:after="0" w:line="560" w:lineRule="exact"/>
              <w:ind w:firstLineChars="200" w:firstLine="560"/>
              <w:jc w:val="left"/>
              <w:rPr>
                <w:rFonts w:ascii="仿宋_GB2312" w:eastAsia="仿宋_GB2312" w:hAnsiTheme="minorHAnsi" w:cs="ArialUnicodeMS"/>
                <w:kern w:val="0"/>
                <w:sz w:val="28"/>
                <w:szCs w:val="28"/>
              </w:rPr>
            </w:pPr>
          </w:p>
        </w:tc>
      </w:tr>
    </w:tbl>
    <w:p w:rsidR="001368C4" w:rsidRDefault="001368C4">
      <w:pPr>
        <w:spacing w:after="0" w:line="560" w:lineRule="exact"/>
        <w:rPr>
          <w:rFonts w:ascii="仿宋_GB2312" w:eastAsia="仿宋_GB2312" w:hAnsiTheme="minorHAnsi" w:cs="ArialUnicodeMS"/>
          <w:kern w:val="0"/>
          <w:sz w:val="32"/>
          <w:szCs w:val="32"/>
        </w:rPr>
      </w:pPr>
    </w:p>
    <w:p w:rsidR="001368C4" w:rsidRDefault="001368C4">
      <w:pPr>
        <w:widowControl/>
        <w:spacing w:line="560" w:lineRule="exact"/>
        <w:jc w:val="center"/>
        <w:rPr>
          <w:rFonts w:ascii="黑体" w:eastAsia="黑体" w:hAnsiTheme="minorHAnsi" w:cs="MS-UIGothic,Bold"/>
          <w:bCs/>
          <w:kern w:val="0"/>
          <w:sz w:val="52"/>
          <w:szCs w:val="52"/>
        </w:rPr>
      </w:pPr>
    </w:p>
    <w:p w:rsidR="001368C4" w:rsidRDefault="001368C4">
      <w:pPr>
        <w:widowControl/>
        <w:spacing w:line="560" w:lineRule="exact"/>
        <w:jc w:val="center"/>
        <w:rPr>
          <w:rFonts w:ascii="黑体" w:eastAsia="黑体" w:hAnsiTheme="minorHAnsi" w:cs="MS-UIGothic,Bold"/>
          <w:bCs/>
          <w:kern w:val="0"/>
          <w:sz w:val="52"/>
          <w:szCs w:val="52"/>
        </w:rPr>
      </w:pPr>
    </w:p>
    <w:p w:rsidR="001368C4" w:rsidRDefault="001368C4">
      <w:pPr>
        <w:widowControl/>
        <w:spacing w:line="560" w:lineRule="exact"/>
        <w:jc w:val="center"/>
        <w:rPr>
          <w:rFonts w:ascii="黑体" w:eastAsia="黑体" w:hAnsiTheme="minorHAnsi" w:cs="MS-UIGothic,Bold"/>
          <w:bCs/>
          <w:kern w:val="0"/>
          <w:sz w:val="52"/>
          <w:szCs w:val="52"/>
        </w:rPr>
        <w:sectPr w:rsidR="001368C4">
          <w:pgSz w:w="11906" w:h="16838"/>
          <w:pgMar w:top="2098" w:right="1474" w:bottom="1984" w:left="1588" w:header="851" w:footer="992" w:gutter="0"/>
          <w:cols w:space="0"/>
          <w:docGrid w:type="lines" w:linePitch="312"/>
        </w:sectPr>
      </w:pPr>
    </w:p>
    <w:p w:rsidR="001368C4" w:rsidRDefault="00113FA3">
      <w:pPr>
        <w:widowControl/>
        <w:spacing w:line="560" w:lineRule="exact"/>
        <w:jc w:val="center"/>
        <w:rPr>
          <w:rFonts w:ascii="黑体" w:eastAsia="黑体" w:hAnsiTheme="minorHAnsi" w:cs="MS-UIGothic,Bold"/>
          <w:bCs/>
          <w:kern w:val="0"/>
          <w:sz w:val="52"/>
          <w:szCs w:val="52"/>
        </w:rPr>
      </w:pPr>
      <w:r>
        <w:rPr>
          <w:rFonts w:ascii="宋体" w:hAnsi="宋体" w:cs="ArialUnicodeMS" w:hint="eastAsia"/>
          <w:noProof/>
          <w:color w:val="000000"/>
          <w:kern w:val="0"/>
        </w:rPr>
        <w:lastRenderedPageBreak/>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11"/>
                    <a:stretch>
                      <a:fillRect/>
                    </a:stretch>
                  </pic:blipFill>
                  <pic:spPr>
                    <a:xfrm>
                      <a:off x="0" y="0"/>
                      <a:ext cx="7571105" cy="10680065"/>
                    </a:xfrm>
                    <a:prstGeom prst="rect">
                      <a:avLst/>
                    </a:prstGeom>
                  </pic:spPr>
                </pic:pic>
              </a:graphicData>
            </a:graphic>
          </wp:anchor>
        </w:drawing>
      </w:r>
    </w:p>
    <w:p w:rsidR="001368C4" w:rsidRDefault="001368C4">
      <w:pPr>
        <w:widowControl/>
        <w:spacing w:line="560" w:lineRule="exact"/>
        <w:jc w:val="center"/>
        <w:rPr>
          <w:rFonts w:ascii="黑体" w:eastAsia="黑体" w:hAnsiTheme="minorHAnsi" w:cs="MS-UIGothic,Bold"/>
          <w:bCs/>
          <w:kern w:val="0"/>
          <w:sz w:val="52"/>
          <w:szCs w:val="52"/>
        </w:rPr>
      </w:pPr>
    </w:p>
    <w:p w:rsidR="001368C4" w:rsidRDefault="001368C4">
      <w:pPr>
        <w:rPr>
          <w:rFonts w:ascii="宋体" w:hAnsi="宋体" w:cs="ArialUnicodeMS"/>
          <w:color w:val="000000"/>
          <w:kern w:val="0"/>
        </w:rPr>
      </w:pPr>
    </w:p>
    <w:p w:rsidR="001368C4" w:rsidRDefault="001368C4">
      <w:pPr>
        <w:rPr>
          <w:rFonts w:ascii="宋体" w:hAnsi="宋体" w:cs="ArialUnicodeMS"/>
          <w:color w:val="000000"/>
          <w:kern w:val="0"/>
        </w:rPr>
        <w:sectPr w:rsidR="001368C4">
          <w:pgSz w:w="11906" w:h="16838"/>
          <w:pgMar w:top="2098" w:right="1474" w:bottom="1984" w:left="1588" w:header="851" w:footer="992" w:gutter="0"/>
          <w:cols w:space="0"/>
          <w:docGrid w:type="lines" w:linePitch="312"/>
        </w:sectPr>
      </w:pPr>
      <w:r w:rsidRPr="001368C4">
        <w:rPr>
          <w:sz w:val="72"/>
        </w:rPr>
        <w:pict>
          <v:shape id="_x0000_s1029" type="#_x0000_t202" style="position:absolute;left:0;text-align:left;margin-left:-74.2pt;margin-top:120.3pt;width:596.2pt;height:159.1pt;z-index:251662336"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EJ+BAJDAgAAdw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tvkq/I0bMMkSGPpSYrDetjiXFN9C5iexkkJTp51KOVchHgpPEYD5WN54gWORhNS0lbirCX/&#10;9V/65I+OwcpZj1GrePiyEV5xpt9b9PLN5DCxEvPlcDaf4uIfWtYPLXZjTgjTPMGaOpnF5B/1Tmw8&#10;mc/YsVXKCpOwErkrHnfiSRwXADsq1WqVnTCNTsRze+VkCj2Su9pEarrMe6Jp5AZNSBfMY27HdnfS&#10;wD+8Z6/7/8XyD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E5rPdDcAAAADQEAAA8AAAAAAAAAAQAg&#10;AAAAIgAAAGRycy9kb3ducmV2LnhtbFBLAQIUABQAAAAIAIdO4kBCfgQCQwIAAHcEAAAOAAAAAAAA&#10;AAEAIAAAACsBAABkcnMvZTJvRG9jLnhtbFBLBQYAAAAABgAGAFkBAADgBQAAAAA=&#10;" filled="f" stroked="f" strokeweight=".5pt">
            <v:textbox>
              <w:txbxContent>
                <w:p w:rsidR="001368C4" w:rsidRDefault="00113FA3">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第二部分</w:t>
                  </w:r>
                </w:p>
                <w:p w:rsidR="001368C4" w:rsidRDefault="00113FA3">
                  <w:pPr>
                    <w:widowControl/>
                    <w:spacing w:line="1200" w:lineRule="exact"/>
                    <w:jc w:val="center"/>
                    <w:rPr>
                      <w:color w:val="FDEFBE"/>
                      <w:sz w:val="96"/>
                      <w:szCs w:val="96"/>
                    </w:rPr>
                  </w:pPr>
                  <w:r>
                    <w:rPr>
                      <w:rFonts w:asciiTheme="minorEastAsia" w:eastAsiaTheme="minorEastAsia" w:hAnsi="宋体" w:hint="eastAsia"/>
                      <w:color w:val="FDEFBE"/>
                      <w:sz w:val="96"/>
                      <w:szCs w:val="96"/>
                    </w:rPr>
                    <w:t>2018</w:t>
                  </w:r>
                  <w:r>
                    <w:rPr>
                      <w:rFonts w:asciiTheme="minorEastAsia" w:eastAsiaTheme="minorEastAsia" w:hAnsi="宋体" w:hint="eastAsia"/>
                      <w:color w:val="FDEFBE"/>
                      <w:sz w:val="96"/>
                      <w:szCs w:val="96"/>
                    </w:rPr>
                    <w:t>年度部门决算报表</w:t>
                  </w:r>
                </w:p>
              </w:txbxContent>
            </v:textbox>
          </v:shape>
        </w:pict>
      </w:r>
    </w:p>
    <w:tbl>
      <w:tblPr>
        <w:tblW w:w="9300" w:type="dxa"/>
        <w:jc w:val="center"/>
        <w:tblLayout w:type="fixed"/>
        <w:tblCellMar>
          <w:left w:w="0" w:type="dxa"/>
          <w:right w:w="0" w:type="dxa"/>
        </w:tblCellMar>
        <w:tblLook w:val="04A0"/>
      </w:tblPr>
      <w:tblGrid>
        <w:gridCol w:w="2700"/>
        <w:gridCol w:w="567"/>
        <w:gridCol w:w="1336"/>
        <w:gridCol w:w="2700"/>
        <w:gridCol w:w="567"/>
        <w:gridCol w:w="1430"/>
      </w:tblGrid>
      <w:tr w:rsidR="001368C4">
        <w:trPr>
          <w:trHeight w:val="567"/>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440" w:lineRule="exact"/>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收入支出决算总表</w:t>
            </w:r>
          </w:p>
        </w:tc>
      </w:tr>
      <w:tr w:rsidR="001368C4">
        <w:trPr>
          <w:trHeight w:val="321"/>
          <w:jc w:val="center"/>
        </w:trPr>
        <w:tc>
          <w:tcPr>
            <w:tcW w:w="2700"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exact"/>
              <w:jc w:val="right"/>
              <w:textAlignment w:val="center"/>
              <w:rPr>
                <w:rFonts w:ascii="宋体" w:hAnsi="宋体" w:cs="宋体"/>
                <w:color w:val="000000"/>
                <w:sz w:val="20"/>
                <w:szCs w:val="20"/>
              </w:rPr>
            </w:pPr>
            <w:r>
              <w:rPr>
                <w:rFonts w:ascii="宋体" w:hAnsi="宋体" w:cs="宋体" w:hint="eastAsia"/>
                <w:color w:val="000000"/>
                <w:kern w:val="0"/>
                <w:sz w:val="20"/>
                <w:szCs w:val="20"/>
              </w:rPr>
              <w:t>公开</w:t>
            </w:r>
            <w:r>
              <w:rPr>
                <w:rFonts w:ascii="宋体" w:hAnsi="宋体" w:cs="宋体" w:hint="eastAsia"/>
                <w:color w:val="000000"/>
                <w:kern w:val="0"/>
                <w:sz w:val="20"/>
                <w:szCs w:val="20"/>
              </w:rPr>
              <w:t>01</w:t>
            </w:r>
            <w:r>
              <w:rPr>
                <w:rFonts w:ascii="宋体" w:hAnsi="宋体" w:cs="宋体" w:hint="eastAsia"/>
                <w:color w:val="000000"/>
                <w:kern w:val="0"/>
                <w:sz w:val="20"/>
                <w:szCs w:val="20"/>
              </w:rPr>
              <w:t>表</w:t>
            </w:r>
          </w:p>
        </w:tc>
      </w:tr>
      <w:tr w:rsidR="001368C4">
        <w:trPr>
          <w:trHeight w:val="418"/>
          <w:jc w:val="center"/>
        </w:trPr>
        <w:tc>
          <w:tcPr>
            <w:tcW w:w="2700" w:type="dxa"/>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部门：无极县科学技术协会</w:t>
            </w:r>
          </w:p>
        </w:tc>
        <w:tc>
          <w:tcPr>
            <w:tcW w:w="567"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exact"/>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1368C4">
        <w:trPr>
          <w:trHeight w:val="295"/>
          <w:jc w:val="center"/>
        </w:trPr>
        <w:tc>
          <w:tcPr>
            <w:tcW w:w="4603"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收入</w:t>
            </w:r>
          </w:p>
        </w:tc>
        <w:tc>
          <w:tcPr>
            <w:tcW w:w="4697"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支出</w:t>
            </w:r>
          </w:p>
        </w:tc>
      </w:tr>
      <w:tr w:rsidR="001368C4">
        <w:trPr>
          <w:trHeight w:val="29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项目</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行次</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金额</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项目</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行次</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金额</w:t>
            </w:r>
          </w:p>
        </w:tc>
      </w:tr>
      <w:tr w:rsidR="001368C4">
        <w:trPr>
          <w:trHeight w:val="29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exact"/>
              <w:jc w:val="center"/>
              <w:rPr>
                <w:rFonts w:ascii="宋体" w:hAnsi="宋体" w:cs="宋体"/>
                <w:color w:val="000000"/>
                <w:sz w:val="20"/>
                <w:szCs w:val="20"/>
              </w:rPr>
            </w:pP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exact"/>
              <w:jc w:val="center"/>
              <w:rPr>
                <w:rFonts w:ascii="宋体" w:hAnsi="宋体" w:cs="宋体"/>
                <w:color w:val="000000"/>
                <w:sz w:val="20"/>
                <w:szCs w:val="20"/>
              </w:rPr>
            </w:pP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r>
      <w:tr w:rsidR="001368C4">
        <w:trPr>
          <w:trHeight w:val="36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一、财政拨款收入</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65.37</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一、一般公共服务支出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28</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二、上级补助收入</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二、外交支出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29</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三、事业收入</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三、国防支出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30</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四、经营收入</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四、公共安全支出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31</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五、附属单位上缴收入</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五、教育支出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32</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六、其他收入</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6</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六、科学技术支出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33</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51.59</w:t>
            </w: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7</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七、文化体育与传媒支出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34</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8</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八、社会保障和就业支出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35</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16.82</w:t>
            </w: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9</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九、医疗卫生与计划生育支出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36</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10</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十、节能环保支出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37</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11</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十一、城乡社区支出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38</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12</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十二、农林水支出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39</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13</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十三、交通运输支出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40</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14</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十四、资源勘探信息等支出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41</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15</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十五、商业服务业等支出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42</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16</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十六、金融支出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43</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17</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十七、援助其他地区支出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44</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18</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十八、国土海洋气象等支出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45</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19</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十九、住房保障支出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46</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20</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二十、粮油物资储备支出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47</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21</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二十一、其他支出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48</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22</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二十二、债务还本支出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49</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23</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二十三、债务付息支出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50</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本年收入合计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24</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right"/>
              <w:rPr>
                <w:rFonts w:ascii="宋体" w:hAnsi="宋体" w:cs="宋体"/>
                <w:color w:val="000000"/>
                <w:sz w:val="18"/>
                <w:szCs w:val="18"/>
              </w:rPr>
            </w:pPr>
            <w:r>
              <w:rPr>
                <w:rFonts w:ascii="宋体" w:hAnsi="宋体" w:cs="宋体" w:hint="eastAsia"/>
                <w:color w:val="000000"/>
                <w:sz w:val="18"/>
                <w:szCs w:val="18"/>
              </w:rPr>
              <w:t>65.37</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本年支出合计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51</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68.41</w:t>
            </w:r>
          </w:p>
        </w:tc>
      </w:tr>
      <w:tr w:rsidR="001368C4">
        <w:trPr>
          <w:trHeight w:val="38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用事业基金弥补收支差额</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25</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18"/>
                <w:szCs w:val="18"/>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结余分配</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52</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00" w:lineRule="exact"/>
              <w:jc w:val="right"/>
              <w:rPr>
                <w:rFonts w:ascii="宋体" w:hAnsi="宋体" w:cs="宋体"/>
                <w:color w:val="000000"/>
                <w:sz w:val="20"/>
                <w:szCs w:val="20"/>
              </w:rPr>
            </w:pP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年初结转和结余</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26</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right"/>
              <w:rPr>
                <w:rFonts w:ascii="宋体" w:hAnsi="宋体" w:cs="宋体"/>
                <w:color w:val="000000"/>
                <w:sz w:val="18"/>
                <w:szCs w:val="18"/>
              </w:rPr>
            </w:pPr>
            <w:r>
              <w:rPr>
                <w:rFonts w:ascii="宋体" w:hAnsi="宋体" w:cs="宋体" w:hint="eastAsia"/>
                <w:color w:val="000000"/>
                <w:sz w:val="18"/>
                <w:szCs w:val="18"/>
              </w:rPr>
              <w:t>3.5</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年末结转和结余</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53</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0.46</w:t>
            </w:r>
          </w:p>
        </w:tc>
      </w:tr>
      <w:tr w:rsidR="001368C4">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b/>
                <w:color w:val="000000"/>
                <w:sz w:val="20"/>
                <w:szCs w:val="20"/>
              </w:rPr>
            </w:pPr>
            <w:r>
              <w:rPr>
                <w:rFonts w:ascii="宋体" w:hAnsi="宋体" w:cs="宋体" w:hint="eastAsia"/>
                <w:b/>
                <w:color w:val="000000"/>
                <w:kern w:val="0"/>
                <w:sz w:val="20"/>
                <w:szCs w:val="20"/>
              </w:rPr>
              <w:t>总计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27</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right"/>
              <w:rPr>
                <w:rFonts w:ascii="宋体" w:hAnsi="宋体" w:cs="宋体"/>
                <w:color w:val="000000"/>
                <w:sz w:val="18"/>
                <w:szCs w:val="18"/>
              </w:rPr>
            </w:pPr>
            <w:r>
              <w:rPr>
                <w:rFonts w:ascii="宋体" w:hAnsi="宋体" w:cs="宋体" w:hint="eastAsia"/>
                <w:color w:val="000000"/>
                <w:sz w:val="18"/>
                <w:szCs w:val="18"/>
              </w:rPr>
              <w:t>68.87</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b/>
                <w:color w:val="000000"/>
                <w:sz w:val="20"/>
                <w:szCs w:val="20"/>
              </w:rPr>
            </w:pPr>
            <w:r>
              <w:rPr>
                <w:rFonts w:ascii="宋体" w:hAnsi="宋体" w:cs="宋体" w:hint="eastAsia"/>
                <w:b/>
                <w:color w:val="000000"/>
                <w:kern w:val="0"/>
                <w:sz w:val="20"/>
                <w:szCs w:val="20"/>
              </w:rPr>
              <w:t>总计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54</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68.87</w:t>
            </w:r>
          </w:p>
        </w:tc>
      </w:tr>
      <w:tr w:rsidR="001368C4">
        <w:trPr>
          <w:trHeight w:val="417"/>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00" w:lineRule="exact"/>
              <w:jc w:val="left"/>
              <w:textAlignment w:val="center"/>
              <w:rPr>
                <w:rFonts w:ascii="宋体" w:hAnsi="宋体" w:cs="宋体"/>
                <w:color w:val="000000"/>
                <w:szCs w:val="21"/>
              </w:rPr>
            </w:pPr>
            <w:r>
              <w:rPr>
                <w:rFonts w:ascii="宋体" w:hAnsi="宋体" w:cs="宋体" w:hint="eastAsia"/>
                <w:color w:val="000000"/>
                <w:kern w:val="0"/>
                <w:szCs w:val="21"/>
              </w:rPr>
              <w:t>注：本表反映部门本年度的总收支和年末结转结余情况。</w:t>
            </w:r>
          </w:p>
        </w:tc>
      </w:tr>
    </w:tbl>
    <w:p w:rsidR="001368C4" w:rsidRDefault="001368C4">
      <w:pPr>
        <w:widowControl/>
        <w:spacing w:after="0" w:line="560" w:lineRule="exact"/>
        <w:jc w:val="left"/>
        <w:rPr>
          <w:rFonts w:ascii="仿宋_GB2312" w:eastAsia="仿宋_GB2312" w:hAnsiTheme="majorEastAsia"/>
          <w:b/>
          <w:sz w:val="28"/>
          <w:szCs w:val="28"/>
          <w:highlight w:val="yellow"/>
        </w:rPr>
        <w:sectPr w:rsidR="001368C4">
          <w:pgSz w:w="11906" w:h="16838"/>
          <w:pgMar w:top="2098" w:right="1474" w:bottom="1984" w:left="1588" w:header="851" w:footer="992" w:gutter="0"/>
          <w:cols w:space="0"/>
          <w:docGrid w:type="lines" w:linePitch="312"/>
        </w:sectPr>
      </w:pPr>
    </w:p>
    <w:tbl>
      <w:tblPr>
        <w:tblW w:w="8800" w:type="dxa"/>
        <w:jc w:val="center"/>
        <w:tblLayout w:type="fixed"/>
        <w:tblCellMar>
          <w:left w:w="0" w:type="dxa"/>
          <w:right w:w="0" w:type="dxa"/>
        </w:tblCellMar>
        <w:tblLook w:val="04A0"/>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rsidR="001368C4">
        <w:trPr>
          <w:trHeight w:val="770"/>
          <w:jc w:val="center"/>
        </w:trPr>
        <w:tc>
          <w:tcPr>
            <w:tcW w:w="8800" w:type="dxa"/>
            <w:gridSpan w:val="17"/>
            <w:tcBorders>
              <w:top w:val="nil"/>
              <w:left w:val="nil"/>
              <w:bottom w:val="nil"/>
              <w:right w:val="nil"/>
            </w:tcBorders>
            <w:shd w:val="clear" w:color="auto" w:fill="auto"/>
            <w:tcMar>
              <w:top w:w="15" w:type="dxa"/>
              <w:left w:w="15" w:type="dxa"/>
              <w:right w:w="15" w:type="dxa"/>
            </w:tcMar>
            <w:vAlign w:val="bottom"/>
          </w:tcPr>
          <w:p w:rsidR="001368C4" w:rsidRDefault="00113FA3">
            <w:pPr>
              <w:widowControl/>
              <w:jc w:val="center"/>
              <w:textAlignment w:val="bottom"/>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收入决算表</w:t>
            </w:r>
          </w:p>
        </w:tc>
      </w:tr>
      <w:tr w:rsidR="001368C4">
        <w:trPr>
          <w:trHeight w:val="362"/>
          <w:jc w:val="center"/>
        </w:trPr>
        <w:tc>
          <w:tcPr>
            <w:tcW w:w="335"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02</w:t>
            </w:r>
            <w:r>
              <w:rPr>
                <w:rFonts w:ascii="宋体" w:hAnsi="宋体" w:cs="宋体" w:hint="eastAsia"/>
                <w:color w:val="000000"/>
                <w:kern w:val="0"/>
                <w:szCs w:val="21"/>
              </w:rPr>
              <w:t>表</w:t>
            </w:r>
          </w:p>
        </w:tc>
      </w:tr>
      <w:tr w:rsidR="001368C4">
        <w:trPr>
          <w:trHeight w:val="362"/>
          <w:jc w:val="center"/>
        </w:trPr>
        <w:tc>
          <w:tcPr>
            <w:tcW w:w="2885" w:type="dxa"/>
            <w:gridSpan w:val="5"/>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部门：无极县科学技术协会</w:t>
            </w:r>
          </w:p>
        </w:tc>
        <w:tc>
          <w:tcPr>
            <w:tcW w:w="260"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1368C4">
        <w:trPr>
          <w:trHeight w:val="325"/>
          <w:jc w:val="center"/>
        </w:trPr>
        <w:tc>
          <w:tcPr>
            <w:tcW w:w="2352" w:type="dxa"/>
            <w:gridSpan w:val="4"/>
            <w:tcBorders>
              <w:top w:val="single" w:sz="4" w:space="0" w:color="000000"/>
              <w:left w:val="single" w:sz="4" w:space="0" w:color="000000"/>
              <w:bottom w:val="single" w:sz="4" w:space="0" w:color="000000"/>
              <w:right w:val="single" w:sz="4" w:space="0" w:color="auto"/>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项目</w:t>
            </w:r>
          </w:p>
        </w:tc>
        <w:tc>
          <w:tcPr>
            <w:tcW w:w="920" w:type="dxa"/>
            <w:gridSpan w:val="3"/>
            <w:vMerge w:val="restart"/>
            <w:tcBorders>
              <w:top w:val="single" w:sz="4" w:space="0" w:color="auto"/>
              <w:left w:val="single" w:sz="4" w:space="0" w:color="auto"/>
              <w:bottom w:val="single" w:sz="4" w:space="0" w:color="auto"/>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本年收入合计</w:t>
            </w:r>
          </w:p>
        </w:tc>
        <w:tc>
          <w:tcPr>
            <w:tcW w:w="920"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财政拨款收入</w:t>
            </w:r>
          </w:p>
        </w:tc>
        <w:tc>
          <w:tcPr>
            <w:tcW w:w="921"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上级补助收入</w:t>
            </w:r>
          </w:p>
        </w:tc>
        <w:tc>
          <w:tcPr>
            <w:tcW w:w="920"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事业收入</w:t>
            </w:r>
          </w:p>
        </w:tc>
        <w:tc>
          <w:tcPr>
            <w:tcW w:w="921"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经营收入</w:t>
            </w:r>
          </w:p>
        </w:tc>
        <w:tc>
          <w:tcPr>
            <w:tcW w:w="920" w:type="dxa"/>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附属单位上缴收入</w:t>
            </w:r>
          </w:p>
        </w:tc>
        <w:tc>
          <w:tcPr>
            <w:tcW w:w="926" w:type="dxa"/>
            <w:vMerge w:val="restart"/>
            <w:tcBorders>
              <w:top w:val="single" w:sz="4" w:space="0" w:color="auto"/>
              <w:left w:val="nil"/>
              <w:bottom w:val="single" w:sz="4" w:space="0" w:color="auto"/>
              <w:right w:val="single" w:sz="4" w:space="0" w:color="auto"/>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其他收入</w:t>
            </w:r>
          </w:p>
        </w:tc>
      </w:tr>
      <w:tr w:rsidR="001368C4">
        <w:trPr>
          <w:trHeight w:val="626"/>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功能分类科目编码</w:t>
            </w:r>
          </w:p>
        </w:tc>
        <w:tc>
          <w:tcPr>
            <w:tcW w:w="1318"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科目名称</w:t>
            </w:r>
          </w:p>
        </w:tc>
        <w:tc>
          <w:tcPr>
            <w:tcW w:w="920" w:type="dxa"/>
            <w:gridSpan w:val="3"/>
            <w:vMerge/>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rPr>
                <w:rFonts w:ascii="宋体" w:hAnsi="宋体" w:cs="宋体"/>
                <w:color w:val="000000"/>
                <w:sz w:val="20"/>
                <w:szCs w:val="20"/>
              </w:rPr>
            </w:pPr>
          </w:p>
        </w:tc>
        <w:tc>
          <w:tcPr>
            <w:tcW w:w="920"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textAlignment w:val="center"/>
              <w:rPr>
                <w:rFonts w:ascii="宋体" w:hAnsi="宋体" w:cs="宋体"/>
                <w:color w:val="000000"/>
                <w:kern w:val="0"/>
                <w:sz w:val="20"/>
                <w:szCs w:val="20"/>
              </w:rPr>
            </w:pPr>
          </w:p>
        </w:tc>
        <w:tc>
          <w:tcPr>
            <w:tcW w:w="921"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textAlignment w:val="center"/>
              <w:rPr>
                <w:rFonts w:ascii="宋体" w:hAnsi="宋体" w:cs="宋体"/>
                <w:color w:val="000000"/>
                <w:kern w:val="0"/>
                <w:sz w:val="20"/>
                <w:szCs w:val="20"/>
              </w:rPr>
            </w:pPr>
          </w:p>
        </w:tc>
        <w:tc>
          <w:tcPr>
            <w:tcW w:w="920"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textAlignment w:val="center"/>
              <w:rPr>
                <w:rFonts w:ascii="宋体" w:hAnsi="宋体" w:cs="宋体"/>
                <w:color w:val="000000"/>
                <w:kern w:val="0"/>
                <w:sz w:val="20"/>
                <w:szCs w:val="20"/>
              </w:rPr>
            </w:pPr>
          </w:p>
        </w:tc>
        <w:tc>
          <w:tcPr>
            <w:tcW w:w="921"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textAlignment w:val="center"/>
              <w:rPr>
                <w:rFonts w:ascii="宋体" w:hAnsi="宋体" w:cs="宋体"/>
                <w:color w:val="000000"/>
                <w:kern w:val="0"/>
                <w:sz w:val="20"/>
                <w:szCs w:val="20"/>
              </w:rPr>
            </w:pPr>
          </w:p>
        </w:tc>
        <w:tc>
          <w:tcPr>
            <w:tcW w:w="920" w:type="dxa"/>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textAlignment w:val="center"/>
              <w:rPr>
                <w:rFonts w:ascii="宋体" w:hAnsi="宋体" w:cs="宋体"/>
                <w:color w:val="000000"/>
                <w:kern w:val="0"/>
                <w:sz w:val="20"/>
                <w:szCs w:val="20"/>
              </w:rPr>
            </w:pPr>
          </w:p>
        </w:tc>
        <w:tc>
          <w:tcPr>
            <w:tcW w:w="926" w:type="dxa"/>
            <w:vMerge/>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1368C4" w:rsidRDefault="001368C4">
            <w:pPr>
              <w:widowControl/>
              <w:spacing w:after="0" w:line="240" w:lineRule="atLeast"/>
              <w:jc w:val="center"/>
              <w:textAlignment w:val="center"/>
              <w:rPr>
                <w:rFonts w:ascii="宋体" w:hAnsi="宋体" w:cs="宋体"/>
                <w:color w:val="000000"/>
                <w:kern w:val="0"/>
                <w:sz w:val="20"/>
                <w:szCs w:val="20"/>
              </w:rPr>
            </w:pPr>
          </w:p>
        </w:tc>
      </w:tr>
      <w:tr w:rsidR="001368C4">
        <w:trPr>
          <w:trHeight w:val="391"/>
          <w:jc w:val="center"/>
        </w:trPr>
        <w:tc>
          <w:tcPr>
            <w:tcW w:w="2352"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栏次</w:t>
            </w:r>
          </w:p>
        </w:tc>
        <w:tc>
          <w:tcPr>
            <w:tcW w:w="920"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w:t>
            </w:r>
          </w:p>
        </w:tc>
        <w:tc>
          <w:tcPr>
            <w:tcW w:w="92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w:t>
            </w:r>
          </w:p>
        </w:tc>
        <w:tc>
          <w:tcPr>
            <w:tcW w:w="921"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w:t>
            </w:r>
          </w:p>
        </w:tc>
        <w:tc>
          <w:tcPr>
            <w:tcW w:w="92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w:t>
            </w:r>
          </w:p>
        </w:tc>
        <w:tc>
          <w:tcPr>
            <w:tcW w:w="921"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w:t>
            </w:r>
          </w:p>
        </w:tc>
        <w:tc>
          <w:tcPr>
            <w:tcW w:w="9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6</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7</w:t>
            </w:r>
          </w:p>
        </w:tc>
      </w:tr>
      <w:tr w:rsidR="001368C4">
        <w:trPr>
          <w:trHeight w:val="90"/>
          <w:jc w:val="center"/>
        </w:trPr>
        <w:tc>
          <w:tcPr>
            <w:tcW w:w="2352"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合计</w:t>
            </w:r>
          </w:p>
        </w:tc>
        <w:tc>
          <w:tcPr>
            <w:tcW w:w="92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b/>
                <w:color w:val="000000"/>
                <w:sz w:val="18"/>
                <w:szCs w:val="18"/>
              </w:rPr>
            </w:pPr>
            <w:r>
              <w:rPr>
                <w:rFonts w:ascii="宋体" w:hAnsi="宋体" w:cs="宋体" w:hint="eastAsia"/>
                <w:b/>
                <w:color w:val="000000"/>
                <w:sz w:val="18"/>
                <w:szCs w:val="18"/>
              </w:rPr>
              <w:t>65.37</w:t>
            </w:r>
          </w:p>
        </w:tc>
        <w:tc>
          <w:tcPr>
            <w:tcW w:w="920" w:type="dxa"/>
            <w:gridSpan w:val="2"/>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b/>
                <w:color w:val="000000"/>
                <w:sz w:val="18"/>
                <w:szCs w:val="18"/>
              </w:rPr>
            </w:pPr>
            <w:r>
              <w:rPr>
                <w:rFonts w:ascii="宋体" w:hAnsi="宋体" w:cs="宋体" w:hint="eastAsia"/>
                <w:b/>
                <w:color w:val="000000"/>
                <w:sz w:val="18"/>
                <w:szCs w:val="18"/>
              </w:rPr>
              <w:t>65.37</w:t>
            </w:r>
          </w:p>
        </w:tc>
        <w:tc>
          <w:tcPr>
            <w:tcW w:w="921" w:type="dxa"/>
            <w:gridSpan w:val="2"/>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b/>
                <w:color w:val="000000"/>
                <w:sz w:val="18"/>
                <w:szCs w:val="18"/>
              </w:rPr>
            </w:pPr>
          </w:p>
        </w:tc>
        <w:tc>
          <w:tcPr>
            <w:tcW w:w="920" w:type="dxa"/>
            <w:gridSpan w:val="2"/>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b/>
                <w:color w:val="000000"/>
                <w:sz w:val="18"/>
                <w:szCs w:val="18"/>
              </w:rPr>
            </w:pPr>
          </w:p>
        </w:tc>
        <w:tc>
          <w:tcPr>
            <w:tcW w:w="921" w:type="dxa"/>
            <w:gridSpan w:val="2"/>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b/>
                <w:color w:val="000000"/>
                <w:sz w:val="18"/>
                <w:szCs w:val="18"/>
              </w:rPr>
            </w:pPr>
          </w:p>
        </w:tc>
        <w:tc>
          <w:tcPr>
            <w:tcW w:w="920"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b/>
                <w:color w:val="000000"/>
                <w:sz w:val="18"/>
                <w:szCs w:val="18"/>
              </w:rPr>
            </w:pPr>
          </w:p>
        </w:tc>
        <w:tc>
          <w:tcPr>
            <w:tcW w:w="926"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b/>
                <w:color w:val="000000"/>
                <w:sz w:val="18"/>
                <w:szCs w:val="18"/>
              </w:rPr>
            </w:pPr>
          </w:p>
        </w:tc>
      </w:tr>
      <w:tr w:rsidR="001368C4">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206</w:t>
            </w: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 w:val="18"/>
                <w:szCs w:val="18"/>
              </w:rPr>
            </w:pPr>
            <w:r>
              <w:rPr>
                <w:rFonts w:ascii="宋体" w:hAnsi="宋体" w:cs="宋体" w:hint="eastAsia"/>
                <w:color w:val="000000"/>
                <w:sz w:val="18"/>
                <w:szCs w:val="18"/>
              </w:rPr>
              <w:t>科学技术支出</w:t>
            </w: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48.55</w:t>
            </w: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48.55</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r>
      <w:tr w:rsidR="001368C4">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20607</w:t>
            </w: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 w:val="18"/>
                <w:szCs w:val="18"/>
              </w:rPr>
            </w:pPr>
            <w:r>
              <w:rPr>
                <w:rFonts w:ascii="宋体" w:hAnsi="宋体" w:cs="宋体" w:hint="eastAsia"/>
                <w:color w:val="000000"/>
                <w:sz w:val="18"/>
                <w:szCs w:val="18"/>
              </w:rPr>
              <w:t>科学技术普及</w:t>
            </w: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48.55</w:t>
            </w: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48.55</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r>
      <w:tr w:rsidR="001368C4">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2060701</w:t>
            </w: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 w:val="18"/>
                <w:szCs w:val="18"/>
              </w:rPr>
            </w:pPr>
            <w:r>
              <w:rPr>
                <w:rFonts w:ascii="宋体" w:hAnsi="宋体" w:cs="宋体" w:hint="eastAsia"/>
                <w:color w:val="000000"/>
                <w:sz w:val="18"/>
                <w:szCs w:val="18"/>
              </w:rPr>
              <w:t>机构运行</w:t>
            </w: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44.55</w:t>
            </w: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44.55</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r>
      <w:tr w:rsidR="001368C4">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2060702</w:t>
            </w: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 w:val="18"/>
                <w:szCs w:val="18"/>
              </w:rPr>
            </w:pPr>
            <w:r>
              <w:rPr>
                <w:rFonts w:ascii="宋体" w:hAnsi="宋体" w:cs="宋体" w:hint="eastAsia"/>
                <w:color w:val="000000"/>
                <w:sz w:val="18"/>
                <w:szCs w:val="18"/>
              </w:rPr>
              <w:t>科普活动</w:t>
            </w: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3</w:t>
            </w: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3</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r>
      <w:tr w:rsidR="001368C4">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2060799</w:t>
            </w: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 w:val="18"/>
                <w:szCs w:val="18"/>
              </w:rPr>
            </w:pPr>
            <w:r>
              <w:rPr>
                <w:rFonts w:ascii="宋体" w:hAnsi="宋体" w:cs="宋体" w:hint="eastAsia"/>
                <w:color w:val="000000"/>
                <w:sz w:val="18"/>
                <w:szCs w:val="18"/>
              </w:rPr>
              <w:t>其他科学技术普及支出</w:t>
            </w: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w:t>
            </w: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r>
      <w:tr w:rsidR="001368C4">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208</w:t>
            </w: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 w:val="18"/>
                <w:szCs w:val="18"/>
              </w:rPr>
            </w:pPr>
            <w:r>
              <w:rPr>
                <w:rFonts w:ascii="宋体" w:hAnsi="宋体" w:cs="宋体" w:hint="eastAsia"/>
                <w:color w:val="000000"/>
                <w:sz w:val="18"/>
                <w:szCs w:val="18"/>
              </w:rPr>
              <w:t>社会保障和就业支出</w:t>
            </w: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16.82</w:t>
            </w: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16.82</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r>
      <w:tr w:rsidR="001368C4">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20808</w:t>
            </w: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 w:val="18"/>
                <w:szCs w:val="18"/>
              </w:rPr>
            </w:pPr>
            <w:r>
              <w:rPr>
                <w:rFonts w:ascii="宋体" w:hAnsi="宋体" w:cs="宋体" w:hint="eastAsia"/>
                <w:color w:val="000000"/>
                <w:sz w:val="18"/>
                <w:szCs w:val="18"/>
              </w:rPr>
              <w:t>抚恤</w:t>
            </w: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16.82</w:t>
            </w: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16.82</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r>
      <w:tr w:rsidR="001368C4">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2080801</w:t>
            </w: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 w:val="18"/>
                <w:szCs w:val="18"/>
              </w:rPr>
            </w:pPr>
            <w:r>
              <w:rPr>
                <w:rFonts w:ascii="宋体" w:hAnsi="宋体" w:cs="宋体" w:hint="eastAsia"/>
                <w:color w:val="000000"/>
                <w:sz w:val="18"/>
                <w:szCs w:val="18"/>
              </w:rPr>
              <w:t>死亡抚恤</w:t>
            </w: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16.82</w:t>
            </w: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16.82</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r>
      <w:tr w:rsidR="001368C4">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Cs w:val="21"/>
              </w:rPr>
            </w:pP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Cs w:val="21"/>
              </w:rPr>
            </w:pP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r>
      <w:tr w:rsidR="001368C4">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Cs w:val="21"/>
              </w:rPr>
            </w:pP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Cs w:val="21"/>
              </w:rPr>
            </w:pP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r>
      <w:tr w:rsidR="001368C4">
        <w:trPr>
          <w:trHeight w:val="481"/>
          <w:jc w:val="center"/>
        </w:trPr>
        <w:tc>
          <w:tcPr>
            <w:tcW w:w="8800" w:type="dxa"/>
            <w:gridSpan w:val="17"/>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注：本表反映部门本年度取得的各项收入情况。</w:t>
            </w:r>
          </w:p>
        </w:tc>
      </w:tr>
    </w:tbl>
    <w:p w:rsidR="001368C4" w:rsidRDefault="001368C4">
      <w:pPr>
        <w:widowControl/>
        <w:spacing w:after="0" w:line="560" w:lineRule="exact"/>
        <w:jc w:val="left"/>
        <w:rPr>
          <w:rFonts w:ascii="仿宋_GB2312" w:eastAsia="仿宋_GB2312" w:hAnsiTheme="majorEastAsia"/>
          <w:b/>
          <w:sz w:val="28"/>
          <w:szCs w:val="28"/>
          <w:highlight w:val="yellow"/>
        </w:rPr>
        <w:sectPr w:rsidR="001368C4">
          <w:pgSz w:w="11906" w:h="16838"/>
          <w:pgMar w:top="2098" w:right="1474" w:bottom="1984" w:left="1588" w:header="851" w:footer="992" w:gutter="0"/>
          <w:cols w:space="0"/>
          <w:docGrid w:type="lines" w:linePitch="312"/>
        </w:sectPr>
      </w:pPr>
    </w:p>
    <w:tbl>
      <w:tblPr>
        <w:tblW w:w="9000" w:type="dxa"/>
        <w:tblLayout w:type="fixed"/>
        <w:tblCellMar>
          <w:left w:w="0" w:type="dxa"/>
          <w:right w:w="0" w:type="dxa"/>
        </w:tblCellMar>
        <w:tblLook w:val="04A0"/>
      </w:tblPr>
      <w:tblGrid>
        <w:gridCol w:w="290"/>
        <w:gridCol w:w="289"/>
        <w:gridCol w:w="803"/>
        <w:gridCol w:w="1117"/>
        <w:gridCol w:w="647"/>
        <w:gridCol w:w="436"/>
        <w:gridCol w:w="682"/>
        <w:gridCol w:w="402"/>
        <w:gridCol w:w="718"/>
        <w:gridCol w:w="365"/>
        <w:gridCol w:w="753"/>
        <w:gridCol w:w="331"/>
        <w:gridCol w:w="789"/>
        <w:gridCol w:w="294"/>
        <w:gridCol w:w="1084"/>
      </w:tblGrid>
      <w:tr w:rsidR="001368C4">
        <w:trPr>
          <w:trHeight w:val="798"/>
        </w:trPr>
        <w:tc>
          <w:tcPr>
            <w:tcW w:w="9000" w:type="dxa"/>
            <w:gridSpan w:val="15"/>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tLeast"/>
              <w:jc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支出决算表</w:t>
            </w:r>
          </w:p>
        </w:tc>
      </w:tr>
      <w:tr w:rsidR="001368C4">
        <w:trPr>
          <w:trHeight w:val="404"/>
        </w:trPr>
        <w:tc>
          <w:tcPr>
            <w:tcW w:w="290"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03</w:t>
            </w:r>
            <w:r>
              <w:rPr>
                <w:rFonts w:ascii="宋体" w:hAnsi="宋体" w:cs="宋体" w:hint="eastAsia"/>
                <w:color w:val="000000"/>
                <w:kern w:val="0"/>
                <w:szCs w:val="21"/>
              </w:rPr>
              <w:t>表</w:t>
            </w:r>
          </w:p>
        </w:tc>
      </w:tr>
      <w:tr w:rsidR="001368C4">
        <w:trPr>
          <w:trHeight w:val="380"/>
        </w:trPr>
        <w:tc>
          <w:tcPr>
            <w:tcW w:w="3146" w:type="dxa"/>
            <w:gridSpan w:val="5"/>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部门：无极县科学技术协会</w:t>
            </w:r>
          </w:p>
        </w:tc>
        <w:tc>
          <w:tcPr>
            <w:tcW w:w="1118"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1368C4">
        <w:trPr>
          <w:trHeight w:val="837"/>
        </w:trPr>
        <w:tc>
          <w:tcPr>
            <w:tcW w:w="2499"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1083"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本年支出合计</w:t>
            </w:r>
          </w:p>
        </w:tc>
        <w:tc>
          <w:tcPr>
            <w:tcW w:w="1084"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基本支出</w:t>
            </w:r>
          </w:p>
        </w:tc>
        <w:tc>
          <w:tcPr>
            <w:tcW w:w="1083"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项目支出</w:t>
            </w:r>
          </w:p>
        </w:tc>
        <w:tc>
          <w:tcPr>
            <w:tcW w:w="1084"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上缴上级支出</w:t>
            </w:r>
          </w:p>
        </w:tc>
        <w:tc>
          <w:tcPr>
            <w:tcW w:w="1083"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经营支出</w:t>
            </w:r>
          </w:p>
        </w:tc>
        <w:tc>
          <w:tcPr>
            <w:tcW w:w="1084" w:type="dxa"/>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对附属单位补助支出</w:t>
            </w:r>
          </w:p>
        </w:tc>
      </w:tr>
      <w:tr w:rsidR="001368C4">
        <w:trPr>
          <w:trHeight w:val="782"/>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功能分类科目编码</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1083"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rPr>
                <w:rFonts w:ascii="宋体" w:hAnsi="宋体" w:cs="宋体"/>
                <w:color w:val="000000"/>
                <w:szCs w:val="21"/>
              </w:rPr>
            </w:pPr>
          </w:p>
        </w:tc>
        <w:tc>
          <w:tcPr>
            <w:tcW w:w="1084"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rPr>
                <w:rFonts w:ascii="宋体" w:hAnsi="宋体" w:cs="宋体"/>
                <w:color w:val="000000"/>
                <w:szCs w:val="21"/>
              </w:rPr>
            </w:pPr>
          </w:p>
        </w:tc>
        <w:tc>
          <w:tcPr>
            <w:tcW w:w="1083"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rPr>
                <w:rFonts w:ascii="宋体" w:hAnsi="宋体" w:cs="宋体"/>
                <w:color w:val="000000"/>
                <w:szCs w:val="21"/>
              </w:rPr>
            </w:pPr>
          </w:p>
        </w:tc>
        <w:tc>
          <w:tcPr>
            <w:tcW w:w="1084"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rPr>
                <w:rFonts w:ascii="宋体" w:hAnsi="宋体" w:cs="宋体"/>
                <w:color w:val="000000"/>
                <w:szCs w:val="21"/>
              </w:rPr>
            </w:pPr>
          </w:p>
        </w:tc>
        <w:tc>
          <w:tcPr>
            <w:tcW w:w="1083"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rPr>
                <w:rFonts w:ascii="宋体" w:hAnsi="宋体" w:cs="宋体"/>
                <w:color w:val="000000"/>
                <w:szCs w:val="21"/>
              </w:rPr>
            </w:pPr>
          </w:p>
        </w:tc>
        <w:tc>
          <w:tcPr>
            <w:tcW w:w="1084" w:type="dxa"/>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rPr>
                <w:rFonts w:ascii="宋体" w:hAnsi="宋体" w:cs="宋体"/>
                <w:color w:val="000000"/>
                <w:szCs w:val="21"/>
              </w:rPr>
            </w:pPr>
          </w:p>
        </w:tc>
      </w:tr>
      <w:tr w:rsidR="001368C4">
        <w:trPr>
          <w:trHeight w:val="395"/>
        </w:trPr>
        <w:tc>
          <w:tcPr>
            <w:tcW w:w="2499"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6</w:t>
            </w:r>
          </w:p>
        </w:tc>
      </w:tr>
      <w:tr w:rsidR="001368C4">
        <w:trPr>
          <w:trHeight w:val="440"/>
        </w:trPr>
        <w:tc>
          <w:tcPr>
            <w:tcW w:w="2499"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tabs>
                <w:tab w:val="left" w:pos="569"/>
              </w:tabs>
              <w:spacing w:after="0" w:line="240" w:lineRule="atLeast"/>
              <w:jc w:val="left"/>
              <w:rPr>
                <w:rFonts w:ascii="宋体" w:hAnsi="宋体" w:cs="宋体"/>
                <w:b/>
                <w:color w:val="000000"/>
                <w:szCs w:val="21"/>
              </w:rPr>
            </w:pPr>
            <w:r>
              <w:rPr>
                <w:rFonts w:ascii="宋体" w:hAnsi="宋体" w:cs="宋体" w:hint="eastAsia"/>
                <w:b/>
                <w:color w:val="000000"/>
                <w:szCs w:val="21"/>
              </w:rPr>
              <w:t>68.41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b/>
                <w:color w:val="000000"/>
                <w:szCs w:val="21"/>
              </w:rPr>
            </w:pPr>
            <w:r>
              <w:rPr>
                <w:rFonts w:ascii="宋体" w:hAnsi="宋体" w:cs="宋体" w:hint="eastAsia"/>
                <w:b/>
                <w:color w:val="000000"/>
                <w:szCs w:val="21"/>
              </w:rPr>
              <w:t>60.20</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b/>
                <w:color w:val="000000"/>
                <w:szCs w:val="21"/>
              </w:rPr>
            </w:pPr>
            <w:r>
              <w:rPr>
                <w:rFonts w:ascii="宋体" w:hAnsi="宋体" w:cs="宋体" w:hint="eastAsia"/>
                <w:b/>
                <w:color w:val="000000"/>
                <w:szCs w:val="21"/>
              </w:rPr>
              <w:t>8.21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b/>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b/>
                <w:color w:val="000000"/>
                <w:szCs w:val="21"/>
              </w:rPr>
            </w:pPr>
          </w:p>
        </w:tc>
      </w:tr>
      <w:tr w:rsidR="001368C4">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206</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 w:val="18"/>
                <w:szCs w:val="18"/>
              </w:rPr>
              <w:t>科学技术支出</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51.59</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43.38</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8.21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r>
      <w:tr w:rsidR="001368C4">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20607</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 w:val="18"/>
                <w:szCs w:val="18"/>
              </w:rPr>
              <w:t>科学技术普及</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51.59</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43.38</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8.21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r>
      <w:tr w:rsidR="001368C4">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2060701</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 w:val="18"/>
                <w:szCs w:val="18"/>
              </w:rPr>
              <w:t>机构运行</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44.58</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43.38</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1.2</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r>
      <w:tr w:rsidR="001368C4">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2060702</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 w:val="18"/>
                <w:szCs w:val="18"/>
              </w:rPr>
              <w:t>科普活动</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6.01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6.01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r>
      <w:tr w:rsidR="001368C4">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2060799</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 w:val="18"/>
                <w:szCs w:val="18"/>
              </w:rPr>
              <w:t>其他科学技术普及支出</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r>
      <w:tr w:rsidR="001368C4">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208</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 w:val="18"/>
                <w:szCs w:val="18"/>
              </w:rPr>
              <w:t>社会保障和就业支出</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16.82</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16.82</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r>
      <w:tr w:rsidR="001368C4">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20808</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 w:val="18"/>
                <w:szCs w:val="18"/>
              </w:rPr>
              <w:t>抚恤</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16.82</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16.82</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r>
      <w:tr w:rsidR="001368C4">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2080801</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 w:val="18"/>
                <w:szCs w:val="18"/>
              </w:rPr>
              <w:t>死亡抚恤</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16.82</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16.82</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r>
      <w:tr w:rsidR="001368C4">
        <w:trPr>
          <w:trHeight w:val="748"/>
        </w:trPr>
        <w:tc>
          <w:tcPr>
            <w:tcW w:w="9000" w:type="dxa"/>
            <w:gridSpan w:val="15"/>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注：本表反映部门本年度各项支出情况。</w:t>
            </w:r>
          </w:p>
        </w:tc>
      </w:tr>
    </w:tbl>
    <w:p w:rsidR="001368C4" w:rsidRDefault="001368C4">
      <w:pPr>
        <w:widowControl/>
        <w:spacing w:after="0" w:line="560" w:lineRule="exact"/>
        <w:ind w:firstLineChars="200" w:firstLine="562"/>
        <w:jc w:val="left"/>
        <w:rPr>
          <w:rFonts w:ascii="仿宋_GB2312" w:eastAsia="仿宋_GB2312" w:hAnsiTheme="majorEastAsia"/>
          <w:b/>
          <w:sz w:val="28"/>
          <w:szCs w:val="28"/>
          <w:highlight w:val="yellow"/>
        </w:rPr>
        <w:sectPr w:rsidR="001368C4">
          <w:pgSz w:w="11906" w:h="16838"/>
          <w:pgMar w:top="2098" w:right="1474" w:bottom="1984" w:left="1588" w:header="851" w:footer="992" w:gutter="0"/>
          <w:cols w:space="0"/>
          <w:docGrid w:type="lines" w:linePitch="312"/>
        </w:sectPr>
      </w:pPr>
    </w:p>
    <w:tbl>
      <w:tblPr>
        <w:tblW w:w="8940" w:type="dxa"/>
        <w:tblLayout w:type="fixed"/>
        <w:tblCellMar>
          <w:left w:w="0" w:type="dxa"/>
          <w:right w:w="0" w:type="dxa"/>
        </w:tblCellMar>
        <w:tblLook w:val="04A0"/>
      </w:tblPr>
      <w:tblGrid>
        <w:gridCol w:w="1717"/>
        <w:gridCol w:w="745"/>
        <w:gridCol w:w="325"/>
        <w:gridCol w:w="850"/>
        <w:gridCol w:w="2124"/>
        <w:gridCol w:w="191"/>
        <w:gridCol w:w="360"/>
        <w:gridCol w:w="650"/>
        <w:gridCol w:w="226"/>
        <w:gridCol w:w="599"/>
        <w:gridCol w:w="277"/>
        <w:gridCol w:w="876"/>
      </w:tblGrid>
      <w:tr w:rsidR="001368C4">
        <w:trPr>
          <w:trHeight w:val="152"/>
        </w:trPr>
        <w:tc>
          <w:tcPr>
            <w:tcW w:w="8940" w:type="dxa"/>
            <w:gridSpan w:val="12"/>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财政拨款收入支出决算总表</w:t>
            </w:r>
          </w:p>
        </w:tc>
      </w:tr>
      <w:tr w:rsidR="001368C4">
        <w:trPr>
          <w:trHeight w:val="90"/>
        </w:trPr>
        <w:tc>
          <w:tcPr>
            <w:tcW w:w="1717"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tLeast"/>
              <w:jc w:val="right"/>
              <w:textAlignment w:val="center"/>
              <w:rPr>
                <w:rFonts w:ascii="宋体" w:hAnsi="宋体" w:cs="宋体"/>
                <w:color w:val="000000"/>
                <w:sz w:val="20"/>
                <w:szCs w:val="20"/>
              </w:rPr>
            </w:pPr>
            <w:r>
              <w:rPr>
                <w:rFonts w:ascii="宋体" w:hAnsi="宋体" w:cs="宋体" w:hint="eastAsia"/>
                <w:color w:val="000000"/>
                <w:kern w:val="0"/>
                <w:sz w:val="20"/>
                <w:szCs w:val="20"/>
              </w:rPr>
              <w:t>公开</w:t>
            </w:r>
            <w:r>
              <w:rPr>
                <w:rFonts w:ascii="宋体" w:hAnsi="宋体" w:cs="宋体" w:hint="eastAsia"/>
                <w:color w:val="000000"/>
                <w:kern w:val="0"/>
                <w:sz w:val="20"/>
                <w:szCs w:val="20"/>
              </w:rPr>
              <w:t>04</w:t>
            </w:r>
            <w:r>
              <w:rPr>
                <w:rFonts w:ascii="宋体" w:hAnsi="宋体" w:cs="宋体" w:hint="eastAsia"/>
                <w:color w:val="000000"/>
                <w:kern w:val="0"/>
                <w:sz w:val="20"/>
                <w:szCs w:val="20"/>
              </w:rPr>
              <w:t>表</w:t>
            </w:r>
          </w:p>
        </w:tc>
      </w:tr>
      <w:tr w:rsidR="001368C4">
        <w:trPr>
          <w:trHeight w:val="152"/>
        </w:trPr>
        <w:tc>
          <w:tcPr>
            <w:tcW w:w="6312" w:type="dxa"/>
            <w:gridSpan w:val="7"/>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20"/>
                <w:szCs w:val="20"/>
              </w:rPr>
            </w:pPr>
            <w:r>
              <w:rPr>
                <w:rFonts w:ascii="宋体" w:hAnsi="宋体" w:cs="宋体" w:hint="eastAsia"/>
                <w:color w:val="000000"/>
                <w:kern w:val="0"/>
                <w:sz w:val="20"/>
                <w:szCs w:val="20"/>
              </w:rPr>
              <w:t>部门：无极县科学技术协会</w:t>
            </w:r>
          </w:p>
        </w:tc>
        <w:tc>
          <w:tcPr>
            <w:tcW w:w="650"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tLeast"/>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1368C4">
        <w:trPr>
          <w:trHeight w:val="90"/>
        </w:trPr>
        <w:tc>
          <w:tcPr>
            <w:tcW w:w="2787"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收</w:t>
            </w:r>
            <w:r>
              <w:rPr>
                <w:rFonts w:ascii="宋体" w:hAnsi="宋体" w:cs="宋体" w:hint="eastAsia"/>
                <w:color w:val="000000"/>
                <w:kern w:val="0"/>
                <w:sz w:val="20"/>
                <w:szCs w:val="20"/>
              </w:rPr>
              <w:t xml:space="preserve">     </w:t>
            </w:r>
            <w:r>
              <w:rPr>
                <w:rFonts w:ascii="宋体" w:hAnsi="宋体" w:cs="宋体" w:hint="eastAsia"/>
                <w:color w:val="000000"/>
                <w:kern w:val="0"/>
                <w:sz w:val="20"/>
                <w:szCs w:val="20"/>
              </w:rPr>
              <w:t>入</w:t>
            </w:r>
          </w:p>
        </w:tc>
        <w:tc>
          <w:tcPr>
            <w:tcW w:w="6153" w:type="dxa"/>
            <w:gridSpan w:val="9"/>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支</w:t>
            </w:r>
            <w:r>
              <w:rPr>
                <w:rFonts w:ascii="宋体" w:hAnsi="宋体" w:cs="宋体" w:hint="eastAsia"/>
                <w:color w:val="000000"/>
                <w:kern w:val="0"/>
                <w:sz w:val="20"/>
                <w:szCs w:val="20"/>
              </w:rPr>
              <w:t xml:space="preserve">     </w:t>
            </w:r>
            <w:r>
              <w:rPr>
                <w:rFonts w:ascii="宋体" w:hAnsi="宋体" w:cs="宋体" w:hint="eastAsia"/>
                <w:color w:val="000000"/>
                <w:kern w:val="0"/>
                <w:sz w:val="20"/>
                <w:szCs w:val="20"/>
              </w:rPr>
              <w:t>出</w:t>
            </w:r>
          </w:p>
        </w:tc>
      </w:tr>
      <w:tr w:rsidR="001368C4">
        <w:trPr>
          <w:trHeight w:val="17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项目</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行次</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金额</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项目</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行次</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合计</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一般公共预算财政拨款</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政府性基金预算财政拨款</w:t>
            </w: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栏次</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rPr>
                <w:rFonts w:ascii="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栏次</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w:t>
            </w:r>
          </w:p>
        </w:tc>
      </w:tr>
      <w:tr w:rsidR="001368C4">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一、一般公共预算财政拨款</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65.37</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一、一般公共服务支出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29</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二、政府性基金预算财政拨款</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二、外交支出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30</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三、国防支出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31</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四、公共安全支出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32</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五、教育支出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33</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6</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六、科学技术支出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34</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51.59</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51.59</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7</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七、文化体育与传媒支出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35</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8</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八、社会保障和就业支出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36</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16.82</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16.82</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9</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6"/>
                <w:szCs w:val="16"/>
              </w:rPr>
              <w:t>九、医疗卫生与计划生育支出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37</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10</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十、节能环保支出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38</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11</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十一、城乡社区支出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39</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12</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十二、农林水支出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40</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13</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十三、交通运输支出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41</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14</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十四、资源勘探信息等支出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42</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15</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十五、商业服务业等支出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43</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16</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十六、金融支出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44</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17</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十七、援助其他地区支出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45</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18</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十八、国土海洋气象等支出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46</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19</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十九、住房保障支出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47</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20</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二十、粮油物资储备支出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48</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21</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二十一、其他支出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49</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22</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二十二、债务还本支出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50</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23</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二十三、债务付息支出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51</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本年收入合计</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24</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65.37</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本年支出合计</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52</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68.41</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68.41</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年初财政拨款结转和结余</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25</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3.5</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年末财政拨款结转和结余</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53</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0.46</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0.46</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一般公共预算财政拨款</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26</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3.5</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 w:val="18"/>
                <w:szCs w:val="18"/>
              </w:rPr>
            </w:pP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54</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政府性基金预算财政拨款</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27</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 w:val="18"/>
                <w:szCs w:val="18"/>
              </w:rPr>
            </w:pP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55</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总计</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28</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68.87</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总计</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56</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68.87</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68.87</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 w:val="18"/>
                <w:szCs w:val="18"/>
              </w:rPr>
            </w:pPr>
          </w:p>
        </w:tc>
      </w:tr>
      <w:tr w:rsidR="001368C4">
        <w:trPr>
          <w:trHeight w:val="155"/>
        </w:trPr>
        <w:tc>
          <w:tcPr>
            <w:tcW w:w="8940" w:type="dxa"/>
            <w:gridSpan w:val="12"/>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注：本表反映部门本年度一般公共预算财政拨款和政府性基金预算财政拨款的总收支和年末结转结余情况。</w:t>
            </w:r>
          </w:p>
        </w:tc>
      </w:tr>
    </w:tbl>
    <w:p w:rsidR="001368C4" w:rsidRDefault="001368C4">
      <w:pPr>
        <w:widowControl/>
        <w:spacing w:after="0" w:line="560" w:lineRule="exact"/>
        <w:jc w:val="left"/>
        <w:rPr>
          <w:rFonts w:ascii="仿宋_GB2312" w:eastAsia="仿宋_GB2312" w:hAnsiTheme="majorEastAsia"/>
          <w:b/>
          <w:sz w:val="28"/>
          <w:szCs w:val="28"/>
          <w:highlight w:val="yellow"/>
        </w:rPr>
        <w:sectPr w:rsidR="001368C4">
          <w:pgSz w:w="11906" w:h="16838"/>
          <w:pgMar w:top="2098" w:right="1474" w:bottom="1984" w:left="1588" w:header="851" w:footer="992" w:gutter="0"/>
          <w:cols w:space="0"/>
          <w:docGrid w:type="lines" w:linePitch="312"/>
        </w:sectPr>
      </w:pPr>
    </w:p>
    <w:tbl>
      <w:tblPr>
        <w:tblW w:w="8860" w:type="dxa"/>
        <w:tblLayout w:type="fixed"/>
        <w:tblCellMar>
          <w:left w:w="0" w:type="dxa"/>
          <w:right w:w="0" w:type="dxa"/>
        </w:tblCellMar>
        <w:tblLook w:val="04A0"/>
      </w:tblPr>
      <w:tblGrid>
        <w:gridCol w:w="317"/>
        <w:gridCol w:w="319"/>
        <w:gridCol w:w="357"/>
        <w:gridCol w:w="2109"/>
        <w:gridCol w:w="745"/>
        <w:gridCol w:w="1174"/>
        <w:gridCol w:w="718"/>
        <w:gridCol w:w="1201"/>
        <w:gridCol w:w="1920"/>
      </w:tblGrid>
      <w:tr w:rsidR="001368C4">
        <w:trPr>
          <w:trHeight w:val="600"/>
        </w:trPr>
        <w:tc>
          <w:tcPr>
            <w:tcW w:w="8860" w:type="dxa"/>
            <w:gridSpan w:val="9"/>
            <w:tcBorders>
              <w:top w:val="nil"/>
              <w:left w:val="nil"/>
              <w:bottom w:val="nil"/>
              <w:right w:val="nil"/>
            </w:tcBorders>
            <w:shd w:val="clear" w:color="auto" w:fill="auto"/>
            <w:tcMar>
              <w:top w:w="15" w:type="dxa"/>
              <w:left w:w="15" w:type="dxa"/>
              <w:right w:w="15" w:type="dxa"/>
            </w:tcMar>
            <w:vAlign w:val="bottom"/>
          </w:tcPr>
          <w:p w:rsidR="001368C4" w:rsidRDefault="00113FA3">
            <w:pPr>
              <w:widowControl/>
              <w:spacing w:after="0" w:line="240" w:lineRule="auto"/>
              <w:jc w:val="center"/>
              <w:textAlignment w:val="bottom"/>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一般公共预算财政拨款支出决算表</w:t>
            </w:r>
          </w:p>
        </w:tc>
      </w:tr>
      <w:tr w:rsidR="001368C4">
        <w:trPr>
          <w:trHeight w:val="334"/>
        </w:trPr>
        <w:tc>
          <w:tcPr>
            <w:tcW w:w="317"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05</w:t>
            </w:r>
            <w:r>
              <w:rPr>
                <w:rFonts w:ascii="宋体" w:hAnsi="宋体" w:cs="宋体" w:hint="eastAsia"/>
                <w:color w:val="000000"/>
                <w:kern w:val="0"/>
                <w:szCs w:val="21"/>
              </w:rPr>
              <w:t>表</w:t>
            </w:r>
          </w:p>
        </w:tc>
      </w:tr>
      <w:tr w:rsidR="001368C4">
        <w:trPr>
          <w:trHeight w:val="334"/>
        </w:trPr>
        <w:tc>
          <w:tcPr>
            <w:tcW w:w="3847" w:type="dxa"/>
            <w:gridSpan w:val="5"/>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部门：无极县科学技术协会</w:t>
            </w:r>
          </w:p>
        </w:tc>
        <w:tc>
          <w:tcPr>
            <w:tcW w:w="1892"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1368C4">
        <w:trPr>
          <w:trHeight w:val="351"/>
        </w:trPr>
        <w:tc>
          <w:tcPr>
            <w:tcW w:w="3102"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5758" w:type="dxa"/>
            <w:gridSpan w:val="5"/>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本年支出</w:t>
            </w:r>
          </w:p>
        </w:tc>
      </w:tr>
      <w:tr w:rsidR="001368C4">
        <w:trPr>
          <w:trHeight w:val="334"/>
        </w:trPr>
        <w:tc>
          <w:tcPr>
            <w:tcW w:w="993"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功能分类科目编码</w:t>
            </w:r>
          </w:p>
        </w:tc>
        <w:tc>
          <w:tcPr>
            <w:tcW w:w="210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1919"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919"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基本支出</w:t>
            </w:r>
          </w:p>
        </w:tc>
        <w:tc>
          <w:tcPr>
            <w:tcW w:w="192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项目支出</w:t>
            </w:r>
          </w:p>
        </w:tc>
      </w:tr>
      <w:tr w:rsidR="001368C4">
        <w:trPr>
          <w:trHeight w:val="334"/>
        </w:trPr>
        <w:tc>
          <w:tcPr>
            <w:tcW w:w="993"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rPr>
                <w:rFonts w:ascii="宋体" w:hAnsi="宋体" w:cs="宋体"/>
                <w:color w:val="000000"/>
                <w:szCs w:val="21"/>
              </w:rPr>
            </w:pPr>
          </w:p>
        </w:tc>
        <w:tc>
          <w:tcPr>
            <w:tcW w:w="210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rPr>
                <w:rFonts w:ascii="宋体" w:hAnsi="宋体" w:cs="宋体"/>
                <w:color w:val="000000"/>
                <w:szCs w:val="21"/>
              </w:rPr>
            </w:pPr>
          </w:p>
        </w:tc>
        <w:tc>
          <w:tcPr>
            <w:tcW w:w="192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rPr>
                <w:rFonts w:ascii="宋体" w:hAnsi="宋体" w:cs="宋体"/>
                <w:color w:val="000000"/>
                <w:szCs w:val="21"/>
              </w:rPr>
            </w:pPr>
          </w:p>
        </w:tc>
      </w:tr>
      <w:tr w:rsidR="001368C4">
        <w:trPr>
          <w:trHeight w:val="312"/>
        </w:trPr>
        <w:tc>
          <w:tcPr>
            <w:tcW w:w="993"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rPr>
                <w:rFonts w:ascii="宋体" w:hAnsi="宋体" w:cs="宋体"/>
                <w:color w:val="000000"/>
                <w:szCs w:val="21"/>
              </w:rPr>
            </w:pPr>
          </w:p>
        </w:tc>
        <w:tc>
          <w:tcPr>
            <w:tcW w:w="210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rPr>
                <w:rFonts w:ascii="宋体" w:hAnsi="宋体" w:cs="宋体"/>
                <w:color w:val="000000"/>
                <w:szCs w:val="21"/>
              </w:rPr>
            </w:pPr>
          </w:p>
        </w:tc>
        <w:tc>
          <w:tcPr>
            <w:tcW w:w="192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center"/>
              <w:rPr>
                <w:rFonts w:ascii="宋体" w:hAnsi="宋体" w:cs="宋体"/>
                <w:color w:val="000000"/>
                <w:szCs w:val="21"/>
              </w:rPr>
            </w:pPr>
          </w:p>
        </w:tc>
      </w:tr>
      <w:tr w:rsidR="001368C4">
        <w:trPr>
          <w:trHeight w:val="368"/>
        </w:trPr>
        <w:tc>
          <w:tcPr>
            <w:tcW w:w="3102"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3</w:t>
            </w:r>
          </w:p>
        </w:tc>
      </w:tr>
      <w:tr w:rsidR="001368C4">
        <w:trPr>
          <w:trHeight w:val="368"/>
        </w:trPr>
        <w:tc>
          <w:tcPr>
            <w:tcW w:w="3102"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b/>
                <w:color w:val="000000"/>
                <w:szCs w:val="21"/>
              </w:rPr>
            </w:pPr>
            <w:r>
              <w:rPr>
                <w:rFonts w:ascii="宋体" w:hAnsi="宋体" w:cs="宋体" w:hint="eastAsia"/>
                <w:b/>
                <w:color w:val="000000"/>
                <w:szCs w:val="21"/>
              </w:rPr>
              <w:t>68.41</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b/>
                <w:color w:val="000000"/>
                <w:szCs w:val="21"/>
              </w:rPr>
            </w:pPr>
            <w:r>
              <w:rPr>
                <w:rFonts w:ascii="宋体" w:hAnsi="宋体" w:cs="宋体" w:hint="eastAsia"/>
                <w:b/>
                <w:color w:val="000000"/>
                <w:szCs w:val="21"/>
              </w:rPr>
              <w:t>60.2</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b/>
                <w:color w:val="000000"/>
                <w:szCs w:val="21"/>
              </w:rPr>
            </w:pPr>
            <w:r>
              <w:rPr>
                <w:rFonts w:ascii="宋体" w:hAnsi="宋体" w:cs="宋体" w:hint="eastAsia"/>
                <w:b/>
                <w:color w:val="000000"/>
                <w:szCs w:val="21"/>
              </w:rPr>
              <w:t>8.21</w:t>
            </w:r>
          </w:p>
        </w:tc>
      </w:tr>
      <w:tr w:rsidR="001368C4">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206</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 w:val="18"/>
                <w:szCs w:val="18"/>
              </w:rPr>
              <w:t>科学技术支出</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51.59</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43.38</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8.21</w:t>
            </w:r>
          </w:p>
        </w:tc>
      </w:tr>
      <w:tr w:rsidR="001368C4">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20607</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 w:val="18"/>
                <w:szCs w:val="18"/>
              </w:rPr>
              <w:t>科学技术普及</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51.59</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43.38</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8.21</w:t>
            </w:r>
          </w:p>
        </w:tc>
      </w:tr>
      <w:tr w:rsidR="001368C4">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2060701</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 w:val="18"/>
                <w:szCs w:val="18"/>
              </w:rPr>
              <w:t>机构运行</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44.58</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43.38</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1.2</w:t>
            </w:r>
          </w:p>
        </w:tc>
      </w:tr>
      <w:tr w:rsidR="001368C4">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2060702</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 w:val="18"/>
                <w:szCs w:val="18"/>
              </w:rPr>
              <w:t>科普活动</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6.01</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6.01</w:t>
            </w:r>
          </w:p>
        </w:tc>
      </w:tr>
      <w:tr w:rsidR="001368C4">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2060799</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 w:val="18"/>
                <w:szCs w:val="18"/>
              </w:rPr>
              <w:t>其他科学技术普及支出</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w:t>
            </w:r>
          </w:p>
        </w:tc>
      </w:tr>
      <w:tr w:rsidR="001368C4">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208</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 w:val="18"/>
                <w:szCs w:val="18"/>
              </w:rPr>
              <w:t>社会保障和就业支出</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16.82</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16.82</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r>
      <w:tr w:rsidR="001368C4">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20808</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 w:val="18"/>
                <w:szCs w:val="18"/>
              </w:rPr>
              <w:t>抚恤</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16.82</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16.82</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r>
      <w:tr w:rsidR="001368C4">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2080801</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left"/>
              <w:rPr>
                <w:rFonts w:ascii="宋体" w:hAnsi="宋体" w:cs="宋体"/>
                <w:color w:val="000000"/>
                <w:szCs w:val="21"/>
              </w:rPr>
            </w:pPr>
            <w:r>
              <w:rPr>
                <w:rFonts w:ascii="宋体" w:hAnsi="宋体" w:cs="宋体" w:hint="eastAsia"/>
                <w:color w:val="000000"/>
                <w:szCs w:val="21"/>
              </w:rPr>
              <w:t>死亡抚恤</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16.82</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tLeast"/>
              <w:jc w:val="right"/>
              <w:rPr>
                <w:rFonts w:ascii="宋体" w:hAnsi="宋体" w:cs="宋体"/>
                <w:color w:val="000000"/>
                <w:szCs w:val="21"/>
              </w:rPr>
            </w:pPr>
            <w:r>
              <w:rPr>
                <w:rFonts w:ascii="宋体" w:hAnsi="宋体" w:cs="宋体" w:hint="eastAsia"/>
                <w:color w:val="000000"/>
                <w:szCs w:val="21"/>
              </w:rPr>
              <w:t>16.82</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r>
      <w:tr w:rsidR="001368C4">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Cs w:val="21"/>
              </w:rPr>
            </w:pP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lef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tLeast"/>
              <w:jc w:val="right"/>
              <w:rPr>
                <w:rFonts w:ascii="宋体" w:hAnsi="宋体" w:cs="宋体"/>
                <w:color w:val="000000"/>
                <w:szCs w:val="21"/>
              </w:rPr>
            </w:pPr>
          </w:p>
        </w:tc>
      </w:tr>
      <w:tr w:rsidR="001368C4">
        <w:trPr>
          <w:trHeight w:val="368"/>
        </w:trPr>
        <w:tc>
          <w:tcPr>
            <w:tcW w:w="8860" w:type="dxa"/>
            <w:gridSpan w:val="9"/>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注：本表反映部门本年度一般公共预算财政拨款收入及支出情况。</w:t>
            </w:r>
            <w:r>
              <w:rPr>
                <w:rFonts w:ascii="宋体" w:hAnsi="宋体" w:cs="宋体" w:hint="eastAsia"/>
                <w:color w:val="000000"/>
                <w:kern w:val="0"/>
                <w:szCs w:val="21"/>
              </w:rPr>
              <w:t xml:space="preserve">      </w:t>
            </w:r>
          </w:p>
        </w:tc>
      </w:tr>
    </w:tbl>
    <w:p w:rsidR="001368C4" w:rsidRDefault="001368C4">
      <w:pPr>
        <w:widowControl/>
        <w:spacing w:after="0" w:line="560" w:lineRule="exact"/>
        <w:jc w:val="left"/>
        <w:rPr>
          <w:rFonts w:ascii="仿宋_GB2312" w:eastAsia="仿宋_GB2312" w:hAnsiTheme="majorEastAsia"/>
          <w:b/>
          <w:sz w:val="28"/>
          <w:szCs w:val="28"/>
          <w:highlight w:val="yellow"/>
        </w:rPr>
        <w:sectPr w:rsidR="001368C4">
          <w:pgSz w:w="11906" w:h="16838"/>
          <w:pgMar w:top="2098" w:right="1474" w:bottom="1984" w:left="1588" w:header="851" w:footer="992" w:gutter="0"/>
          <w:cols w:space="0"/>
          <w:docGrid w:type="lines" w:linePitch="312"/>
        </w:sectPr>
      </w:pPr>
    </w:p>
    <w:tbl>
      <w:tblPr>
        <w:tblW w:w="9180" w:type="dxa"/>
        <w:jc w:val="center"/>
        <w:tblLayout w:type="fixed"/>
        <w:tblCellMar>
          <w:left w:w="0" w:type="dxa"/>
          <w:right w:w="0" w:type="dxa"/>
        </w:tblCellMar>
        <w:tblLook w:val="04A0"/>
      </w:tblPr>
      <w:tblGrid>
        <w:gridCol w:w="558"/>
        <w:gridCol w:w="1597"/>
        <w:gridCol w:w="840"/>
        <w:gridCol w:w="477"/>
        <w:gridCol w:w="1763"/>
        <w:gridCol w:w="740"/>
        <w:gridCol w:w="560"/>
        <w:gridCol w:w="1788"/>
        <w:gridCol w:w="857"/>
      </w:tblGrid>
      <w:tr w:rsidR="001368C4">
        <w:trPr>
          <w:trHeight w:val="526"/>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一般公共预算财政拨款基本支出决算表</w:t>
            </w:r>
          </w:p>
        </w:tc>
      </w:tr>
      <w:tr w:rsidR="001368C4">
        <w:trPr>
          <w:trHeight w:val="269"/>
          <w:jc w:val="center"/>
        </w:trPr>
        <w:tc>
          <w:tcPr>
            <w:tcW w:w="558"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公开</w:t>
            </w:r>
            <w:r>
              <w:rPr>
                <w:rFonts w:ascii="宋体" w:hAnsi="宋体" w:cs="宋体" w:hint="eastAsia"/>
                <w:color w:val="000000"/>
                <w:kern w:val="0"/>
                <w:sz w:val="22"/>
                <w:szCs w:val="22"/>
              </w:rPr>
              <w:t>06</w:t>
            </w:r>
            <w:r>
              <w:rPr>
                <w:rFonts w:ascii="宋体" w:hAnsi="宋体" w:cs="宋体" w:hint="eastAsia"/>
                <w:color w:val="000000"/>
                <w:kern w:val="0"/>
                <w:sz w:val="22"/>
                <w:szCs w:val="22"/>
              </w:rPr>
              <w:t>表</w:t>
            </w:r>
          </w:p>
        </w:tc>
      </w:tr>
      <w:tr w:rsidR="001368C4">
        <w:trPr>
          <w:trHeight w:val="269"/>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uto"/>
              <w:jc w:val="left"/>
              <w:textAlignment w:val="center"/>
              <w:rPr>
                <w:rFonts w:ascii="宋体" w:hAnsi="宋体" w:cs="宋体"/>
                <w:color w:val="000000"/>
                <w:sz w:val="22"/>
                <w:szCs w:val="22"/>
              </w:rPr>
            </w:pPr>
            <w:r>
              <w:rPr>
                <w:rFonts w:ascii="宋体" w:hAnsi="宋体" w:cs="宋体" w:hint="eastAsia"/>
                <w:color w:val="000000"/>
                <w:kern w:val="0"/>
                <w:sz w:val="22"/>
                <w:szCs w:val="22"/>
              </w:rPr>
              <w:t>部门：</w:t>
            </w:r>
          </w:p>
        </w:tc>
        <w:tc>
          <w:tcPr>
            <w:tcW w:w="740"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金额单位：万元</w:t>
            </w:r>
          </w:p>
        </w:tc>
      </w:tr>
      <w:tr w:rsidR="001368C4">
        <w:trPr>
          <w:trHeight w:val="277"/>
          <w:jc w:val="center"/>
        </w:trPr>
        <w:tc>
          <w:tcPr>
            <w:tcW w:w="2995"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人员经费</w:t>
            </w:r>
          </w:p>
        </w:tc>
        <w:tc>
          <w:tcPr>
            <w:tcW w:w="6185" w:type="dxa"/>
            <w:gridSpan w:val="6"/>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公用经费</w:t>
            </w:r>
          </w:p>
        </w:tc>
      </w:tr>
      <w:tr w:rsidR="001368C4">
        <w:trPr>
          <w:trHeight w:val="312"/>
          <w:jc w:val="center"/>
        </w:trPr>
        <w:tc>
          <w:tcPr>
            <w:tcW w:w="558"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科目编码</w:t>
            </w:r>
          </w:p>
        </w:tc>
        <w:tc>
          <w:tcPr>
            <w:tcW w:w="159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8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决算数</w:t>
            </w:r>
          </w:p>
        </w:tc>
        <w:tc>
          <w:tcPr>
            <w:tcW w:w="47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科目编码</w:t>
            </w:r>
          </w:p>
        </w:tc>
        <w:tc>
          <w:tcPr>
            <w:tcW w:w="176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7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决算数</w:t>
            </w:r>
          </w:p>
        </w:tc>
        <w:tc>
          <w:tcPr>
            <w:tcW w:w="56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科目编码</w:t>
            </w:r>
          </w:p>
        </w:tc>
        <w:tc>
          <w:tcPr>
            <w:tcW w:w="178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85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决算数</w:t>
            </w:r>
          </w:p>
        </w:tc>
      </w:tr>
      <w:tr w:rsidR="001368C4">
        <w:trPr>
          <w:trHeight w:val="312"/>
          <w:jc w:val="center"/>
        </w:trPr>
        <w:tc>
          <w:tcPr>
            <w:tcW w:w="558"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center"/>
              <w:rPr>
                <w:rFonts w:ascii="宋体" w:hAnsi="宋体" w:cs="宋体"/>
                <w:color w:val="000000"/>
                <w:sz w:val="22"/>
                <w:szCs w:val="22"/>
              </w:rPr>
            </w:pPr>
          </w:p>
        </w:tc>
        <w:tc>
          <w:tcPr>
            <w:tcW w:w="159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center"/>
              <w:rPr>
                <w:rFonts w:ascii="宋体" w:hAnsi="宋体" w:cs="宋体"/>
                <w:color w:val="000000"/>
                <w:sz w:val="22"/>
                <w:szCs w:val="22"/>
              </w:rPr>
            </w:pPr>
          </w:p>
        </w:tc>
        <w:tc>
          <w:tcPr>
            <w:tcW w:w="8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center"/>
              <w:rPr>
                <w:rFonts w:ascii="宋体" w:hAnsi="宋体" w:cs="宋体"/>
                <w:color w:val="000000"/>
                <w:sz w:val="22"/>
                <w:szCs w:val="22"/>
              </w:rPr>
            </w:pPr>
          </w:p>
        </w:tc>
        <w:tc>
          <w:tcPr>
            <w:tcW w:w="47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center"/>
              <w:rPr>
                <w:rFonts w:ascii="宋体" w:hAnsi="宋体" w:cs="宋体"/>
                <w:color w:val="000000"/>
                <w:sz w:val="22"/>
                <w:szCs w:val="22"/>
              </w:rPr>
            </w:pPr>
          </w:p>
        </w:tc>
        <w:tc>
          <w:tcPr>
            <w:tcW w:w="176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center"/>
              <w:rPr>
                <w:rFonts w:ascii="宋体" w:hAnsi="宋体" w:cs="宋体"/>
                <w:color w:val="000000"/>
                <w:sz w:val="22"/>
                <w:szCs w:val="22"/>
              </w:rPr>
            </w:pPr>
          </w:p>
        </w:tc>
        <w:tc>
          <w:tcPr>
            <w:tcW w:w="7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center"/>
              <w:rPr>
                <w:rFonts w:ascii="宋体" w:hAnsi="宋体" w:cs="宋体"/>
                <w:color w:val="000000"/>
                <w:sz w:val="22"/>
                <w:szCs w:val="22"/>
              </w:rPr>
            </w:pPr>
          </w:p>
        </w:tc>
        <w:tc>
          <w:tcPr>
            <w:tcW w:w="56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center"/>
              <w:rPr>
                <w:rFonts w:ascii="宋体" w:hAnsi="宋体" w:cs="宋体"/>
                <w:color w:val="000000"/>
                <w:sz w:val="22"/>
                <w:szCs w:val="22"/>
              </w:rPr>
            </w:pPr>
          </w:p>
        </w:tc>
        <w:tc>
          <w:tcPr>
            <w:tcW w:w="178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center"/>
              <w:rPr>
                <w:rFonts w:ascii="宋体" w:hAnsi="宋体" w:cs="宋体"/>
                <w:color w:val="000000"/>
                <w:sz w:val="22"/>
                <w:szCs w:val="22"/>
              </w:rPr>
            </w:pPr>
          </w:p>
        </w:tc>
        <w:tc>
          <w:tcPr>
            <w:tcW w:w="85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center"/>
              <w:rPr>
                <w:rFonts w:ascii="宋体" w:hAnsi="宋体" w:cs="宋体"/>
                <w:color w:val="000000"/>
                <w:sz w:val="22"/>
                <w:szCs w:val="22"/>
              </w:rPr>
            </w:pPr>
          </w:p>
        </w:tc>
      </w:tr>
      <w:tr w:rsidR="001368C4">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工资福利支出</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28.17</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商品和服务支出</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4.1</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债务利息及费用支出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基本工资</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15.87</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办公费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1.63</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30701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国内债务付息</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津贴补贴</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7.86</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印刷费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0.03</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30702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国外债务付息</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奖金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4.44</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30203</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咨询费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资本性支出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30106</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伙食补助费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手续费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房屋建筑物购建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30107</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绩效工资</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水费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办公设备购置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30108</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机关事业单位基本养老保险缴费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电费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31003</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专用设备购置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职业年金缴费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邮电费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31005</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基础设施建设</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30110</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职工基本医疗保险缴费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取暖费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31006</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大型修缮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公务员医疗补助缴费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物业管理费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信息网络及软件购置更新</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其他社会保障缴费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差旅费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0.37</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31008</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物资储备</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住房公积金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因公出国（境）费用</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土地补偿</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30114</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医疗费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30213</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维修（护）费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31010</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安置补助</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30199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其他工资福利支出</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租赁费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地上附着物和青苗补偿</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对个人和家庭的补助</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27.93</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会议费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拆迁补偿</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离休费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培训费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31013</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公务用车购置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退休费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11.11</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公务接待费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其他交通工具购置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退职（役）费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专用材料费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31021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文物和陈列品购置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30304</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抚恤金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16.82</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被装购置费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31022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无形资产购置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30305</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生活补助</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专用燃料费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其他资本性支出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30306</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救济费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劳务费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其他支出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30307</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医疗费补助</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委托业务费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39906</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赠与</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30308</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助学金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工会经费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国家赔偿费用支出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420"/>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奖励金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福利费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39908</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对民间非营利组织和群众性自治组织补贴</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30310</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个人农业生产补贴</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30231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公务用车运行维护费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30399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其他对个人和家庭的补助支出</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30239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其他交通费用</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2.07</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30240</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税金及附加费用</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30299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w:t>
            </w:r>
            <w:r>
              <w:rPr>
                <w:rFonts w:ascii="宋体" w:hAnsi="宋体" w:cs="宋体" w:hint="eastAsia"/>
                <w:color w:val="000000"/>
                <w:kern w:val="0"/>
                <w:sz w:val="16"/>
                <w:szCs w:val="16"/>
              </w:rPr>
              <w:t>其他商品和服务支出</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napToGrid w:val="0"/>
              <w:spacing w:after="0" w:line="240" w:lineRule="auto"/>
              <w:jc w:val="right"/>
              <w:rPr>
                <w:rFonts w:ascii="宋体" w:hAnsi="宋体" w:cs="宋体"/>
                <w:color w:val="000000"/>
                <w:sz w:val="20"/>
                <w:szCs w:val="20"/>
              </w:rPr>
            </w:pPr>
          </w:p>
        </w:tc>
      </w:tr>
      <w:tr w:rsidR="001368C4">
        <w:trPr>
          <w:trHeight w:val="317"/>
          <w:jc w:val="center"/>
        </w:trPr>
        <w:tc>
          <w:tcPr>
            <w:tcW w:w="2155"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center"/>
              <w:textAlignment w:val="center"/>
              <w:rPr>
                <w:rFonts w:ascii="宋体" w:hAnsi="宋体" w:cs="宋体"/>
                <w:color w:val="000000"/>
                <w:sz w:val="16"/>
                <w:szCs w:val="16"/>
              </w:rPr>
            </w:pPr>
            <w:r>
              <w:rPr>
                <w:rFonts w:ascii="宋体" w:hAnsi="宋体" w:cs="宋体" w:hint="eastAsia"/>
                <w:color w:val="000000"/>
                <w:kern w:val="0"/>
                <w:sz w:val="16"/>
                <w:szCs w:val="16"/>
              </w:rPr>
              <w:t>人员经费合计</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56.1</w:t>
            </w:r>
          </w:p>
        </w:tc>
        <w:tc>
          <w:tcPr>
            <w:tcW w:w="5328"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center"/>
              <w:textAlignment w:val="center"/>
              <w:rPr>
                <w:rFonts w:ascii="宋体" w:hAnsi="宋体" w:cs="宋体"/>
                <w:color w:val="000000"/>
                <w:sz w:val="16"/>
                <w:szCs w:val="16"/>
              </w:rPr>
            </w:pPr>
            <w:r>
              <w:rPr>
                <w:rFonts w:ascii="宋体" w:hAnsi="宋体" w:cs="宋体" w:hint="eastAsia"/>
                <w:color w:val="000000"/>
                <w:kern w:val="0"/>
                <w:sz w:val="16"/>
                <w:szCs w:val="16"/>
              </w:rPr>
              <w:t>公用经费合计</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4.1</w:t>
            </w:r>
          </w:p>
        </w:tc>
      </w:tr>
      <w:tr w:rsidR="001368C4">
        <w:trPr>
          <w:trHeight w:val="277"/>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uto"/>
              <w:jc w:val="left"/>
              <w:textAlignment w:val="center"/>
              <w:rPr>
                <w:rFonts w:ascii="宋体" w:hAnsi="宋体" w:cs="宋体"/>
                <w:color w:val="000000"/>
                <w:sz w:val="20"/>
                <w:szCs w:val="20"/>
              </w:rPr>
            </w:pPr>
            <w:r>
              <w:rPr>
                <w:rFonts w:ascii="宋体" w:hAnsi="宋体" w:cs="宋体" w:hint="eastAsia"/>
                <w:color w:val="000000"/>
                <w:kern w:val="0"/>
                <w:sz w:val="20"/>
                <w:szCs w:val="20"/>
              </w:rPr>
              <w:t>注：本表反映部门本年度一般公共预算财政拨款基本支出明细情况。</w:t>
            </w:r>
            <w:r>
              <w:rPr>
                <w:rFonts w:ascii="宋体" w:hAnsi="宋体" w:cs="宋体" w:hint="eastAsia"/>
                <w:color w:val="000000"/>
                <w:kern w:val="0"/>
                <w:sz w:val="20"/>
                <w:szCs w:val="20"/>
              </w:rPr>
              <w:t xml:space="preserve">        </w:t>
            </w:r>
          </w:p>
        </w:tc>
      </w:tr>
    </w:tbl>
    <w:p w:rsidR="001368C4" w:rsidRDefault="001368C4">
      <w:pPr>
        <w:widowControl/>
        <w:spacing w:after="0" w:line="560" w:lineRule="exact"/>
        <w:jc w:val="left"/>
        <w:rPr>
          <w:rFonts w:ascii="仿宋_GB2312" w:eastAsia="仿宋_GB2312" w:hAnsiTheme="majorEastAsia"/>
          <w:b/>
          <w:sz w:val="28"/>
          <w:szCs w:val="28"/>
          <w:highlight w:val="yellow"/>
        </w:rPr>
        <w:sectPr w:rsidR="001368C4">
          <w:pgSz w:w="11906" w:h="16838"/>
          <w:pgMar w:top="2098" w:right="1474" w:bottom="1984" w:left="1588" w:header="851" w:footer="992" w:gutter="0"/>
          <w:cols w:space="0"/>
          <w:docGrid w:type="lines" w:linePitch="312"/>
        </w:sectPr>
      </w:pPr>
    </w:p>
    <w:tbl>
      <w:tblPr>
        <w:tblW w:w="8800" w:type="dxa"/>
        <w:jc w:val="center"/>
        <w:tblLayout w:type="fixed"/>
        <w:tblCellMar>
          <w:left w:w="0" w:type="dxa"/>
          <w:right w:w="0" w:type="dxa"/>
        </w:tblCellMar>
        <w:tblLook w:val="04A0"/>
      </w:tblPr>
      <w:tblGrid>
        <w:gridCol w:w="1158"/>
        <w:gridCol w:w="1527"/>
        <w:gridCol w:w="1528"/>
        <w:gridCol w:w="1530"/>
        <w:gridCol w:w="1530"/>
        <w:gridCol w:w="1527"/>
      </w:tblGrid>
      <w:tr w:rsidR="001368C4">
        <w:trPr>
          <w:trHeight w:val="584"/>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一般公共预算财政拨款“三公”经费支出决算表</w:t>
            </w:r>
          </w:p>
        </w:tc>
      </w:tr>
      <w:tr w:rsidR="001368C4">
        <w:trPr>
          <w:trHeight w:val="347"/>
          <w:jc w:val="center"/>
        </w:trPr>
        <w:tc>
          <w:tcPr>
            <w:tcW w:w="1158"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right"/>
              <w:textAlignment w:val="center"/>
              <w:rPr>
                <w:rFonts w:ascii="宋体" w:hAnsi="宋体" w:cs="宋体"/>
                <w:color w:val="000000"/>
                <w:sz w:val="20"/>
                <w:szCs w:val="20"/>
              </w:rPr>
            </w:pPr>
            <w:r>
              <w:rPr>
                <w:rFonts w:ascii="宋体" w:hAnsi="宋体" w:cs="宋体" w:hint="eastAsia"/>
                <w:color w:val="000000"/>
                <w:kern w:val="0"/>
                <w:sz w:val="20"/>
                <w:szCs w:val="20"/>
              </w:rPr>
              <w:t>公开</w:t>
            </w:r>
            <w:r>
              <w:rPr>
                <w:rFonts w:ascii="宋体" w:hAnsi="宋体" w:cs="宋体" w:hint="eastAsia"/>
                <w:color w:val="000000"/>
                <w:kern w:val="0"/>
                <w:sz w:val="20"/>
                <w:szCs w:val="20"/>
              </w:rPr>
              <w:t>07</w:t>
            </w:r>
            <w:r>
              <w:rPr>
                <w:rFonts w:ascii="宋体" w:hAnsi="宋体" w:cs="宋体" w:hint="eastAsia"/>
                <w:color w:val="000000"/>
                <w:kern w:val="0"/>
                <w:sz w:val="20"/>
                <w:szCs w:val="20"/>
              </w:rPr>
              <w:t>表</w:t>
            </w:r>
          </w:p>
        </w:tc>
      </w:tr>
      <w:tr w:rsidR="001368C4">
        <w:trPr>
          <w:trHeight w:val="347"/>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left"/>
              <w:textAlignment w:val="center"/>
              <w:rPr>
                <w:rFonts w:ascii="宋体" w:hAnsi="宋体" w:cs="宋体"/>
                <w:color w:val="000000"/>
                <w:sz w:val="20"/>
                <w:szCs w:val="20"/>
              </w:rPr>
            </w:pPr>
            <w:r>
              <w:rPr>
                <w:rFonts w:ascii="宋体" w:hAnsi="宋体" w:cs="宋体" w:hint="eastAsia"/>
                <w:color w:val="000000"/>
                <w:kern w:val="0"/>
                <w:sz w:val="20"/>
                <w:szCs w:val="20"/>
              </w:rPr>
              <w:t>部门：无极县科学技术协会</w:t>
            </w:r>
          </w:p>
        </w:tc>
        <w:tc>
          <w:tcPr>
            <w:tcW w:w="1527" w:type="dxa"/>
            <w:tcBorders>
              <w:top w:val="nil"/>
              <w:left w:val="nil"/>
              <w:bottom w:val="nil"/>
              <w:right w:val="nil"/>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1368C4">
        <w:trPr>
          <w:trHeight w:val="482"/>
          <w:jc w:val="center"/>
        </w:trPr>
        <w:tc>
          <w:tcPr>
            <w:tcW w:w="8800"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预算数</w:t>
            </w:r>
          </w:p>
        </w:tc>
      </w:tr>
      <w:tr w:rsidR="001368C4">
        <w:trPr>
          <w:trHeight w:val="435"/>
          <w:jc w:val="center"/>
        </w:trPr>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因公出国（境）费</w:t>
            </w:r>
          </w:p>
        </w:tc>
        <w:tc>
          <w:tcPr>
            <w:tcW w:w="458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公务用车购置及运行费</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公务接待费</w:t>
            </w:r>
          </w:p>
        </w:tc>
      </w:tr>
      <w:tr w:rsidR="001368C4">
        <w:trPr>
          <w:trHeight w:val="686"/>
          <w:jc w:val="center"/>
        </w:trPr>
        <w:tc>
          <w:tcPr>
            <w:tcW w:w="115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center"/>
              <w:rPr>
                <w:rFonts w:ascii="宋体" w:hAnsi="宋体" w:cs="宋体"/>
                <w:color w:val="000000"/>
                <w:szCs w:val="21"/>
              </w:rPr>
            </w:pP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center"/>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公务用车购置费</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公务用车运行费</w:t>
            </w: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center"/>
              <w:rPr>
                <w:rFonts w:ascii="宋体" w:hAnsi="宋体" w:cs="宋体"/>
                <w:color w:val="000000"/>
                <w:szCs w:val="21"/>
              </w:rPr>
            </w:pPr>
          </w:p>
        </w:tc>
      </w:tr>
      <w:tr w:rsidR="001368C4">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1368C4">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r>
      <w:tr w:rsidR="001368C4">
        <w:trPr>
          <w:trHeight w:val="498"/>
          <w:jc w:val="center"/>
        </w:trPr>
        <w:tc>
          <w:tcPr>
            <w:tcW w:w="8800"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决算数</w:t>
            </w:r>
          </w:p>
        </w:tc>
      </w:tr>
      <w:tr w:rsidR="001368C4">
        <w:trPr>
          <w:trHeight w:val="435"/>
          <w:jc w:val="center"/>
        </w:trPr>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因公出国（境）费</w:t>
            </w:r>
          </w:p>
        </w:tc>
        <w:tc>
          <w:tcPr>
            <w:tcW w:w="458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公务用车购置及运行费</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公务接待费</w:t>
            </w:r>
          </w:p>
        </w:tc>
      </w:tr>
      <w:tr w:rsidR="001368C4">
        <w:trPr>
          <w:trHeight w:val="672"/>
          <w:jc w:val="center"/>
        </w:trPr>
        <w:tc>
          <w:tcPr>
            <w:tcW w:w="115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center"/>
              <w:rPr>
                <w:rFonts w:ascii="宋体" w:hAnsi="宋体" w:cs="宋体"/>
                <w:color w:val="000000"/>
                <w:szCs w:val="21"/>
              </w:rPr>
            </w:pP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center"/>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公务用车购置费</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公务用车运行费</w:t>
            </w: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center"/>
              <w:rPr>
                <w:rFonts w:ascii="宋体" w:hAnsi="宋体" w:cs="宋体"/>
                <w:color w:val="000000"/>
                <w:szCs w:val="21"/>
              </w:rPr>
            </w:pPr>
          </w:p>
        </w:tc>
      </w:tr>
      <w:tr w:rsidR="001368C4">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7</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8</w:t>
            </w: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9</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10</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11</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12</w:t>
            </w:r>
          </w:p>
        </w:tc>
      </w:tr>
      <w:tr w:rsidR="001368C4">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r>
      <w:tr w:rsidR="001368C4">
        <w:trPr>
          <w:trHeight w:val="782"/>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left"/>
              <w:textAlignment w:val="center"/>
              <w:rPr>
                <w:rFonts w:ascii="宋体" w:hAnsi="宋体" w:cs="宋体"/>
                <w:color w:val="000000"/>
                <w:kern w:val="0"/>
                <w:szCs w:val="21"/>
              </w:rPr>
            </w:pPr>
            <w:r>
              <w:rPr>
                <w:rFonts w:ascii="宋体" w:hAnsi="宋体" w:cs="宋体" w:hint="eastAsia"/>
                <w:color w:val="000000"/>
                <w:kern w:val="0"/>
                <w:szCs w:val="21"/>
              </w:rPr>
              <w:t>注：本部门本年度无</w:t>
            </w:r>
            <w:r>
              <w:rPr>
                <w:rFonts w:asciiTheme="majorEastAsia" w:eastAsiaTheme="majorEastAsia" w:hAnsiTheme="majorEastAsia" w:cs="黑体" w:hint="eastAsia"/>
                <w:color w:val="000000"/>
                <w:kern w:val="0"/>
                <w:szCs w:val="21"/>
              </w:rPr>
              <w:t>一般公共预算财政拨款“三公”经费支出</w:t>
            </w:r>
            <w:r>
              <w:rPr>
                <w:rFonts w:ascii="宋体" w:hAnsi="宋体" w:cs="宋体" w:hint="eastAsia"/>
                <w:color w:val="000000"/>
                <w:kern w:val="0"/>
                <w:szCs w:val="21"/>
              </w:rPr>
              <w:t>情况，按要求空表列示。</w:t>
            </w:r>
            <w:r>
              <w:rPr>
                <w:rFonts w:ascii="宋体" w:hAnsi="宋体" w:cs="宋体" w:hint="eastAsia"/>
                <w:color w:val="000000"/>
                <w:kern w:val="0"/>
                <w:szCs w:val="21"/>
              </w:rPr>
              <w:t xml:space="preserve">           </w:t>
            </w:r>
          </w:p>
        </w:tc>
      </w:tr>
    </w:tbl>
    <w:p w:rsidR="001368C4" w:rsidRDefault="001368C4">
      <w:pPr>
        <w:widowControl/>
        <w:spacing w:after="0" w:line="560" w:lineRule="exact"/>
        <w:jc w:val="left"/>
        <w:rPr>
          <w:rFonts w:ascii="仿宋_GB2312" w:eastAsia="仿宋_GB2312" w:hAnsiTheme="majorEastAsia"/>
          <w:b/>
          <w:sz w:val="28"/>
          <w:szCs w:val="28"/>
          <w:highlight w:val="yellow"/>
        </w:rPr>
        <w:sectPr w:rsidR="001368C4">
          <w:pgSz w:w="11906" w:h="16838"/>
          <w:pgMar w:top="2098" w:right="1474" w:bottom="1984" w:left="1588" w:header="851" w:footer="992" w:gutter="0"/>
          <w:cols w:space="0"/>
          <w:docGrid w:type="lines" w:linePitch="312"/>
        </w:sectPr>
      </w:pPr>
    </w:p>
    <w:tbl>
      <w:tblPr>
        <w:tblW w:w="8860" w:type="dxa"/>
        <w:tblLayout w:type="fixed"/>
        <w:tblCellMar>
          <w:left w:w="0" w:type="dxa"/>
          <w:right w:w="0" w:type="dxa"/>
        </w:tblCellMar>
        <w:tblLook w:val="04A0"/>
      </w:tblPr>
      <w:tblGrid>
        <w:gridCol w:w="296"/>
        <w:gridCol w:w="191"/>
        <w:gridCol w:w="479"/>
        <w:gridCol w:w="669"/>
        <w:gridCol w:w="376"/>
        <w:gridCol w:w="1166"/>
        <w:gridCol w:w="840"/>
        <w:gridCol w:w="1191"/>
        <w:gridCol w:w="1192"/>
        <w:gridCol w:w="1192"/>
        <w:gridCol w:w="1268"/>
      </w:tblGrid>
      <w:tr w:rsidR="001368C4">
        <w:trPr>
          <w:trHeight w:val="707"/>
        </w:trPr>
        <w:tc>
          <w:tcPr>
            <w:tcW w:w="8860" w:type="dxa"/>
            <w:gridSpan w:val="11"/>
            <w:tcBorders>
              <w:top w:val="nil"/>
              <w:left w:val="nil"/>
              <w:bottom w:val="nil"/>
              <w:right w:val="nil"/>
            </w:tcBorders>
            <w:shd w:val="clear" w:color="auto" w:fill="auto"/>
            <w:tcMar>
              <w:top w:w="15" w:type="dxa"/>
              <w:left w:w="15" w:type="dxa"/>
              <w:right w:w="15" w:type="dxa"/>
            </w:tcMar>
            <w:vAlign w:val="center"/>
          </w:tcPr>
          <w:p w:rsidR="001368C4" w:rsidRDefault="00113FA3">
            <w:pPr>
              <w:widowControl/>
              <w:adjustRightInd w:val="0"/>
              <w:spacing w:after="0" w:line="240" w:lineRule="auto"/>
              <w:jc w:val="center"/>
              <w:textAlignment w:val="center"/>
              <w:rPr>
                <w:rFonts w:ascii="黑体" w:eastAsia="黑体" w:hAnsi="宋体" w:cs="黑体"/>
                <w:color w:val="000000"/>
                <w:sz w:val="36"/>
                <w:szCs w:val="36"/>
              </w:rPr>
            </w:pPr>
            <w:r>
              <w:rPr>
                <w:rFonts w:ascii="黑体" w:eastAsia="黑体" w:hAnsi="宋体" w:cs="黑体" w:hint="eastAsia"/>
                <w:color w:val="000000"/>
                <w:kern w:val="0"/>
                <w:sz w:val="36"/>
                <w:szCs w:val="36"/>
              </w:rPr>
              <w:lastRenderedPageBreak/>
              <w:t>政府性基金预算财政拨款收入支出决算表</w:t>
            </w:r>
          </w:p>
        </w:tc>
      </w:tr>
      <w:tr w:rsidR="001368C4">
        <w:trPr>
          <w:trHeight w:val="315"/>
        </w:trPr>
        <w:tc>
          <w:tcPr>
            <w:tcW w:w="296"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rsidR="001368C4" w:rsidRDefault="00113FA3">
            <w:pPr>
              <w:widowControl/>
              <w:adjustRightIn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08</w:t>
            </w:r>
            <w:r>
              <w:rPr>
                <w:rFonts w:ascii="宋体" w:hAnsi="宋体" w:cs="宋体" w:hint="eastAsia"/>
                <w:color w:val="000000"/>
                <w:kern w:val="0"/>
                <w:szCs w:val="21"/>
              </w:rPr>
              <w:t>表</w:t>
            </w:r>
          </w:p>
        </w:tc>
      </w:tr>
      <w:tr w:rsidR="001368C4">
        <w:trPr>
          <w:trHeight w:val="411"/>
        </w:trPr>
        <w:tc>
          <w:tcPr>
            <w:tcW w:w="3177" w:type="dxa"/>
            <w:gridSpan w:val="6"/>
            <w:tcBorders>
              <w:top w:val="nil"/>
              <w:left w:val="nil"/>
              <w:bottom w:val="nil"/>
              <w:right w:val="nil"/>
            </w:tcBorders>
            <w:shd w:val="clear" w:color="auto" w:fill="auto"/>
            <w:tcMar>
              <w:top w:w="15" w:type="dxa"/>
              <w:left w:w="15" w:type="dxa"/>
              <w:right w:w="15" w:type="dxa"/>
            </w:tcMar>
            <w:vAlign w:val="center"/>
          </w:tcPr>
          <w:p w:rsidR="001368C4" w:rsidRDefault="00113FA3">
            <w:pPr>
              <w:widowControl/>
              <w:adjustRightIn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部门：无极县科学技术协会</w:t>
            </w:r>
          </w:p>
        </w:tc>
        <w:tc>
          <w:tcPr>
            <w:tcW w:w="840"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rsidR="001368C4" w:rsidRDefault="00113FA3">
            <w:pPr>
              <w:widowControl/>
              <w:adjustRightIn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1368C4">
        <w:trPr>
          <w:trHeight w:val="324"/>
        </w:trPr>
        <w:tc>
          <w:tcPr>
            <w:tcW w:w="2011"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1166"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年初结转和结余</w:t>
            </w:r>
          </w:p>
        </w:tc>
        <w:tc>
          <w:tcPr>
            <w:tcW w:w="84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本年收入</w:t>
            </w:r>
          </w:p>
        </w:tc>
        <w:tc>
          <w:tcPr>
            <w:tcW w:w="3575"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本年支出</w:t>
            </w:r>
          </w:p>
        </w:tc>
        <w:tc>
          <w:tcPr>
            <w:tcW w:w="1268"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年末结转和结余</w:t>
            </w:r>
          </w:p>
        </w:tc>
      </w:tr>
      <w:tr w:rsidR="001368C4">
        <w:trPr>
          <w:trHeight w:val="324"/>
        </w:trPr>
        <w:tc>
          <w:tcPr>
            <w:tcW w:w="96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功能分类科目编码</w:t>
            </w:r>
          </w:p>
        </w:tc>
        <w:tc>
          <w:tcPr>
            <w:tcW w:w="1045"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19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基本支出</w:t>
            </w:r>
          </w:p>
        </w:tc>
        <w:tc>
          <w:tcPr>
            <w:tcW w:w="119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项目支出</w:t>
            </w: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center"/>
              <w:rPr>
                <w:rFonts w:ascii="宋体" w:hAnsi="宋体" w:cs="宋体"/>
                <w:color w:val="000000"/>
                <w:szCs w:val="21"/>
              </w:rPr>
            </w:pPr>
          </w:p>
        </w:tc>
      </w:tr>
      <w:tr w:rsidR="001368C4">
        <w:trPr>
          <w:trHeight w:val="324"/>
        </w:trPr>
        <w:tc>
          <w:tcPr>
            <w:tcW w:w="96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center"/>
              <w:rPr>
                <w:rFonts w:ascii="宋体" w:hAnsi="宋体" w:cs="宋体"/>
                <w:color w:val="000000"/>
                <w:szCs w:val="21"/>
              </w:rPr>
            </w:pPr>
          </w:p>
        </w:tc>
        <w:tc>
          <w:tcPr>
            <w:tcW w:w="1045"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center"/>
              <w:rPr>
                <w:rFonts w:ascii="宋体" w:hAnsi="宋体" w:cs="宋体"/>
                <w:color w:val="000000"/>
                <w:szCs w:val="21"/>
              </w:rPr>
            </w:pP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center"/>
              <w:rPr>
                <w:rFonts w:ascii="宋体" w:hAnsi="宋体" w:cs="宋体"/>
                <w:color w:val="000000"/>
                <w:szCs w:val="21"/>
              </w:rPr>
            </w:pPr>
          </w:p>
        </w:tc>
        <w:tc>
          <w:tcPr>
            <w:tcW w:w="11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center"/>
              <w:rPr>
                <w:rFonts w:ascii="宋体" w:hAnsi="宋体" w:cs="宋体"/>
                <w:color w:val="000000"/>
                <w:szCs w:val="21"/>
              </w:rPr>
            </w:pP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center"/>
              <w:rPr>
                <w:rFonts w:ascii="宋体" w:hAnsi="宋体" w:cs="宋体"/>
                <w:color w:val="000000"/>
                <w:szCs w:val="21"/>
              </w:rPr>
            </w:pPr>
          </w:p>
        </w:tc>
      </w:tr>
      <w:tr w:rsidR="001368C4">
        <w:trPr>
          <w:trHeight w:val="312"/>
        </w:trPr>
        <w:tc>
          <w:tcPr>
            <w:tcW w:w="96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center"/>
              <w:rPr>
                <w:rFonts w:ascii="宋体" w:hAnsi="宋体" w:cs="宋体"/>
                <w:color w:val="000000"/>
                <w:szCs w:val="21"/>
              </w:rPr>
            </w:pPr>
          </w:p>
        </w:tc>
        <w:tc>
          <w:tcPr>
            <w:tcW w:w="1045"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center"/>
              <w:rPr>
                <w:rFonts w:ascii="宋体" w:hAnsi="宋体" w:cs="宋体"/>
                <w:color w:val="000000"/>
                <w:szCs w:val="21"/>
              </w:rPr>
            </w:pP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center"/>
              <w:rPr>
                <w:rFonts w:ascii="宋体" w:hAnsi="宋体" w:cs="宋体"/>
                <w:color w:val="000000"/>
                <w:szCs w:val="21"/>
              </w:rPr>
            </w:pPr>
          </w:p>
        </w:tc>
        <w:tc>
          <w:tcPr>
            <w:tcW w:w="11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center"/>
              <w:rPr>
                <w:rFonts w:ascii="宋体" w:hAnsi="宋体" w:cs="宋体"/>
                <w:color w:val="000000"/>
                <w:szCs w:val="21"/>
              </w:rPr>
            </w:pP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center"/>
              <w:rPr>
                <w:rFonts w:ascii="宋体" w:hAnsi="宋体" w:cs="宋体"/>
                <w:color w:val="000000"/>
                <w:szCs w:val="21"/>
              </w:rPr>
            </w:pPr>
          </w:p>
        </w:tc>
      </w:tr>
      <w:tr w:rsidR="001368C4">
        <w:trPr>
          <w:trHeight w:val="324"/>
        </w:trPr>
        <w:tc>
          <w:tcPr>
            <w:tcW w:w="2011"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1368C4">
        <w:trPr>
          <w:trHeight w:val="324"/>
        </w:trPr>
        <w:tc>
          <w:tcPr>
            <w:tcW w:w="2011"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b/>
                <w:color w:val="000000"/>
                <w:szCs w:val="21"/>
              </w:rPr>
            </w:pPr>
          </w:p>
        </w:tc>
      </w:tr>
      <w:tr w:rsidR="001368C4">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r>
      <w:tr w:rsidR="001368C4">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r>
      <w:tr w:rsidR="001368C4">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r>
      <w:tr w:rsidR="001368C4">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r>
      <w:tr w:rsidR="001368C4">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r>
      <w:tr w:rsidR="001368C4">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r>
      <w:tr w:rsidR="001368C4">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r>
      <w:tr w:rsidR="001368C4">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r>
      <w:tr w:rsidR="001368C4">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r>
      <w:tr w:rsidR="001368C4">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pacing w:after="0" w:line="240" w:lineRule="auto"/>
              <w:jc w:val="right"/>
              <w:rPr>
                <w:rFonts w:ascii="宋体" w:hAnsi="宋体" w:cs="宋体"/>
                <w:color w:val="000000"/>
                <w:szCs w:val="21"/>
              </w:rPr>
            </w:pPr>
          </w:p>
        </w:tc>
      </w:tr>
      <w:tr w:rsidR="001368C4">
        <w:trPr>
          <w:trHeight w:val="324"/>
        </w:trPr>
        <w:tc>
          <w:tcPr>
            <w:tcW w:w="8860" w:type="dxa"/>
            <w:gridSpan w:val="11"/>
            <w:tcBorders>
              <w:top w:val="nil"/>
              <w:left w:val="nil"/>
              <w:bottom w:val="nil"/>
              <w:right w:val="nil"/>
            </w:tcBorders>
            <w:shd w:val="clear" w:color="auto" w:fill="auto"/>
            <w:tcMar>
              <w:top w:w="15" w:type="dxa"/>
              <w:left w:w="15" w:type="dxa"/>
              <w:right w:w="15" w:type="dxa"/>
            </w:tcMar>
            <w:vAlign w:val="center"/>
          </w:tcPr>
          <w:p w:rsidR="001368C4" w:rsidRDefault="00113FA3">
            <w:pPr>
              <w:widowControl/>
              <w:adjustRightInd w:val="0"/>
              <w:spacing w:after="0" w:line="240" w:lineRule="auto"/>
              <w:jc w:val="left"/>
              <w:textAlignment w:val="center"/>
              <w:rPr>
                <w:rFonts w:ascii="宋体" w:hAnsi="宋体" w:cs="宋体"/>
                <w:color w:val="000000"/>
                <w:kern w:val="0"/>
                <w:szCs w:val="21"/>
              </w:rPr>
            </w:pPr>
            <w:r>
              <w:rPr>
                <w:rFonts w:ascii="宋体" w:hAnsi="宋体" w:cs="宋体" w:hint="eastAsia"/>
                <w:color w:val="000000"/>
                <w:kern w:val="0"/>
                <w:szCs w:val="21"/>
              </w:rPr>
              <w:t>注：本表反映部门本年度政府性基金预算财政拨款收入、支出及结转和结余情况。本部门本年度无相关收入情况，按要求空表列示。</w:t>
            </w:r>
            <w:r>
              <w:rPr>
                <w:rFonts w:ascii="宋体" w:hAnsi="宋体" w:cs="宋体" w:hint="eastAsia"/>
                <w:color w:val="000000"/>
                <w:kern w:val="0"/>
                <w:szCs w:val="21"/>
              </w:rPr>
              <w:t xml:space="preserve">           </w:t>
            </w:r>
          </w:p>
        </w:tc>
      </w:tr>
    </w:tbl>
    <w:p w:rsidR="001368C4" w:rsidRDefault="001368C4">
      <w:pPr>
        <w:widowControl/>
        <w:spacing w:after="0" w:line="560" w:lineRule="exact"/>
        <w:jc w:val="left"/>
        <w:rPr>
          <w:rFonts w:ascii="仿宋_GB2312" w:eastAsia="仿宋_GB2312" w:hAnsiTheme="majorEastAsia"/>
          <w:b/>
          <w:sz w:val="28"/>
          <w:szCs w:val="28"/>
          <w:highlight w:val="yellow"/>
        </w:rPr>
        <w:sectPr w:rsidR="001368C4">
          <w:pgSz w:w="11906" w:h="16838"/>
          <w:pgMar w:top="2098" w:right="1474" w:bottom="1984" w:left="1588" w:header="851" w:footer="992" w:gutter="0"/>
          <w:cols w:space="0"/>
          <w:docGrid w:type="lines" w:linePitch="312"/>
        </w:sectPr>
      </w:pPr>
    </w:p>
    <w:tbl>
      <w:tblPr>
        <w:tblW w:w="8800" w:type="dxa"/>
        <w:tblLayout w:type="fixed"/>
        <w:tblCellMar>
          <w:left w:w="0" w:type="dxa"/>
          <w:right w:w="0" w:type="dxa"/>
        </w:tblCellMar>
        <w:tblLook w:val="04A0"/>
      </w:tblPr>
      <w:tblGrid>
        <w:gridCol w:w="442"/>
        <w:gridCol w:w="208"/>
        <w:gridCol w:w="504"/>
        <w:gridCol w:w="274"/>
        <w:gridCol w:w="894"/>
        <w:gridCol w:w="783"/>
        <w:gridCol w:w="252"/>
        <w:gridCol w:w="1646"/>
        <w:gridCol w:w="359"/>
        <w:gridCol w:w="1539"/>
        <w:gridCol w:w="1899"/>
      </w:tblGrid>
      <w:tr w:rsidR="001368C4">
        <w:trPr>
          <w:trHeight w:val="656"/>
        </w:trPr>
        <w:tc>
          <w:tcPr>
            <w:tcW w:w="8800" w:type="dxa"/>
            <w:gridSpan w:val="11"/>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国有资本经营预算财政拨款支出决算表</w:t>
            </w:r>
          </w:p>
        </w:tc>
      </w:tr>
      <w:tr w:rsidR="001368C4">
        <w:trPr>
          <w:trHeight w:val="335"/>
        </w:trPr>
        <w:tc>
          <w:tcPr>
            <w:tcW w:w="442"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公开</w:t>
            </w:r>
            <w:r>
              <w:rPr>
                <w:rFonts w:ascii="宋体" w:hAnsi="宋体" w:cs="宋体" w:hint="eastAsia"/>
                <w:color w:val="000000"/>
                <w:kern w:val="0"/>
                <w:sz w:val="22"/>
                <w:szCs w:val="22"/>
              </w:rPr>
              <w:t>09</w:t>
            </w:r>
            <w:r>
              <w:rPr>
                <w:rFonts w:ascii="宋体" w:hAnsi="宋体" w:cs="宋体" w:hint="eastAsia"/>
                <w:color w:val="000000"/>
                <w:kern w:val="0"/>
                <w:sz w:val="22"/>
                <w:szCs w:val="22"/>
              </w:rPr>
              <w:t>表</w:t>
            </w:r>
          </w:p>
        </w:tc>
      </w:tr>
      <w:tr w:rsidR="001368C4">
        <w:trPr>
          <w:trHeight w:val="335"/>
        </w:trPr>
        <w:tc>
          <w:tcPr>
            <w:tcW w:w="3357" w:type="dxa"/>
            <w:gridSpan w:val="7"/>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uto"/>
              <w:jc w:val="left"/>
              <w:textAlignment w:val="center"/>
              <w:rPr>
                <w:rFonts w:ascii="宋体" w:hAnsi="宋体" w:cs="宋体"/>
                <w:color w:val="000000"/>
                <w:sz w:val="22"/>
                <w:szCs w:val="22"/>
              </w:rPr>
            </w:pPr>
            <w:r>
              <w:rPr>
                <w:rFonts w:ascii="宋体" w:hAnsi="宋体" w:cs="宋体" w:hint="eastAsia"/>
                <w:color w:val="000000"/>
                <w:kern w:val="0"/>
                <w:sz w:val="22"/>
                <w:szCs w:val="22"/>
              </w:rPr>
              <w:t>编制单位：无极县科学技术协会</w:t>
            </w:r>
          </w:p>
        </w:tc>
        <w:tc>
          <w:tcPr>
            <w:tcW w:w="2005"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金额单位：万元</w:t>
            </w:r>
          </w:p>
        </w:tc>
      </w:tr>
      <w:tr w:rsidR="001368C4">
        <w:trPr>
          <w:trHeight w:val="358"/>
        </w:trPr>
        <w:tc>
          <w:tcPr>
            <w:tcW w:w="3105"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科目</w:t>
            </w:r>
          </w:p>
        </w:tc>
        <w:tc>
          <w:tcPr>
            <w:tcW w:w="5695" w:type="dxa"/>
            <w:gridSpan w:val="5"/>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本年支出</w:t>
            </w:r>
          </w:p>
        </w:tc>
      </w:tr>
      <w:tr w:rsidR="001368C4">
        <w:trPr>
          <w:trHeight w:val="82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功能分类科目编码</w:t>
            </w: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科目名称</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小计</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基本支出</w:t>
            </w: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项目支出</w:t>
            </w:r>
          </w:p>
        </w:tc>
      </w:tr>
      <w:tr w:rsidR="001368C4">
        <w:trPr>
          <w:trHeight w:val="358"/>
        </w:trPr>
        <w:tc>
          <w:tcPr>
            <w:tcW w:w="3105" w:type="dxa"/>
            <w:gridSpan w:val="6"/>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栏次</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1</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2</w:t>
            </w: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3</w:t>
            </w:r>
          </w:p>
        </w:tc>
      </w:tr>
      <w:tr w:rsidR="001368C4">
        <w:trPr>
          <w:trHeight w:val="358"/>
        </w:trPr>
        <w:tc>
          <w:tcPr>
            <w:tcW w:w="3105" w:type="dxa"/>
            <w:gridSpan w:val="6"/>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合计</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right"/>
              <w:rPr>
                <w:rFonts w:ascii="宋体" w:hAnsi="宋体" w:cs="宋体"/>
                <w:color w:val="000000"/>
                <w:sz w:val="22"/>
                <w:szCs w:val="22"/>
              </w:rPr>
            </w:pPr>
          </w:p>
        </w:tc>
      </w:tr>
      <w:tr w:rsidR="001368C4">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right"/>
              <w:rPr>
                <w:rFonts w:ascii="宋体" w:hAnsi="宋体" w:cs="宋体"/>
                <w:color w:val="000000"/>
                <w:sz w:val="22"/>
                <w:szCs w:val="22"/>
              </w:rPr>
            </w:pPr>
          </w:p>
        </w:tc>
      </w:tr>
      <w:tr w:rsidR="001368C4">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right"/>
              <w:rPr>
                <w:rFonts w:ascii="宋体" w:hAnsi="宋体" w:cs="宋体"/>
                <w:color w:val="000000"/>
                <w:sz w:val="22"/>
                <w:szCs w:val="22"/>
              </w:rPr>
            </w:pPr>
          </w:p>
        </w:tc>
      </w:tr>
      <w:tr w:rsidR="001368C4">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right"/>
              <w:rPr>
                <w:rFonts w:ascii="宋体" w:hAnsi="宋体" w:cs="宋体"/>
                <w:color w:val="000000"/>
                <w:sz w:val="22"/>
                <w:szCs w:val="22"/>
              </w:rPr>
            </w:pPr>
          </w:p>
        </w:tc>
      </w:tr>
      <w:tr w:rsidR="001368C4">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right"/>
              <w:rPr>
                <w:rFonts w:ascii="宋体" w:hAnsi="宋体" w:cs="宋体"/>
                <w:color w:val="000000"/>
                <w:sz w:val="22"/>
                <w:szCs w:val="22"/>
              </w:rPr>
            </w:pPr>
          </w:p>
        </w:tc>
      </w:tr>
      <w:tr w:rsidR="001368C4">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right"/>
              <w:rPr>
                <w:rFonts w:ascii="宋体" w:hAnsi="宋体" w:cs="宋体"/>
                <w:color w:val="000000"/>
                <w:sz w:val="22"/>
                <w:szCs w:val="22"/>
              </w:rPr>
            </w:pPr>
          </w:p>
        </w:tc>
      </w:tr>
      <w:tr w:rsidR="001368C4">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spacing w:after="0" w:line="240" w:lineRule="auto"/>
              <w:jc w:val="right"/>
              <w:rPr>
                <w:rFonts w:ascii="宋体" w:hAnsi="宋体" w:cs="宋体"/>
                <w:color w:val="000000"/>
                <w:sz w:val="22"/>
                <w:szCs w:val="22"/>
              </w:rPr>
            </w:pPr>
          </w:p>
        </w:tc>
      </w:tr>
      <w:tr w:rsidR="001368C4">
        <w:trPr>
          <w:trHeight w:val="358"/>
        </w:trPr>
        <w:tc>
          <w:tcPr>
            <w:tcW w:w="8800" w:type="dxa"/>
            <w:gridSpan w:val="11"/>
            <w:tcBorders>
              <w:top w:val="nil"/>
              <w:left w:val="nil"/>
              <w:bottom w:val="nil"/>
              <w:right w:val="nil"/>
            </w:tcBorders>
            <w:shd w:val="clear" w:color="auto" w:fill="auto"/>
            <w:tcMar>
              <w:top w:w="15" w:type="dxa"/>
              <w:left w:w="15" w:type="dxa"/>
              <w:right w:w="15" w:type="dxa"/>
            </w:tcMar>
            <w:vAlign w:val="center"/>
          </w:tcPr>
          <w:p w:rsidR="001368C4" w:rsidRDefault="00113FA3">
            <w:pPr>
              <w:widowControl/>
              <w:spacing w:after="0" w:line="240" w:lineRule="auto"/>
              <w:jc w:val="left"/>
              <w:textAlignment w:val="center"/>
              <w:rPr>
                <w:rFonts w:ascii="宋体" w:hAnsi="宋体" w:cs="宋体"/>
                <w:color w:val="000000"/>
                <w:kern w:val="0"/>
                <w:sz w:val="22"/>
                <w:szCs w:val="22"/>
              </w:rPr>
            </w:pPr>
            <w:r>
              <w:rPr>
                <w:rFonts w:ascii="宋体" w:hAnsi="宋体" w:cs="宋体" w:hint="eastAsia"/>
                <w:color w:val="000000"/>
                <w:kern w:val="0"/>
                <w:sz w:val="22"/>
                <w:szCs w:val="22"/>
              </w:rPr>
              <w:t>注：本表反映部门本年度国有资本经营预算财政拨款支出情况。</w:t>
            </w:r>
            <w:r>
              <w:rPr>
                <w:rFonts w:ascii="宋体" w:hAnsi="宋体" w:cs="宋体" w:hint="eastAsia"/>
                <w:color w:val="000000"/>
                <w:kern w:val="0"/>
                <w:szCs w:val="21"/>
              </w:rPr>
              <w:t>本部门本年度无相关收入情况，按要求空表列示。</w:t>
            </w:r>
            <w:r>
              <w:rPr>
                <w:rFonts w:ascii="宋体" w:hAnsi="宋体" w:cs="宋体" w:hint="eastAsia"/>
                <w:color w:val="000000"/>
                <w:kern w:val="0"/>
                <w:szCs w:val="21"/>
              </w:rPr>
              <w:t xml:space="preserve">   </w:t>
            </w:r>
          </w:p>
        </w:tc>
      </w:tr>
    </w:tbl>
    <w:p w:rsidR="001368C4" w:rsidRDefault="001368C4">
      <w:pPr>
        <w:widowControl/>
        <w:spacing w:after="0" w:line="560" w:lineRule="exact"/>
        <w:jc w:val="left"/>
        <w:rPr>
          <w:rFonts w:ascii="仿宋_GB2312" w:eastAsia="仿宋_GB2312" w:hAnsiTheme="majorEastAsia"/>
          <w:b/>
          <w:sz w:val="28"/>
          <w:szCs w:val="28"/>
          <w:highlight w:val="yellow"/>
        </w:rPr>
        <w:sectPr w:rsidR="001368C4">
          <w:pgSz w:w="11906" w:h="16838"/>
          <w:pgMar w:top="2098" w:right="1474" w:bottom="1984" w:left="1588" w:header="851" w:footer="992" w:gutter="0"/>
          <w:cols w:space="0"/>
          <w:docGrid w:type="lines" w:linePitch="312"/>
        </w:sectPr>
      </w:pPr>
    </w:p>
    <w:tbl>
      <w:tblPr>
        <w:tblW w:w="8940" w:type="dxa"/>
        <w:tblLayout w:type="fixed"/>
        <w:tblCellMar>
          <w:left w:w="0" w:type="dxa"/>
          <w:right w:w="0" w:type="dxa"/>
        </w:tblCellMar>
        <w:tblLook w:val="04A0"/>
      </w:tblPr>
      <w:tblGrid>
        <w:gridCol w:w="1901"/>
        <w:gridCol w:w="1203"/>
        <w:gridCol w:w="790"/>
        <w:gridCol w:w="362"/>
        <w:gridCol w:w="911"/>
        <w:gridCol w:w="241"/>
        <w:gridCol w:w="1032"/>
        <w:gridCol w:w="120"/>
        <w:gridCol w:w="1154"/>
        <w:gridCol w:w="1226"/>
      </w:tblGrid>
      <w:tr w:rsidR="001368C4">
        <w:trPr>
          <w:trHeight w:val="635"/>
        </w:trPr>
        <w:tc>
          <w:tcPr>
            <w:tcW w:w="8940" w:type="dxa"/>
            <w:gridSpan w:val="10"/>
            <w:tcBorders>
              <w:top w:val="nil"/>
              <w:left w:val="nil"/>
              <w:bottom w:val="nil"/>
              <w:right w:val="nil"/>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政府采购情况表</w:t>
            </w:r>
          </w:p>
        </w:tc>
      </w:tr>
      <w:tr w:rsidR="001368C4">
        <w:trPr>
          <w:trHeight w:val="326"/>
        </w:trPr>
        <w:tc>
          <w:tcPr>
            <w:tcW w:w="1901"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10</w:t>
            </w:r>
            <w:r>
              <w:rPr>
                <w:rFonts w:ascii="宋体" w:hAnsi="宋体" w:cs="宋体" w:hint="eastAsia"/>
                <w:color w:val="000000"/>
                <w:kern w:val="0"/>
                <w:szCs w:val="21"/>
              </w:rPr>
              <w:t>表</w:t>
            </w:r>
          </w:p>
        </w:tc>
      </w:tr>
      <w:tr w:rsidR="001368C4">
        <w:trPr>
          <w:trHeight w:val="360"/>
        </w:trPr>
        <w:tc>
          <w:tcPr>
            <w:tcW w:w="6440" w:type="dxa"/>
            <w:gridSpan w:val="7"/>
            <w:tcBorders>
              <w:top w:val="nil"/>
              <w:left w:val="nil"/>
              <w:bottom w:val="nil"/>
              <w:right w:val="nil"/>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编制单位：无极县科学技术协会</w:t>
            </w:r>
          </w:p>
        </w:tc>
        <w:tc>
          <w:tcPr>
            <w:tcW w:w="2500" w:type="dxa"/>
            <w:gridSpan w:val="3"/>
            <w:tcBorders>
              <w:top w:val="nil"/>
              <w:left w:val="nil"/>
              <w:bottom w:val="nil"/>
              <w:right w:val="nil"/>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1368C4">
        <w:trPr>
          <w:trHeight w:val="309"/>
        </w:trPr>
        <w:tc>
          <w:tcPr>
            <w:tcW w:w="19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7039" w:type="dxa"/>
            <w:gridSpan w:val="9"/>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采购计划金额</w:t>
            </w:r>
          </w:p>
        </w:tc>
      </w:tr>
      <w:tr w:rsidR="001368C4">
        <w:trPr>
          <w:trHeight w:val="398"/>
        </w:trPr>
        <w:tc>
          <w:tcPr>
            <w:tcW w:w="19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总计</w:t>
            </w:r>
          </w:p>
        </w:tc>
        <w:tc>
          <w:tcPr>
            <w:tcW w:w="4610" w:type="dxa"/>
            <w:gridSpan w:val="7"/>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采购预算（财政性资金）</w:t>
            </w:r>
          </w:p>
        </w:tc>
        <w:tc>
          <w:tcPr>
            <w:tcW w:w="122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非财政性资金</w:t>
            </w:r>
          </w:p>
        </w:tc>
      </w:tr>
      <w:tr w:rsidR="001368C4">
        <w:trPr>
          <w:trHeight w:val="473"/>
        </w:trPr>
        <w:tc>
          <w:tcPr>
            <w:tcW w:w="19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center"/>
              <w:rPr>
                <w:rFonts w:ascii="宋体" w:hAnsi="宋体" w:cs="宋体"/>
                <w:color w:val="000000"/>
                <w:szCs w:val="21"/>
              </w:rPr>
            </w:pPr>
          </w:p>
        </w:tc>
        <w:tc>
          <w:tcPr>
            <w:tcW w:w="120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一般公共预算</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政府性基金预算</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其他资金</w:t>
            </w:r>
          </w:p>
        </w:tc>
        <w:tc>
          <w:tcPr>
            <w:tcW w:w="122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center"/>
              <w:rPr>
                <w:rFonts w:ascii="宋体" w:hAnsi="宋体" w:cs="宋体"/>
                <w:color w:val="000000"/>
                <w:szCs w:val="21"/>
              </w:rPr>
            </w:pPr>
          </w:p>
        </w:tc>
      </w:tr>
      <w:tr w:rsidR="001368C4">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1368C4">
        <w:trPr>
          <w:trHeight w:val="350"/>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w:t>
            </w:r>
            <w:r>
              <w:rPr>
                <w:rFonts w:ascii="宋体" w:hAnsi="宋体" w:cs="宋体" w:hint="eastAsia"/>
                <w:color w:val="000000"/>
                <w:kern w:val="0"/>
                <w:szCs w:val="21"/>
              </w:rPr>
              <w:t xml:space="preserve">       </w:t>
            </w:r>
            <w:r>
              <w:rPr>
                <w:rFonts w:ascii="宋体" w:hAnsi="宋体" w:cs="宋体" w:hint="eastAsia"/>
                <w:color w:val="000000"/>
                <w:kern w:val="0"/>
                <w:szCs w:val="21"/>
              </w:rPr>
              <w:t>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r>
      <w:tr w:rsidR="001368C4">
        <w:trPr>
          <w:trHeight w:val="350"/>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货物</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r>
      <w:tr w:rsidR="001368C4">
        <w:trPr>
          <w:trHeight w:val="350"/>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工程</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r>
      <w:tr w:rsidR="001368C4">
        <w:trPr>
          <w:trHeight w:val="350"/>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服务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r>
      <w:tr w:rsidR="001368C4">
        <w:trPr>
          <w:trHeight w:val="309"/>
        </w:trPr>
        <w:tc>
          <w:tcPr>
            <w:tcW w:w="1901"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7039" w:type="dxa"/>
            <w:gridSpan w:val="9"/>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实际采购金额</w:t>
            </w:r>
          </w:p>
        </w:tc>
      </w:tr>
      <w:tr w:rsidR="001368C4">
        <w:trPr>
          <w:trHeight w:val="350"/>
        </w:trPr>
        <w:tc>
          <w:tcPr>
            <w:tcW w:w="1901"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总计</w:t>
            </w:r>
          </w:p>
        </w:tc>
        <w:tc>
          <w:tcPr>
            <w:tcW w:w="4610" w:type="dxa"/>
            <w:gridSpan w:val="7"/>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采购预算（财政性资金）</w:t>
            </w:r>
          </w:p>
        </w:tc>
        <w:tc>
          <w:tcPr>
            <w:tcW w:w="122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非财政性资金</w:t>
            </w:r>
          </w:p>
        </w:tc>
      </w:tr>
      <w:tr w:rsidR="001368C4">
        <w:trPr>
          <w:trHeight w:val="543"/>
        </w:trPr>
        <w:tc>
          <w:tcPr>
            <w:tcW w:w="1901"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center"/>
              <w:rPr>
                <w:rFonts w:ascii="宋体" w:hAnsi="宋体" w:cs="宋体"/>
                <w:color w:val="000000"/>
                <w:szCs w:val="21"/>
              </w:rPr>
            </w:pPr>
          </w:p>
        </w:tc>
        <w:tc>
          <w:tcPr>
            <w:tcW w:w="120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一般公共预算</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政府性基金预算</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其他资金</w:t>
            </w:r>
          </w:p>
        </w:tc>
        <w:tc>
          <w:tcPr>
            <w:tcW w:w="122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center"/>
              <w:rPr>
                <w:rFonts w:ascii="宋体" w:hAnsi="宋体" w:cs="宋体"/>
                <w:color w:val="000000"/>
                <w:szCs w:val="21"/>
              </w:rPr>
            </w:pPr>
          </w:p>
        </w:tc>
      </w:tr>
      <w:tr w:rsidR="001368C4">
        <w:trPr>
          <w:trHeight w:val="309"/>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1368C4">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w:t>
            </w:r>
            <w:r>
              <w:rPr>
                <w:rFonts w:ascii="宋体" w:hAnsi="宋体" w:cs="宋体" w:hint="eastAsia"/>
                <w:color w:val="000000"/>
                <w:kern w:val="0"/>
                <w:szCs w:val="21"/>
              </w:rPr>
              <w:t xml:space="preserve">       </w:t>
            </w:r>
            <w:r>
              <w:rPr>
                <w:rFonts w:ascii="宋体" w:hAnsi="宋体" w:cs="宋体" w:hint="eastAsia"/>
                <w:color w:val="000000"/>
                <w:kern w:val="0"/>
                <w:szCs w:val="21"/>
              </w:rPr>
              <w:t>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r>
      <w:tr w:rsidR="001368C4">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货物</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r>
      <w:tr w:rsidR="001368C4">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工程</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r>
      <w:tr w:rsidR="001368C4">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服务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368C4" w:rsidRDefault="001368C4">
            <w:pPr>
              <w:widowControl/>
              <w:adjustRightInd w:val="0"/>
              <w:snapToGrid w:val="0"/>
              <w:spacing w:after="0" w:line="240" w:lineRule="auto"/>
              <w:jc w:val="right"/>
              <w:rPr>
                <w:rFonts w:ascii="宋体" w:hAnsi="宋体" w:cs="宋体"/>
                <w:color w:val="000000"/>
                <w:szCs w:val="21"/>
              </w:rPr>
            </w:pPr>
          </w:p>
        </w:tc>
      </w:tr>
      <w:tr w:rsidR="001368C4">
        <w:trPr>
          <w:trHeight w:val="398"/>
        </w:trPr>
        <w:tc>
          <w:tcPr>
            <w:tcW w:w="8940" w:type="dxa"/>
            <w:gridSpan w:val="10"/>
            <w:tcBorders>
              <w:top w:val="nil"/>
              <w:left w:val="nil"/>
              <w:bottom w:val="nil"/>
              <w:right w:val="nil"/>
            </w:tcBorders>
            <w:shd w:val="clear" w:color="auto" w:fill="auto"/>
            <w:tcMar>
              <w:top w:w="15" w:type="dxa"/>
              <w:left w:w="15" w:type="dxa"/>
              <w:right w:w="15" w:type="dxa"/>
            </w:tcMar>
            <w:vAlign w:val="center"/>
          </w:tcPr>
          <w:p w:rsidR="001368C4" w:rsidRDefault="00113FA3">
            <w:pPr>
              <w:widowControl/>
              <w:adjustRightInd w:val="0"/>
              <w:snapToGrid w:val="0"/>
              <w:spacing w:after="0" w:line="240" w:lineRule="auto"/>
              <w:jc w:val="left"/>
              <w:textAlignment w:val="center"/>
              <w:rPr>
                <w:rFonts w:ascii="宋体" w:hAnsi="宋体" w:cs="宋体"/>
                <w:color w:val="000000"/>
                <w:kern w:val="0"/>
                <w:szCs w:val="21"/>
              </w:rPr>
            </w:pPr>
            <w:r>
              <w:rPr>
                <w:rFonts w:ascii="宋体" w:hAnsi="宋体" w:cs="宋体" w:hint="eastAsia"/>
                <w:color w:val="000000"/>
                <w:kern w:val="0"/>
                <w:szCs w:val="21"/>
              </w:rPr>
              <w:t>注：本表反映部门本年度纳入部门预算范围的政府采购预算及支出情况。本部门本年度无相关收入情况，按要求空表列示。</w:t>
            </w:r>
            <w:r>
              <w:rPr>
                <w:rFonts w:ascii="宋体" w:hAnsi="宋体" w:cs="宋体" w:hint="eastAsia"/>
                <w:color w:val="000000"/>
                <w:kern w:val="0"/>
                <w:szCs w:val="21"/>
              </w:rPr>
              <w:t xml:space="preserve">       </w:t>
            </w:r>
          </w:p>
        </w:tc>
      </w:tr>
    </w:tbl>
    <w:p w:rsidR="001368C4" w:rsidRDefault="001368C4">
      <w:pPr>
        <w:widowControl/>
        <w:spacing w:after="0" w:line="560" w:lineRule="exact"/>
        <w:jc w:val="left"/>
        <w:rPr>
          <w:rFonts w:ascii="仿宋_GB2312" w:eastAsia="仿宋_GB2312" w:hAnsiTheme="majorEastAsia"/>
          <w:b/>
          <w:sz w:val="28"/>
          <w:szCs w:val="28"/>
          <w:highlight w:val="yellow"/>
        </w:rPr>
      </w:pPr>
    </w:p>
    <w:p w:rsidR="001368C4" w:rsidRDefault="001368C4"/>
    <w:p w:rsidR="001368C4" w:rsidRDefault="001368C4"/>
    <w:p w:rsidR="001368C4" w:rsidRDefault="001368C4"/>
    <w:p w:rsidR="001368C4" w:rsidRDefault="001368C4"/>
    <w:p w:rsidR="001368C4" w:rsidRDefault="00113FA3">
      <w:pPr>
        <w:tabs>
          <w:tab w:val="left" w:pos="1086"/>
        </w:tabs>
        <w:jc w:val="left"/>
        <w:rPr>
          <w:rFonts w:ascii="仿宋_GB2312" w:eastAsia="仿宋_GB2312" w:hAnsiTheme="majorEastAsia"/>
          <w:b/>
          <w:sz w:val="28"/>
          <w:szCs w:val="28"/>
          <w:highlight w:val="yellow"/>
        </w:rPr>
        <w:sectPr w:rsidR="001368C4">
          <w:pgSz w:w="11906" w:h="16838"/>
          <w:pgMar w:top="2098" w:right="1474" w:bottom="1984" w:left="1588" w:header="851" w:footer="992" w:gutter="0"/>
          <w:cols w:space="0"/>
          <w:docGrid w:type="lines" w:linePitch="312"/>
        </w:sectPr>
      </w:pPr>
      <w:r>
        <w:rPr>
          <w:rFonts w:hint="eastAsia"/>
        </w:rPr>
        <w:tab/>
      </w:r>
    </w:p>
    <w:p w:rsidR="001368C4" w:rsidRDefault="00113FA3">
      <w:pPr>
        <w:rPr>
          <w:rFonts w:ascii="宋体" w:hAnsi="宋体" w:cs="ArialUnicodeMS"/>
          <w:color w:val="000000"/>
          <w:kern w:val="0"/>
        </w:rPr>
        <w:sectPr w:rsidR="001368C4">
          <w:pgSz w:w="11906" w:h="16838"/>
          <w:pgMar w:top="2098" w:right="1474" w:bottom="1984" w:left="1588" w:header="851" w:footer="992" w:gutter="0"/>
          <w:cols w:space="0"/>
          <w:docGrid w:type="lines" w:linePitch="312"/>
        </w:sectPr>
      </w:pPr>
      <w:r>
        <w:rPr>
          <w:rFonts w:ascii="宋体" w:hAnsi="宋体" w:cs="ArialUnicodeMS" w:hint="eastAsia"/>
          <w:noProof/>
          <w:color w:val="000000"/>
          <w:kern w:val="0"/>
        </w:rPr>
        <w:lastRenderedPageBreak/>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11"/>
                    <a:stretch>
                      <a:fillRect/>
                    </a:stretch>
                  </pic:blipFill>
                  <pic:spPr>
                    <a:xfrm>
                      <a:off x="0" y="0"/>
                      <a:ext cx="7550150" cy="10680065"/>
                    </a:xfrm>
                    <a:prstGeom prst="rect">
                      <a:avLst/>
                    </a:prstGeom>
                  </pic:spPr>
                </pic:pic>
              </a:graphicData>
            </a:graphic>
          </wp:anchor>
        </w:drawing>
      </w:r>
      <w:r w:rsidR="001368C4" w:rsidRPr="001368C4">
        <w:rPr>
          <w:sz w:val="72"/>
        </w:rPr>
        <w:pict>
          <v:shape id="_x0000_s1028" type="#_x0000_t202" style="position:absolute;left:0;text-align:left;margin-left:-78.7pt;margin-top:232.8pt;width:596.2pt;height:159.1pt;z-index:251664384;mso-position-horizontal-relative:text;mso-position-vertical-relative:text"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wDfMs0MCAAB1BAAADgAAAGRycy9lMm9Eb2Mu&#10;eG1srVTBjtMwEL0j8Q+W7zRpabZQNV2VrYqQVuxKBXF2HaeJZHuM7TYpHwB/sCcu3PmufgdjJ+1W&#10;C4c9cHFmPOOZeW9mMrtulSR7YV0NOqfDQUqJ0ByKWm9z+vnT6tUbSpxnumAStMjpQTh6PX/5YtaY&#10;qRhBBbIQlmAQ7aaNyWnlvZkmieOVUMwNwAiNxhKsYh5Vu00KyxqMrmQyStOrpAFbGAtcOIe3y85I&#10;+4j2OQGhLGsulsB3SmjfRbVCMo+QXFUbR+ex2rIU3N+VpROeyJwiUh9PTILyJpzJfMamW8tMVfO+&#10;BPacEp5gUqzWmPQcask8Iztb/xVK1dyCg9IPOKikAxIZQRTD9Ak364oZEbEg1c6cSXf/Lyz/uL+3&#10;pC5ymlGimcKGHx9+HH/+Pv76TrJAT2PcFL3WBv18+w5aHJrTvcPLgLotrQpfxEPQjuQezuSK1hOO&#10;l5NsMpyM0cTRNkpHaTaJ9CePz411/r0ARYKQU4vdi6Sy/a3zWAq6nlxCNg2rWsrYQalJk9Or11ka&#10;H5wt+ELq4CviLPRhAqSu9CD5dtP2ODdQHBCmhW5OnOGrGku5Zc7fM4uDgeXj6vg7PEoJmBJ6iZIK&#10;7Ld/3Qd/7BdaKWlw0HLqvu6YFZTIDxo7+XY4Dqz4qIyzyQgVe2nZXFr0Tt0AzvIQl9TwKAZ/L09i&#10;aUF9wQ1bhKxoYppj7pz6k3jju/HHDeVisYhOOIuG+Vu9NjyE7shd7DyUdeQ90NRxg00ICk5jbEe/&#10;OWHcL/Xo9fi3mP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2WaejN4AAAANAQAADwAAAAAAAAAB&#10;ACAAAAAiAAAAZHJzL2Rvd25yZXYueG1sUEsBAhQAFAAAAAgAh07iQMA3zLNDAgAAdQQAAA4AAAAA&#10;AAAAAQAgAAAALQEAAGRycy9lMm9Eb2MueG1sUEsFBgAAAAAGAAYAWQEAAOIFAAAAAA==&#10;" filled="f" stroked="f" strokeweight=".5pt">
            <v:textbox>
              <w:txbxContent>
                <w:p w:rsidR="001368C4" w:rsidRDefault="00113FA3">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第三部分</w:t>
                  </w:r>
                </w:p>
                <w:p w:rsidR="001368C4" w:rsidRDefault="00113FA3">
                  <w:pPr>
                    <w:widowControl/>
                    <w:spacing w:line="1200" w:lineRule="exact"/>
                    <w:jc w:val="center"/>
                    <w:rPr>
                      <w:color w:val="FDEFBE"/>
                      <w:sz w:val="96"/>
                      <w:szCs w:val="96"/>
                    </w:rPr>
                  </w:pPr>
                  <w:r>
                    <w:rPr>
                      <w:rFonts w:asciiTheme="minorEastAsia" w:eastAsiaTheme="minorEastAsia" w:hAnsi="宋体" w:hint="eastAsia"/>
                      <w:color w:val="FDEFBE"/>
                      <w:sz w:val="96"/>
                      <w:szCs w:val="96"/>
                    </w:rPr>
                    <w:t>部门决算情况说明</w:t>
                  </w:r>
                </w:p>
              </w:txbxContent>
            </v:textbox>
          </v:shape>
        </w:pict>
      </w:r>
    </w:p>
    <w:p w:rsidR="001368C4" w:rsidRDefault="00113FA3">
      <w:pPr>
        <w:pStyle w:val="2"/>
        <w:spacing w:before="0" w:after="0" w:line="580" w:lineRule="exact"/>
        <w:ind w:firstLineChars="200" w:firstLine="640"/>
        <w:rPr>
          <w:rFonts w:ascii="黑体" w:eastAsia="黑体"/>
          <w:b w:val="0"/>
          <w:bCs w:val="0"/>
        </w:rPr>
      </w:pPr>
      <w:r>
        <w:rPr>
          <w:rFonts w:ascii="黑体" w:eastAsia="黑体" w:hint="eastAsia"/>
          <w:b w:val="0"/>
          <w:bCs w:val="0"/>
        </w:rPr>
        <w:lastRenderedPageBreak/>
        <w:t>一、收入</w:t>
      </w:r>
      <w:r>
        <w:rPr>
          <w:rFonts w:ascii="黑体" w:eastAsia="黑体" w:hAnsiTheme="minorHAnsi" w:cs="黑体" w:hint="eastAsia"/>
          <w:b w:val="0"/>
          <w:bCs w:val="0"/>
          <w:kern w:val="0"/>
        </w:rPr>
        <w:t>支出</w:t>
      </w:r>
      <w:r>
        <w:rPr>
          <w:rFonts w:ascii="黑体" w:eastAsia="黑体" w:hint="eastAsia"/>
          <w:b w:val="0"/>
          <w:bCs w:val="0"/>
        </w:rPr>
        <w:t>决算总体情况说明</w:t>
      </w:r>
    </w:p>
    <w:p w:rsidR="001368C4" w:rsidRDefault="00113FA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年度收支总计（含结转和结余）</w:t>
      </w:r>
      <w:r>
        <w:rPr>
          <w:rFonts w:ascii="仿宋_GB2312" w:eastAsia="仿宋_GB2312" w:cs="DengXian-Regular" w:hint="eastAsia"/>
          <w:sz w:val="32"/>
          <w:szCs w:val="32"/>
        </w:rPr>
        <w:t>68.87</w:t>
      </w:r>
      <w:r>
        <w:rPr>
          <w:rFonts w:ascii="仿宋_GB2312" w:eastAsia="仿宋_GB2312" w:cs="DengXian-Regular" w:hint="eastAsia"/>
          <w:sz w:val="32"/>
          <w:szCs w:val="32"/>
        </w:rPr>
        <w:t>万元。与</w:t>
      </w:r>
      <w:r>
        <w:rPr>
          <w:rFonts w:ascii="仿宋_GB2312" w:eastAsia="仿宋_GB2312" w:cs="DengXian-Regular" w:hint="eastAsia"/>
          <w:sz w:val="32"/>
          <w:szCs w:val="32"/>
        </w:rPr>
        <w:t>2017</w:t>
      </w:r>
      <w:r>
        <w:rPr>
          <w:rFonts w:ascii="仿宋_GB2312" w:eastAsia="仿宋_GB2312" w:cs="DengXian-Regular" w:hint="eastAsia"/>
          <w:sz w:val="32"/>
          <w:szCs w:val="32"/>
        </w:rPr>
        <w:t>年度决算相比，收支各减少</w:t>
      </w:r>
      <w:r>
        <w:rPr>
          <w:rFonts w:ascii="仿宋_GB2312" w:eastAsia="仿宋_GB2312" w:cs="DengXian-Regular" w:hint="eastAsia"/>
          <w:sz w:val="32"/>
          <w:szCs w:val="32"/>
        </w:rPr>
        <w:t>2.51</w:t>
      </w:r>
      <w:r>
        <w:rPr>
          <w:rFonts w:ascii="仿宋_GB2312" w:eastAsia="仿宋_GB2312" w:cs="DengXian-Regular" w:hint="eastAsia"/>
          <w:sz w:val="32"/>
          <w:szCs w:val="32"/>
        </w:rPr>
        <w:t>万元，下降</w:t>
      </w:r>
      <w:r>
        <w:rPr>
          <w:rFonts w:ascii="仿宋_GB2312" w:eastAsia="仿宋_GB2312" w:cs="DengXian-Regular" w:hint="eastAsia"/>
          <w:sz w:val="32"/>
          <w:szCs w:val="32"/>
        </w:rPr>
        <w:t>3.6%</w:t>
      </w:r>
      <w:r>
        <w:rPr>
          <w:rFonts w:ascii="仿宋_GB2312" w:eastAsia="仿宋_GB2312" w:cs="DengXian-Regular" w:hint="eastAsia"/>
          <w:sz w:val="32"/>
          <w:szCs w:val="32"/>
        </w:rPr>
        <w:t>，主要原因是退休人员工资转社保局。</w:t>
      </w:r>
    </w:p>
    <w:p w:rsidR="001368C4" w:rsidRDefault="00113FA3">
      <w:pPr>
        <w:pStyle w:val="2"/>
        <w:spacing w:before="0" w:after="0" w:line="580" w:lineRule="exact"/>
        <w:ind w:firstLineChars="200" w:firstLine="640"/>
        <w:rPr>
          <w:rFonts w:ascii="黑体" w:eastAsia="黑体"/>
          <w:b w:val="0"/>
          <w:bCs w:val="0"/>
        </w:rPr>
      </w:pPr>
      <w:r>
        <w:rPr>
          <w:rFonts w:ascii="黑体" w:eastAsia="黑体" w:hint="eastAsia"/>
          <w:b w:val="0"/>
          <w:bCs w:val="0"/>
        </w:rPr>
        <w:t>二、收入决算情况说明</w:t>
      </w:r>
    </w:p>
    <w:p w:rsidR="001368C4" w:rsidRDefault="00113FA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年度本年收入合计</w:t>
      </w:r>
      <w:r>
        <w:rPr>
          <w:rFonts w:ascii="仿宋_GB2312" w:eastAsia="仿宋_GB2312" w:cs="DengXian-Regular" w:hint="eastAsia"/>
          <w:sz w:val="32"/>
          <w:szCs w:val="32"/>
        </w:rPr>
        <w:t>65.37</w:t>
      </w:r>
      <w:r>
        <w:rPr>
          <w:rFonts w:ascii="仿宋_GB2312" w:eastAsia="仿宋_GB2312" w:cs="DengXian-Regular" w:hint="eastAsia"/>
          <w:sz w:val="32"/>
          <w:szCs w:val="32"/>
        </w:rPr>
        <w:t>万元，其中：财政拨款收入</w:t>
      </w:r>
      <w:r>
        <w:rPr>
          <w:rFonts w:ascii="仿宋_GB2312" w:eastAsia="仿宋_GB2312" w:cs="DengXian-Regular" w:hint="eastAsia"/>
          <w:sz w:val="32"/>
          <w:szCs w:val="32"/>
        </w:rPr>
        <w:t>65.37</w:t>
      </w:r>
      <w:r>
        <w:rPr>
          <w:rFonts w:ascii="仿宋_GB2312" w:eastAsia="仿宋_GB2312" w:cs="DengXian-Regular" w:hint="eastAsia"/>
          <w:sz w:val="32"/>
          <w:szCs w:val="32"/>
        </w:rPr>
        <w:t>万元，占</w:t>
      </w:r>
      <w:r>
        <w:rPr>
          <w:rFonts w:ascii="仿宋_GB2312" w:eastAsia="仿宋_GB2312" w:cs="DengXian-Regular" w:hint="eastAsia"/>
          <w:sz w:val="32"/>
          <w:szCs w:val="32"/>
        </w:rPr>
        <w:t>100%</w:t>
      </w:r>
      <w:r>
        <w:rPr>
          <w:rFonts w:ascii="仿宋_GB2312" w:eastAsia="仿宋_GB2312" w:cs="DengXian-Regular" w:hint="eastAsia"/>
          <w:sz w:val="32"/>
          <w:szCs w:val="32"/>
        </w:rPr>
        <w:t>；事业收入</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经营收入</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其他收入</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。如图所示：</w:t>
      </w:r>
    </w:p>
    <w:p w:rsidR="001368C4" w:rsidRDefault="001368C4">
      <w:pPr>
        <w:adjustRightInd w:val="0"/>
        <w:snapToGrid w:val="0"/>
        <w:spacing w:after="0" w:line="580" w:lineRule="exact"/>
        <w:rPr>
          <w:rFonts w:ascii="仿宋_GB2312" w:eastAsia="仿宋_GB2312" w:cs="DengXian-Regular"/>
          <w:sz w:val="32"/>
          <w:szCs w:val="32"/>
        </w:rPr>
      </w:pPr>
    </w:p>
    <w:p w:rsidR="001368C4" w:rsidRDefault="00113FA3">
      <w:pPr>
        <w:adjustRightInd w:val="0"/>
        <w:snapToGrid w:val="0"/>
        <w:spacing w:after="0" w:line="240" w:lineRule="auto"/>
        <w:ind w:firstLineChars="200" w:firstLine="640"/>
        <w:rPr>
          <w:rFonts w:ascii="仿宋_GB2312" w:eastAsia="仿宋_GB2312" w:cs="DengXian-Regular"/>
          <w:sz w:val="32"/>
          <w:szCs w:val="32"/>
        </w:rPr>
      </w:pPr>
      <w:r>
        <w:rPr>
          <w:rFonts w:ascii="仿宋_GB2312" w:eastAsia="仿宋_GB2312" w:cs="DengXian-Regular"/>
          <w:noProof/>
          <w:sz w:val="32"/>
          <w:szCs w:val="32"/>
        </w:rPr>
        <w:drawing>
          <wp:inline distT="0" distB="0" distL="0" distR="0">
            <wp:extent cx="4391025" cy="2638425"/>
            <wp:effectExtent l="57150" t="0" r="47625" b="66675"/>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368C4" w:rsidRDefault="00113FA3">
      <w:pPr>
        <w:pStyle w:val="2"/>
        <w:spacing w:before="0" w:after="0" w:line="580" w:lineRule="exact"/>
        <w:ind w:firstLineChars="200" w:firstLine="640"/>
        <w:rPr>
          <w:rFonts w:ascii="黑体" w:eastAsia="黑体"/>
          <w:b w:val="0"/>
          <w:bCs w:val="0"/>
        </w:rPr>
      </w:pPr>
      <w:r>
        <w:rPr>
          <w:rFonts w:ascii="黑体" w:eastAsia="黑体" w:hint="eastAsia"/>
          <w:b w:val="0"/>
          <w:bCs w:val="0"/>
        </w:rPr>
        <w:t>三、支出决算情况说</w:t>
      </w:r>
    </w:p>
    <w:p w:rsidR="001368C4" w:rsidRDefault="00113FA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年度本年支出合计</w:t>
      </w:r>
      <w:r>
        <w:rPr>
          <w:rFonts w:ascii="仿宋_GB2312" w:eastAsia="仿宋_GB2312" w:cs="DengXian-Regular" w:hint="eastAsia"/>
          <w:sz w:val="32"/>
          <w:szCs w:val="32"/>
        </w:rPr>
        <w:t>68.41</w:t>
      </w:r>
      <w:r>
        <w:rPr>
          <w:rFonts w:ascii="仿宋_GB2312" w:eastAsia="仿宋_GB2312" w:cs="DengXian-Regular" w:hint="eastAsia"/>
          <w:sz w:val="32"/>
          <w:szCs w:val="32"/>
        </w:rPr>
        <w:t>万元，其中：基本支出</w:t>
      </w:r>
      <w:r>
        <w:rPr>
          <w:rFonts w:ascii="仿宋_GB2312" w:eastAsia="仿宋_GB2312" w:cs="DengXian-Regular" w:hint="eastAsia"/>
          <w:sz w:val="32"/>
          <w:szCs w:val="32"/>
        </w:rPr>
        <w:t>60.2</w:t>
      </w:r>
      <w:r>
        <w:rPr>
          <w:rFonts w:ascii="仿宋_GB2312" w:eastAsia="仿宋_GB2312" w:cs="DengXian-Regular" w:hint="eastAsia"/>
          <w:sz w:val="32"/>
          <w:szCs w:val="32"/>
        </w:rPr>
        <w:t>万元，占</w:t>
      </w:r>
      <w:r>
        <w:rPr>
          <w:rFonts w:ascii="仿宋_GB2312" w:eastAsia="仿宋_GB2312" w:cs="DengXian-Regular" w:hint="eastAsia"/>
          <w:sz w:val="32"/>
          <w:szCs w:val="32"/>
        </w:rPr>
        <w:t>88%</w:t>
      </w:r>
      <w:r>
        <w:rPr>
          <w:rFonts w:ascii="仿宋_GB2312" w:eastAsia="仿宋_GB2312" w:cs="DengXian-Regular" w:hint="eastAsia"/>
          <w:sz w:val="32"/>
          <w:szCs w:val="32"/>
        </w:rPr>
        <w:t>；项目支出</w:t>
      </w:r>
      <w:r>
        <w:rPr>
          <w:rFonts w:ascii="仿宋_GB2312" w:eastAsia="仿宋_GB2312" w:cs="DengXian-Regular" w:hint="eastAsia"/>
          <w:sz w:val="32"/>
          <w:szCs w:val="32"/>
        </w:rPr>
        <w:t>8.21</w:t>
      </w:r>
      <w:r>
        <w:rPr>
          <w:rFonts w:ascii="仿宋_GB2312" w:eastAsia="仿宋_GB2312" w:cs="DengXian-Regular" w:hint="eastAsia"/>
          <w:sz w:val="32"/>
          <w:szCs w:val="32"/>
        </w:rPr>
        <w:t>万元，占</w:t>
      </w:r>
      <w:r>
        <w:rPr>
          <w:rFonts w:ascii="仿宋_GB2312" w:eastAsia="仿宋_GB2312" w:cs="DengXian-Regular" w:hint="eastAsia"/>
          <w:sz w:val="32"/>
          <w:szCs w:val="32"/>
        </w:rPr>
        <w:t>12%</w:t>
      </w:r>
      <w:r>
        <w:rPr>
          <w:rFonts w:ascii="仿宋_GB2312" w:eastAsia="仿宋_GB2312" w:cs="DengXian-Regular" w:hint="eastAsia"/>
          <w:sz w:val="32"/>
          <w:szCs w:val="32"/>
        </w:rPr>
        <w:t>；经营支出</w:t>
      </w:r>
      <w:r>
        <w:rPr>
          <w:rFonts w:ascii="仿宋_GB2312" w:eastAsia="仿宋_GB2312" w:cs="DengXian-Regular" w:hint="eastAsia"/>
          <w:sz w:val="32"/>
          <w:szCs w:val="32"/>
        </w:rPr>
        <w:t>0</w:t>
      </w:r>
      <w:r>
        <w:rPr>
          <w:rFonts w:ascii="仿宋_GB2312" w:eastAsia="仿宋_GB2312" w:cs="DengXian-Regular" w:hint="eastAsia"/>
          <w:sz w:val="32"/>
          <w:szCs w:val="32"/>
        </w:rPr>
        <w:t>万元。如图所示：</w:t>
      </w:r>
    </w:p>
    <w:p w:rsidR="001368C4" w:rsidRDefault="001368C4">
      <w:pPr>
        <w:adjustRightInd w:val="0"/>
        <w:snapToGrid w:val="0"/>
        <w:spacing w:after="0" w:line="580" w:lineRule="exact"/>
        <w:ind w:firstLineChars="200" w:firstLine="640"/>
        <w:rPr>
          <w:rFonts w:ascii="仿宋_GB2312" w:eastAsia="仿宋_GB2312" w:cs="DengXian-Regular"/>
          <w:sz w:val="32"/>
          <w:szCs w:val="32"/>
        </w:rPr>
      </w:pPr>
    </w:p>
    <w:p w:rsidR="001368C4" w:rsidRDefault="001368C4">
      <w:pPr>
        <w:adjustRightInd w:val="0"/>
        <w:snapToGrid w:val="0"/>
        <w:spacing w:after="0" w:line="240" w:lineRule="auto"/>
        <w:ind w:firstLineChars="200" w:firstLine="640"/>
        <w:rPr>
          <w:rFonts w:ascii="仿宋_GB2312" w:eastAsia="仿宋_GB2312" w:cs="DengXian-Regular"/>
          <w:sz w:val="32"/>
          <w:szCs w:val="32"/>
        </w:rPr>
      </w:pPr>
    </w:p>
    <w:p w:rsidR="001368C4" w:rsidRDefault="00113FA3">
      <w:pPr>
        <w:adjustRightInd w:val="0"/>
        <w:snapToGrid w:val="0"/>
        <w:spacing w:after="0" w:line="240" w:lineRule="auto"/>
        <w:ind w:firstLineChars="200" w:firstLine="640"/>
        <w:rPr>
          <w:rFonts w:ascii="仿宋_GB2312" w:eastAsia="仿宋_GB2312" w:cs="DengXian-Regular"/>
          <w:sz w:val="32"/>
          <w:szCs w:val="32"/>
        </w:rPr>
      </w:pPr>
      <w:r>
        <w:rPr>
          <w:rFonts w:ascii="仿宋_GB2312" w:eastAsia="仿宋_GB2312" w:cs="DengXian-Regular"/>
          <w:noProof/>
          <w:sz w:val="32"/>
          <w:szCs w:val="32"/>
        </w:rPr>
        <w:drawing>
          <wp:inline distT="0" distB="0" distL="0" distR="0">
            <wp:extent cx="4219575" cy="2600325"/>
            <wp:effectExtent l="57150" t="0" r="47625" b="66675"/>
            <wp:docPr id="10"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368C4" w:rsidRDefault="00113FA3">
      <w:pPr>
        <w:pStyle w:val="2"/>
        <w:spacing w:before="0" w:after="0" w:line="580" w:lineRule="exact"/>
        <w:ind w:firstLineChars="200" w:firstLine="640"/>
        <w:rPr>
          <w:rFonts w:ascii="黑体" w:eastAsia="黑体"/>
          <w:b w:val="0"/>
          <w:bCs w:val="0"/>
        </w:rPr>
      </w:pPr>
      <w:r>
        <w:rPr>
          <w:rFonts w:ascii="黑体" w:eastAsia="黑体" w:hint="eastAsia"/>
          <w:b w:val="0"/>
          <w:bCs w:val="0"/>
        </w:rPr>
        <w:t>四、</w:t>
      </w:r>
      <w:r>
        <w:rPr>
          <w:rFonts w:ascii="黑体" w:eastAsia="黑体" w:hAnsiTheme="minorHAnsi" w:cs="黑体" w:hint="eastAsia"/>
          <w:b w:val="0"/>
          <w:bCs w:val="0"/>
          <w:kern w:val="0"/>
        </w:rPr>
        <w:t>财政</w:t>
      </w:r>
      <w:r>
        <w:rPr>
          <w:rFonts w:ascii="黑体" w:eastAsia="黑体" w:hint="eastAsia"/>
          <w:b w:val="0"/>
          <w:bCs w:val="0"/>
        </w:rPr>
        <w:t>拨款收入支出决算情况说明</w:t>
      </w:r>
    </w:p>
    <w:p w:rsidR="001368C4" w:rsidRDefault="00113FA3">
      <w:pPr>
        <w:spacing w:after="0" w:line="580" w:lineRule="exact"/>
        <w:ind w:firstLineChars="200" w:firstLine="643"/>
        <w:rPr>
          <w:rFonts w:ascii="楷体_GB2312" w:eastAsia="楷体_GB2312" w:cs="DengXian-Bold"/>
          <w:b/>
          <w:bCs/>
          <w:sz w:val="32"/>
          <w:szCs w:val="32"/>
        </w:rPr>
      </w:pPr>
      <w:r>
        <w:rPr>
          <w:rFonts w:ascii="楷体_GB2312" w:eastAsia="楷体_GB2312" w:cs="DengXian-Bold" w:hint="eastAsia"/>
          <w:b/>
          <w:bCs/>
          <w:sz w:val="32"/>
          <w:szCs w:val="32"/>
        </w:rPr>
        <w:t>（一）财政拨款收支与</w:t>
      </w:r>
      <w:r>
        <w:rPr>
          <w:rFonts w:ascii="楷体_GB2312" w:eastAsia="楷体_GB2312" w:cs="DengXian-Bold" w:hint="eastAsia"/>
          <w:b/>
          <w:bCs/>
          <w:sz w:val="32"/>
          <w:szCs w:val="32"/>
        </w:rPr>
        <w:t xml:space="preserve">2017 </w:t>
      </w:r>
      <w:r>
        <w:rPr>
          <w:rFonts w:ascii="楷体_GB2312" w:eastAsia="楷体_GB2312" w:cs="DengXian-Bold" w:hint="eastAsia"/>
          <w:b/>
          <w:bCs/>
          <w:sz w:val="32"/>
          <w:szCs w:val="32"/>
        </w:rPr>
        <w:t>年度决算对比情况</w:t>
      </w:r>
    </w:p>
    <w:p w:rsidR="001368C4" w:rsidRDefault="00113FA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年度形成的财政拨款收支均为一般公共预算财政拨款，其中一般公共预</w:t>
      </w:r>
      <w:r>
        <w:rPr>
          <w:rFonts w:ascii="仿宋_GB2312" w:eastAsia="仿宋_GB2312" w:cs="DengXian-Regular" w:hint="eastAsia"/>
          <w:sz w:val="32"/>
          <w:szCs w:val="32"/>
        </w:rPr>
        <w:t>算财政拨款本年收入</w:t>
      </w:r>
      <w:r>
        <w:rPr>
          <w:rFonts w:ascii="仿宋_GB2312" w:eastAsia="仿宋_GB2312" w:cs="DengXian-Regular" w:hint="eastAsia"/>
          <w:sz w:val="32"/>
          <w:szCs w:val="32"/>
        </w:rPr>
        <w:t>65.37</w:t>
      </w:r>
      <w:r>
        <w:rPr>
          <w:rFonts w:ascii="仿宋_GB2312" w:eastAsia="仿宋_GB2312" w:cs="DengXian-Regular" w:hint="eastAsia"/>
          <w:sz w:val="32"/>
          <w:szCs w:val="32"/>
        </w:rPr>
        <w:t>万元</w:t>
      </w:r>
      <w:r>
        <w:rPr>
          <w:rFonts w:ascii="仿宋_GB2312" w:eastAsia="仿宋_GB2312" w:cs="DengXian-Regular" w:hint="eastAsia"/>
          <w:sz w:val="32"/>
          <w:szCs w:val="32"/>
        </w:rPr>
        <w:t>,</w:t>
      </w:r>
      <w:r>
        <w:rPr>
          <w:rFonts w:ascii="仿宋_GB2312" w:eastAsia="仿宋_GB2312" w:cs="DengXian-Regular" w:hint="eastAsia"/>
          <w:sz w:val="32"/>
          <w:szCs w:val="32"/>
        </w:rPr>
        <w:t>比</w:t>
      </w:r>
      <w:r>
        <w:rPr>
          <w:rFonts w:ascii="仿宋_GB2312" w:eastAsia="仿宋_GB2312" w:cs="DengXian-Regular" w:hint="eastAsia"/>
          <w:sz w:val="32"/>
          <w:szCs w:val="32"/>
        </w:rPr>
        <w:t>2017</w:t>
      </w:r>
      <w:r>
        <w:rPr>
          <w:rFonts w:ascii="仿宋_GB2312" w:eastAsia="仿宋_GB2312" w:cs="DengXian-Regular" w:hint="eastAsia"/>
          <w:sz w:val="32"/>
          <w:szCs w:val="32"/>
        </w:rPr>
        <w:t>年度减少</w:t>
      </w:r>
      <w:r>
        <w:rPr>
          <w:rFonts w:ascii="仿宋_GB2312" w:eastAsia="仿宋_GB2312" w:cs="DengXian-Regular" w:hint="eastAsia"/>
          <w:sz w:val="32"/>
          <w:szCs w:val="32"/>
        </w:rPr>
        <w:t>3.65</w:t>
      </w:r>
      <w:r>
        <w:rPr>
          <w:rFonts w:ascii="仿宋_GB2312" w:eastAsia="仿宋_GB2312" w:cs="DengXian-Regular" w:hint="eastAsia"/>
          <w:sz w:val="32"/>
          <w:szCs w:val="32"/>
        </w:rPr>
        <w:t>万元，降低</w:t>
      </w:r>
      <w:r>
        <w:rPr>
          <w:rFonts w:ascii="仿宋_GB2312" w:eastAsia="仿宋_GB2312" w:cs="DengXian-Regular" w:hint="eastAsia"/>
          <w:sz w:val="32"/>
          <w:szCs w:val="32"/>
        </w:rPr>
        <w:t>3.6%</w:t>
      </w:r>
      <w:r>
        <w:rPr>
          <w:rFonts w:ascii="仿宋_GB2312" w:eastAsia="仿宋_GB2312" w:cs="DengXian-Regular" w:hint="eastAsia"/>
          <w:sz w:val="32"/>
          <w:szCs w:val="32"/>
        </w:rPr>
        <w:t>，主要是退休人员工资转社保局；本年支出</w:t>
      </w:r>
      <w:r>
        <w:rPr>
          <w:rFonts w:ascii="仿宋_GB2312" w:eastAsia="仿宋_GB2312" w:cs="DengXian-Regular" w:hint="eastAsia"/>
          <w:sz w:val="32"/>
          <w:szCs w:val="32"/>
        </w:rPr>
        <w:t>68.41</w:t>
      </w:r>
      <w:r>
        <w:rPr>
          <w:rFonts w:ascii="仿宋_GB2312" w:eastAsia="仿宋_GB2312" w:cs="DengXian-Regular" w:hint="eastAsia"/>
          <w:sz w:val="32"/>
          <w:szCs w:val="32"/>
        </w:rPr>
        <w:t>万元，增长</w:t>
      </w:r>
      <w:r>
        <w:rPr>
          <w:rFonts w:ascii="仿宋_GB2312" w:eastAsia="仿宋_GB2312" w:cs="DengXian-Regular" w:hint="eastAsia"/>
          <w:sz w:val="32"/>
          <w:szCs w:val="32"/>
        </w:rPr>
        <w:t>0.54</w:t>
      </w:r>
      <w:r>
        <w:rPr>
          <w:rFonts w:ascii="仿宋_GB2312" w:eastAsia="仿宋_GB2312" w:cs="DengXian-Regular" w:hint="eastAsia"/>
          <w:sz w:val="32"/>
          <w:szCs w:val="32"/>
        </w:rPr>
        <w:t>万元，增长</w:t>
      </w:r>
      <w:r>
        <w:rPr>
          <w:rFonts w:ascii="仿宋_GB2312" w:eastAsia="仿宋_GB2312" w:cs="DengXian-Regular" w:hint="eastAsia"/>
          <w:sz w:val="32"/>
          <w:szCs w:val="32"/>
        </w:rPr>
        <w:t>0.007%</w:t>
      </w:r>
      <w:r>
        <w:rPr>
          <w:rFonts w:ascii="仿宋_GB2312" w:eastAsia="仿宋_GB2312" w:cs="DengXian-Regular" w:hint="eastAsia"/>
          <w:sz w:val="32"/>
          <w:szCs w:val="32"/>
        </w:rPr>
        <w:t>，主要是</w:t>
      </w:r>
      <w:r>
        <w:rPr>
          <w:rFonts w:ascii="仿宋" w:eastAsia="仿宋" w:hAnsi="仿宋" w:cs="仿宋" w:hint="eastAsia"/>
          <w:sz w:val="32"/>
          <w:szCs w:val="32"/>
        </w:rPr>
        <w:t>今年有一位退休人员死亡产生抚恤金</w:t>
      </w:r>
      <w:r>
        <w:rPr>
          <w:rFonts w:ascii="仿宋_GB2312" w:eastAsia="仿宋_GB2312" w:cs="DengXian-Regular" w:hint="eastAsia"/>
          <w:sz w:val="32"/>
          <w:szCs w:val="32"/>
        </w:rPr>
        <w:t>。</w:t>
      </w:r>
    </w:p>
    <w:p w:rsidR="001368C4" w:rsidRDefault="00113FA3">
      <w:pPr>
        <w:adjustRightInd w:val="0"/>
        <w:snapToGrid w:val="0"/>
        <w:spacing w:after="0" w:line="240" w:lineRule="auto"/>
        <w:ind w:firstLineChars="200" w:firstLine="640"/>
        <w:rPr>
          <w:rFonts w:ascii="仿宋_GB2312" w:eastAsia="仿宋_GB2312" w:cs="DengXian-Regular"/>
          <w:sz w:val="32"/>
          <w:szCs w:val="32"/>
        </w:rPr>
      </w:pPr>
      <w:r>
        <w:rPr>
          <w:rFonts w:ascii="仿宋_GB2312" w:eastAsia="仿宋_GB2312" w:cs="DengXian-Regular"/>
          <w:noProof/>
          <w:sz w:val="32"/>
          <w:szCs w:val="32"/>
        </w:rPr>
        <w:drawing>
          <wp:inline distT="0" distB="0" distL="0" distR="0">
            <wp:extent cx="4392295" cy="2423795"/>
            <wp:effectExtent l="57150" t="0" r="64903" b="71327"/>
            <wp:docPr id="11"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368C4" w:rsidRDefault="00113FA3">
      <w:pPr>
        <w:spacing w:after="0" w:line="580" w:lineRule="exact"/>
        <w:rPr>
          <w:rFonts w:ascii="仿宋_GB2312" w:eastAsia="仿宋_GB2312" w:cs="DengXian-Bold"/>
          <w:b/>
          <w:bCs/>
          <w:sz w:val="32"/>
          <w:szCs w:val="32"/>
        </w:rPr>
      </w:pPr>
      <w:r>
        <w:rPr>
          <w:rFonts w:ascii="楷体_GB2312" w:eastAsia="楷体_GB2312" w:cs="DengXian-Bold" w:hint="eastAsia"/>
          <w:b/>
          <w:bCs/>
          <w:sz w:val="32"/>
          <w:szCs w:val="32"/>
        </w:rPr>
        <w:lastRenderedPageBreak/>
        <w:t>（二）财政拨款收支与年初预</w:t>
      </w:r>
      <w:r>
        <w:rPr>
          <w:rFonts w:asciiTheme="majorEastAsia" w:eastAsiaTheme="majorEastAsia" w:hAnsiTheme="majorEastAsia" w:cstheme="majorEastAsia" w:hint="eastAsia"/>
          <w:b/>
          <w:bCs/>
          <w:sz w:val="32"/>
          <w:szCs w:val="32"/>
        </w:rPr>
        <w:t>算数</w:t>
      </w:r>
      <w:r>
        <w:rPr>
          <w:rFonts w:ascii="楷体_GB2312" w:eastAsia="楷体_GB2312" w:cs="DengXian-Bold" w:hint="eastAsia"/>
          <w:b/>
          <w:bCs/>
          <w:sz w:val="32"/>
          <w:szCs w:val="32"/>
        </w:rPr>
        <w:t>对比情况</w:t>
      </w:r>
    </w:p>
    <w:p w:rsidR="001368C4" w:rsidRDefault="00113FA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年度一般公共预算财政拨款收入</w:t>
      </w:r>
      <w:r>
        <w:rPr>
          <w:rFonts w:ascii="仿宋_GB2312" w:eastAsia="仿宋_GB2312" w:cs="DengXian-Regular" w:hint="eastAsia"/>
          <w:sz w:val="32"/>
          <w:szCs w:val="32"/>
        </w:rPr>
        <w:t>65.37</w:t>
      </w:r>
      <w:r>
        <w:rPr>
          <w:rFonts w:ascii="仿宋_GB2312" w:eastAsia="仿宋_GB2312" w:cs="DengXian-Regular" w:hint="eastAsia"/>
          <w:sz w:val="32"/>
          <w:szCs w:val="32"/>
        </w:rPr>
        <w:t>万元，完成年初预算的</w:t>
      </w:r>
      <w:r>
        <w:rPr>
          <w:rFonts w:ascii="仿宋_GB2312" w:eastAsia="仿宋_GB2312" w:cs="DengXian-Regular" w:hint="eastAsia"/>
          <w:sz w:val="32"/>
          <w:szCs w:val="32"/>
        </w:rPr>
        <w:t>18.5%,</w:t>
      </w:r>
      <w:r>
        <w:rPr>
          <w:rFonts w:ascii="仿宋_GB2312" w:eastAsia="仿宋_GB2312" w:cs="DengXian-Regular" w:hint="eastAsia"/>
          <w:sz w:val="32"/>
          <w:szCs w:val="32"/>
        </w:rPr>
        <w:t>比年初预算减少</w:t>
      </w:r>
      <w:r>
        <w:rPr>
          <w:rFonts w:ascii="仿宋_GB2312" w:eastAsia="仿宋_GB2312" w:cs="DengXian-Regular" w:hint="eastAsia"/>
          <w:sz w:val="32"/>
          <w:szCs w:val="32"/>
        </w:rPr>
        <w:t>14.84</w:t>
      </w:r>
      <w:r>
        <w:rPr>
          <w:rFonts w:ascii="仿宋_GB2312" w:eastAsia="仿宋_GB2312" w:cs="DengXian-Regular" w:hint="eastAsia"/>
          <w:sz w:val="32"/>
          <w:szCs w:val="32"/>
        </w:rPr>
        <w:t>万元，决算数小于预算数主要原因是退休人员工次转社保；本年支出</w:t>
      </w:r>
      <w:r>
        <w:rPr>
          <w:rFonts w:ascii="仿宋_GB2312" w:eastAsia="仿宋_GB2312" w:cs="DengXian-Regular" w:hint="eastAsia"/>
          <w:sz w:val="32"/>
          <w:szCs w:val="32"/>
        </w:rPr>
        <w:t>68.41</w:t>
      </w:r>
      <w:r>
        <w:rPr>
          <w:rFonts w:ascii="仿宋_GB2312" w:eastAsia="仿宋_GB2312" w:cs="DengXian-Regular" w:hint="eastAsia"/>
          <w:sz w:val="32"/>
          <w:szCs w:val="32"/>
        </w:rPr>
        <w:t>万元，完成年初预算的</w:t>
      </w:r>
      <w:r>
        <w:rPr>
          <w:rFonts w:ascii="仿宋_GB2312" w:eastAsia="仿宋_GB2312" w:cs="DengXian-Regular" w:hint="eastAsia"/>
          <w:sz w:val="32"/>
          <w:szCs w:val="32"/>
        </w:rPr>
        <w:t>14.7%,</w:t>
      </w:r>
      <w:r>
        <w:rPr>
          <w:rFonts w:ascii="仿宋_GB2312" w:eastAsia="仿宋_GB2312" w:cs="DengXian-Regular" w:hint="eastAsia"/>
          <w:sz w:val="32"/>
          <w:szCs w:val="32"/>
        </w:rPr>
        <w:t>比年初预算减少</w:t>
      </w:r>
      <w:r>
        <w:rPr>
          <w:rFonts w:ascii="仿宋_GB2312" w:eastAsia="仿宋_GB2312" w:cs="DengXian-Regular" w:hint="eastAsia"/>
          <w:sz w:val="32"/>
          <w:szCs w:val="32"/>
        </w:rPr>
        <w:t>11.8</w:t>
      </w:r>
      <w:r>
        <w:rPr>
          <w:rFonts w:ascii="仿宋_GB2312" w:eastAsia="仿宋_GB2312" w:cs="DengXian-Regular" w:hint="eastAsia"/>
          <w:sz w:val="32"/>
          <w:szCs w:val="32"/>
        </w:rPr>
        <w:t>万元，决算数小于预算数主要原因是退休人员工次转社保。</w:t>
      </w:r>
    </w:p>
    <w:p w:rsidR="001368C4" w:rsidRDefault="001368C4">
      <w:pPr>
        <w:adjustRightInd w:val="0"/>
        <w:snapToGrid w:val="0"/>
        <w:spacing w:after="0" w:line="240" w:lineRule="auto"/>
        <w:ind w:firstLineChars="200" w:firstLine="640"/>
        <w:rPr>
          <w:rFonts w:ascii="仿宋_GB2312" w:eastAsia="仿宋_GB2312" w:cs="DengXian-Regular"/>
          <w:sz w:val="32"/>
          <w:szCs w:val="32"/>
        </w:rPr>
      </w:pPr>
    </w:p>
    <w:p w:rsidR="001368C4" w:rsidRDefault="00113FA3">
      <w:pPr>
        <w:adjustRightInd w:val="0"/>
        <w:snapToGrid w:val="0"/>
        <w:spacing w:after="0" w:line="240" w:lineRule="auto"/>
        <w:rPr>
          <w:rFonts w:ascii="仿宋_GB2312" w:eastAsia="仿宋_GB2312" w:cs="DengXian-Regular"/>
          <w:sz w:val="32"/>
          <w:szCs w:val="32"/>
        </w:rPr>
      </w:pPr>
      <w:r>
        <w:rPr>
          <w:noProof/>
        </w:rPr>
        <w:drawing>
          <wp:inline distT="0" distB="0" distL="114300" distR="114300">
            <wp:extent cx="4572000" cy="2743200"/>
            <wp:effectExtent l="4445" t="4445" r="14605" b="14605"/>
            <wp:docPr id="1"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368C4" w:rsidRDefault="00113FA3">
      <w:pPr>
        <w:numPr>
          <w:ilvl w:val="0"/>
          <w:numId w:val="1"/>
        </w:numPr>
        <w:adjustRightInd w:val="0"/>
        <w:snapToGrid w:val="0"/>
        <w:spacing w:after="0" w:line="580" w:lineRule="exact"/>
        <w:ind w:leftChars="200" w:left="420"/>
        <w:rPr>
          <w:rFonts w:ascii="楷体_GB2312" w:eastAsia="楷体_GB2312" w:cs="DengXian-Bold"/>
          <w:b/>
          <w:bCs/>
          <w:sz w:val="32"/>
          <w:szCs w:val="32"/>
        </w:rPr>
      </w:pPr>
      <w:r>
        <w:rPr>
          <w:rFonts w:ascii="楷体_GB2312" w:eastAsia="楷体_GB2312" w:cs="DengXian-Bold" w:hint="eastAsia"/>
          <w:b/>
          <w:bCs/>
          <w:sz w:val="32"/>
          <w:szCs w:val="32"/>
        </w:rPr>
        <w:t>财政拨款支出决算结构情况。</w:t>
      </w:r>
    </w:p>
    <w:p w:rsidR="001368C4" w:rsidRDefault="00113FA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 xml:space="preserve">2018 </w:t>
      </w:r>
      <w:r>
        <w:rPr>
          <w:rFonts w:ascii="仿宋_GB2312" w:eastAsia="仿宋_GB2312" w:cs="DengXian-Regular" w:hint="eastAsia"/>
          <w:sz w:val="32"/>
          <w:szCs w:val="32"/>
        </w:rPr>
        <w:t>年度财政拨款支出</w:t>
      </w:r>
      <w:r>
        <w:rPr>
          <w:rFonts w:ascii="仿宋_GB2312" w:eastAsia="仿宋_GB2312" w:cs="DengXian-Regular" w:hint="eastAsia"/>
          <w:sz w:val="32"/>
          <w:szCs w:val="32"/>
        </w:rPr>
        <w:t>68.41</w:t>
      </w:r>
      <w:r>
        <w:rPr>
          <w:rFonts w:ascii="仿宋_GB2312" w:eastAsia="仿宋_GB2312" w:cs="DengXian-Regular" w:hint="eastAsia"/>
          <w:sz w:val="32"/>
          <w:szCs w:val="32"/>
        </w:rPr>
        <w:t>万元，主要用于以下方面：一般公共服务（类）支出</w:t>
      </w:r>
      <w:r>
        <w:rPr>
          <w:rFonts w:ascii="仿宋_GB2312" w:eastAsia="仿宋_GB2312" w:cs="DengXian-Regular" w:hint="eastAsia"/>
          <w:sz w:val="32"/>
          <w:szCs w:val="32"/>
        </w:rPr>
        <w:t>0</w:t>
      </w:r>
      <w:r>
        <w:rPr>
          <w:rFonts w:ascii="仿宋_GB2312" w:eastAsia="仿宋_GB2312" w:cs="DengXian-Regular" w:hint="eastAsia"/>
          <w:sz w:val="32"/>
          <w:szCs w:val="32"/>
        </w:rPr>
        <w:t>万元；公共安全类（类）支出</w:t>
      </w:r>
      <w:r>
        <w:rPr>
          <w:rFonts w:ascii="仿宋_GB2312" w:eastAsia="仿宋_GB2312" w:cs="DengXian-Regular" w:hint="eastAsia"/>
          <w:sz w:val="32"/>
          <w:szCs w:val="32"/>
        </w:rPr>
        <w:t>0</w:t>
      </w:r>
      <w:r>
        <w:rPr>
          <w:rFonts w:ascii="仿宋_GB2312" w:eastAsia="仿宋_GB2312" w:cs="DengXian-Regular" w:hint="eastAsia"/>
          <w:sz w:val="32"/>
          <w:szCs w:val="32"/>
        </w:rPr>
        <w:t>万元；教育（类）支出</w:t>
      </w:r>
      <w:r>
        <w:rPr>
          <w:rFonts w:ascii="仿宋_GB2312" w:eastAsia="仿宋_GB2312" w:cs="DengXian-Regular" w:hint="eastAsia"/>
          <w:sz w:val="32"/>
          <w:szCs w:val="32"/>
        </w:rPr>
        <w:t>0</w:t>
      </w:r>
      <w:r>
        <w:rPr>
          <w:rFonts w:ascii="仿宋_GB2312" w:eastAsia="仿宋_GB2312" w:cs="DengXian-Regular" w:hint="eastAsia"/>
          <w:sz w:val="32"/>
          <w:szCs w:val="32"/>
        </w:rPr>
        <w:t>万元；科学技术（类）支出</w:t>
      </w:r>
      <w:r>
        <w:rPr>
          <w:rFonts w:ascii="仿宋_GB2312" w:eastAsia="仿宋_GB2312" w:cs="DengXian-Regular" w:hint="eastAsia"/>
          <w:sz w:val="32"/>
          <w:szCs w:val="32"/>
        </w:rPr>
        <w:t>51.59</w:t>
      </w:r>
      <w:r>
        <w:rPr>
          <w:rFonts w:ascii="仿宋_GB2312" w:eastAsia="仿宋_GB2312" w:cs="DengXian-Regular" w:hint="eastAsia"/>
          <w:sz w:val="32"/>
          <w:szCs w:val="32"/>
        </w:rPr>
        <w:t>万元，占</w:t>
      </w:r>
      <w:r>
        <w:rPr>
          <w:rFonts w:ascii="仿宋_GB2312" w:eastAsia="仿宋_GB2312" w:cs="DengXian-Regular" w:hint="eastAsia"/>
          <w:sz w:val="32"/>
          <w:szCs w:val="32"/>
        </w:rPr>
        <w:t xml:space="preserve"> </w:t>
      </w:r>
      <w:r>
        <w:rPr>
          <w:rFonts w:ascii="仿宋_GB2312" w:eastAsia="仿宋_GB2312" w:cs="DengXian-Regular" w:hint="eastAsia"/>
          <w:sz w:val="32"/>
          <w:szCs w:val="32"/>
        </w:rPr>
        <w:t>75.41%</w:t>
      </w:r>
      <w:r>
        <w:rPr>
          <w:rFonts w:ascii="仿宋_GB2312" w:eastAsia="仿宋_GB2312" w:cs="DengXian-Regular" w:hint="eastAsia"/>
          <w:sz w:val="32"/>
          <w:szCs w:val="32"/>
        </w:rPr>
        <w:t>；社会保障和就业（类）支出</w:t>
      </w:r>
      <w:r>
        <w:rPr>
          <w:rFonts w:ascii="仿宋_GB2312" w:eastAsia="仿宋_GB2312" w:cs="DengXian-Regular" w:hint="eastAsia"/>
          <w:sz w:val="32"/>
          <w:szCs w:val="32"/>
        </w:rPr>
        <w:t>16.82</w:t>
      </w:r>
      <w:r>
        <w:rPr>
          <w:rFonts w:ascii="仿宋_GB2312" w:eastAsia="仿宋_GB2312" w:cs="DengXian-Regular" w:hint="eastAsia"/>
          <w:sz w:val="32"/>
          <w:szCs w:val="32"/>
        </w:rPr>
        <w:t>万元，占</w:t>
      </w:r>
      <w:r>
        <w:rPr>
          <w:rFonts w:ascii="仿宋_GB2312" w:eastAsia="仿宋_GB2312" w:cs="DengXian-Regular" w:hint="eastAsia"/>
          <w:sz w:val="32"/>
          <w:szCs w:val="32"/>
        </w:rPr>
        <w:t>24.59%</w:t>
      </w:r>
      <w:r>
        <w:rPr>
          <w:rFonts w:ascii="仿宋_GB2312" w:eastAsia="仿宋_GB2312" w:cs="DengXian-Regular" w:hint="eastAsia"/>
          <w:sz w:val="32"/>
          <w:szCs w:val="32"/>
        </w:rPr>
        <w:t>；住房保障（类）支出</w:t>
      </w:r>
      <w:r>
        <w:rPr>
          <w:rFonts w:ascii="仿宋_GB2312" w:eastAsia="仿宋_GB2312" w:cs="DengXian-Regular" w:hint="eastAsia"/>
          <w:sz w:val="32"/>
          <w:szCs w:val="32"/>
        </w:rPr>
        <w:t>0</w:t>
      </w:r>
      <w:r>
        <w:rPr>
          <w:rFonts w:ascii="仿宋_GB2312" w:eastAsia="仿宋_GB2312" w:cs="DengXian-Regular" w:hint="eastAsia"/>
          <w:sz w:val="32"/>
          <w:szCs w:val="32"/>
        </w:rPr>
        <w:t>万元。</w:t>
      </w:r>
    </w:p>
    <w:p w:rsidR="001368C4" w:rsidRDefault="00113FA3">
      <w:pPr>
        <w:adjustRightInd w:val="0"/>
        <w:snapToGrid w:val="0"/>
        <w:spacing w:after="0" w:line="240" w:lineRule="auto"/>
        <w:ind w:firstLineChars="246" w:firstLine="790"/>
        <w:rPr>
          <w:rFonts w:ascii="楷体_GB2312" w:eastAsia="楷体_GB2312" w:cs="DengXian-Bold"/>
          <w:b/>
          <w:bCs/>
          <w:sz w:val="32"/>
          <w:szCs w:val="32"/>
        </w:rPr>
      </w:pPr>
      <w:r>
        <w:rPr>
          <w:rFonts w:ascii="楷体_GB2312" w:eastAsia="楷体_GB2312" w:cs="DengXian-Bold"/>
          <w:b/>
          <w:bCs/>
          <w:noProof/>
          <w:sz w:val="32"/>
          <w:szCs w:val="32"/>
        </w:rPr>
        <w:lastRenderedPageBreak/>
        <w:drawing>
          <wp:inline distT="0" distB="0" distL="0" distR="0">
            <wp:extent cx="4170045" cy="3315970"/>
            <wp:effectExtent l="57150" t="0" r="59055" b="74930"/>
            <wp:docPr id="14"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368C4" w:rsidRDefault="00113FA3">
      <w:pPr>
        <w:adjustRightInd w:val="0"/>
        <w:snapToGrid w:val="0"/>
        <w:spacing w:after="0" w:line="580" w:lineRule="exact"/>
        <w:ind w:leftChars="200" w:left="420"/>
        <w:rPr>
          <w:rFonts w:ascii="楷体_GB2312" w:eastAsia="楷体_GB2312" w:cs="DengXian-Bold"/>
          <w:b/>
          <w:bCs/>
          <w:sz w:val="32"/>
          <w:szCs w:val="32"/>
        </w:rPr>
      </w:pPr>
      <w:r>
        <w:rPr>
          <w:rFonts w:ascii="楷体_GB2312" w:eastAsia="楷体_GB2312" w:cs="DengXian-Bold" w:hint="eastAsia"/>
          <w:b/>
          <w:bCs/>
          <w:sz w:val="32"/>
          <w:szCs w:val="32"/>
        </w:rPr>
        <w:t>（四）一般公共预算财政拨款基本支出决算情况说明</w:t>
      </w:r>
    </w:p>
    <w:p w:rsidR="001368C4" w:rsidRDefault="00113FA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 xml:space="preserve">2018 </w:t>
      </w:r>
      <w:r>
        <w:rPr>
          <w:rFonts w:ascii="仿宋_GB2312" w:eastAsia="仿宋_GB2312" w:cs="DengXian-Regular" w:hint="eastAsia"/>
          <w:sz w:val="32"/>
          <w:szCs w:val="32"/>
        </w:rPr>
        <w:t>年度一般公共预算财政拨款基本支出</w:t>
      </w:r>
      <w:r>
        <w:rPr>
          <w:rFonts w:ascii="仿宋_GB2312" w:eastAsia="仿宋_GB2312" w:cs="DengXian-Regular" w:hint="eastAsia"/>
          <w:sz w:val="32"/>
          <w:szCs w:val="32"/>
        </w:rPr>
        <w:t>60.2</w:t>
      </w:r>
      <w:r>
        <w:rPr>
          <w:rFonts w:ascii="仿宋_GB2312" w:eastAsia="仿宋_GB2312" w:cs="DengXian-Regular" w:hint="eastAsia"/>
          <w:sz w:val="32"/>
          <w:szCs w:val="32"/>
        </w:rPr>
        <w:t>万元，其中：人员经费</w:t>
      </w:r>
      <w:r>
        <w:rPr>
          <w:rFonts w:ascii="仿宋_GB2312" w:eastAsia="仿宋_GB2312" w:cs="DengXian-Regular" w:hint="eastAsia"/>
          <w:sz w:val="32"/>
          <w:szCs w:val="32"/>
        </w:rPr>
        <w:t xml:space="preserve"> 56.1</w:t>
      </w:r>
      <w:r>
        <w:rPr>
          <w:rFonts w:ascii="仿宋_GB2312" w:eastAsia="仿宋_GB2312" w:cs="DengXian-Regular"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w:t>
      </w:r>
      <w:r>
        <w:rPr>
          <w:rFonts w:ascii="仿宋_GB2312" w:eastAsia="仿宋_GB2312" w:cs="DengXian-Regular" w:hint="eastAsia"/>
          <w:sz w:val="32"/>
          <w:szCs w:val="32"/>
        </w:rPr>
        <w:t>出；公用经费</w:t>
      </w:r>
      <w:r>
        <w:rPr>
          <w:rFonts w:ascii="仿宋_GB2312" w:eastAsia="仿宋_GB2312" w:cs="DengXian-Regular" w:hint="eastAsia"/>
          <w:sz w:val="32"/>
          <w:szCs w:val="32"/>
        </w:rPr>
        <w:t>4.1</w:t>
      </w:r>
      <w:r>
        <w:rPr>
          <w:rFonts w:ascii="仿宋_GB2312" w:eastAsia="仿宋_GB2312" w:cs="DengXian-Regular" w:hint="eastAsia"/>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w:t>
      </w:r>
      <w:r>
        <w:rPr>
          <w:rFonts w:ascii="仿宋_GB2312" w:eastAsia="仿宋_GB2312" w:cs="DengXian-Regular" w:hint="eastAsia"/>
          <w:sz w:val="32"/>
          <w:szCs w:val="32"/>
        </w:rPr>
        <w:lastRenderedPageBreak/>
        <w:t>及附加费用、其他商品和服务支出、办公设备购置、专用设备购置、信息网络及软件购置更新、公务用车购置、其他资本性支出。</w:t>
      </w:r>
    </w:p>
    <w:p w:rsidR="001368C4" w:rsidRDefault="00113FA3">
      <w:pPr>
        <w:pStyle w:val="2"/>
        <w:spacing w:before="0" w:after="0" w:line="580" w:lineRule="exact"/>
        <w:ind w:firstLineChars="200" w:firstLine="640"/>
        <w:rPr>
          <w:rFonts w:ascii="黑体" w:eastAsia="黑体"/>
          <w:b w:val="0"/>
          <w:bCs w:val="0"/>
        </w:rPr>
      </w:pPr>
      <w:r>
        <w:rPr>
          <w:rFonts w:ascii="黑体" w:eastAsia="黑体" w:hint="eastAsia"/>
          <w:b w:val="0"/>
          <w:bCs w:val="0"/>
        </w:rPr>
        <w:t>五、一般公共预算财政拨款“三公”</w:t>
      </w:r>
      <w:r>
        <w:rPr>
          <w:rFonts w:ascii="黑体" w:eastAsia="黑体" w:hint="eastAsia"/>
          <w:b w:val="0"/>
          <w:bCs w:val="0"/>
        </w:rPr>
        <w:t xml:space="preserve"> </w:t>
      </w:r>
      <w:r>
        <w:rPr>
          <w:rFonts w:ascii="黑体" w:eastAsia="黑体" w:hint="eastAsia"/>
          <w:b w:val="0"/>
          <w:bCs w:val="0"/>
        </w:rPr>
        <w:t>经费支出决算情况说明</w:t>
      </w:r>
    </w:p>
    <w:p w:rsidR="001368C4" w:rsidRDefault="00113FA3">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w:t>
      </w:r>
      <w:r>
        <w:rPr>
          <w:rFonts w:ascii="仿宋_GB2312" w:eastAsia="仿宋_GB2312" w:cs="DengXian-Regular" w:hint="eastAsia"/>
          <w:sz w:val="32"/>
          <w:szCs w:val="32"/>
        </w:rPr>
        <w:t xml:space="preserve"> </w:t>
      </w:r>
      <w:r>
        <w:rPr>
          <w:rFonts w:ascii="仿宋_GB2312" w:eastAsia="仿宋_GB2312" w:cs="DengXian-Regular" w:hint="eastAsia"/>
          <w:sz w:val="32"/>
          <w:szCs w:val="32"/>
        </w:rPr>
        <w:t>“三公”经费支出共计</w:t>
      </w:r>
      <w:r>
        <w:rPr>
          <w:rFonts w:ascii="仿宋_GB2312" w:eastAsia="仿宋_GB2312" w:cs="DengXian-Regular" w:hint="eastAsia"/>
          <w:sz w:val="32"/>
          <w:szCs w:val="32"/>
        </w:rPr>
        <w:t>0</w:t>
      </w:r>
      <w:r>
        <w:rPr>
          <w:rFonts w:ascii="仿宋_GB2312" w:eastAsia="仿宋_GB2312" w:cs="DengXian-Regular" w:hint="eastAsia"/>
          <w:sz w:val="32"/>
          <w:szCs w:val="32"/>
        </w:rPr>
        <w:t>万元，较年初预算</w:t>
      </w:r>
      <w:r w:rsidR="00A26DFD">
        <w:rPr>
          <w:rFonts w:ascii="仿宋_GB2312" w:eastAsia="仿宋_GB2312" w:cs="DengXian-Regular" w:hint="eastAsia"/>
          <w:sz w:val="32"/>
          <w:szCs w:val="32"/>
        </w:rPr>
        <w:t>无增减变化</w:t>
      </w:r>
      <w:r>
        <w:rPr>
          <w:rFonts w:ascii="仿宋_GB2312" w:eastAsia="仿宋_GB2312" w:cs="DengXian-Regular" w:hint="eastAsia"/>
          <w:sz w:val="32"/>
          <w:szCs w:val="32"/>
        </w:rPr>
        <w:t>。</w:t>
      </w:r>
      <w:r>
        <w:rPr>
          <w:rFonts w:ascii="仿宋_GB2312" w:eastAsia="仿宋_GB2312" w:cs="DengXian-Regular" w:hint="eastAsia"/>
          <w:sz w:val="32"/>
          <w:szCs w:val="32"/>
        </w:rPr>
        <w:t>主要是本部门本年度无相关支出。</w:t>
      </w:r>
    </w:p>
    <w:p w:rsidR="001368C4" w:rsidRDefault="00113FA3">
      <w:pPr>
        <w:adjustRightInd w:val="0"/>
        <w:snapToGrid w:val="0"/>
        <w:spacing w:after="0" w:line="58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（一）因公出国（境）费支出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年度因公出国（境）团组</w:t>
      </w:r>
      <w:r>
        <w:rPr>
          <w:rFonts w:ascii="仿宋_GB2312" w:eastAsia="仿宋_GB2312" w:cs="DengXian-Regular" w:hint="eastAsia"/>
          <w:sz w:val="32"/>
          <w:szCs w:val="32"/>
        </w:rPr>
        <w:t>0</w:t>
      </w:r>
      <w:r>
        <w:rPr>
          <w:rFonts w:ascii="仿宋_GB2312" w:eastAsia="仿宋_GB2312" w:cs="DengXian-Regular" w:hint="eastAsia"/>
          <w:sz w:val="32"/>
          <w:szCs w:val="32"/>
        </w:rPr>
        <w:t>个、共</w:t>
      </w:r>
      <w:r>
        <w:rPr>
          <w:rFonts w:ascii="仿宋_GB2312" w:eastAsia="仿宋_GB2312" w:cs="DengXian-Regular" w:hint="eastAsia"/>
          <w:sz w:val="32"/>
          <w:szCs w:val="32"/>
        </w:rPr>
        <w:t>0</w:t>
      </w:r>
      <w:r>
        <w:rPr>
          <w:rFonts w:ascii="仿宋_GB2312" w:eastAsia="仿宋_GB2312" w:cs="DengXian-Regular" w:hint="eastAsia"/>
          <w:sz w:val="32"/>
          <w:szCs w:val="32"/>
        </w:rPr>
        <w:t>人。</w:t>
      </w:r>
      <w:r w:rsidR="00A26DFD">
        <w:rPr>
          <w:rFonts w:ascii="仿宋_GB2312" w:eastAsia="仿宋_GB2312" w:cs="DengXian-Regular" w:hint="eastAsia"/>
          <w:sz w:val="32"/>
          <w:szCs w:val="32"/>
        </w:rPr>
        <w:t>与年初预算持平</w:t>
      </w:r>
      <w:r>
        <w:rPr>
          <w:rFonts w:ascii="仿宋_GB2312" w:eastAsia="仿宋_GB2312" w:cs="DengXian-Regular" w:hint="eastAsia"/>
          <w:sz w:val="32"/>
          <w:szCs w:val="32"/>
        </w:rPr>
        <w:t>无增减</w:t>
      </w:r>
      <w:r>
        <w:rPr>
          <w:rFonts w:ascii="仿宋" w:eastAsia="仿宋" w:hAnsi="仿宋" w:cs="仿宋" w:hint="eastAsia"/>
          <w:sz w:val="32"/>
          <w:szCs w:val="32"/>
        </w:rPr>
        <w:t>变化</w:t>
      </w:r>
      <w:r w:rsidR="00A26DFD">
        <w:rPr>
          <w:rFonts w:ascii="仿宋" w:eastAsia="仿宋" w:hAnsi="仿宋" w:cs="仿宋" w:hint="eastAsia"/>
          <w:sz w:val="32"/>
          <w:szCs w:val="32"/>
        </w:rPr>
        <w:t>，</w:t>
      </w:r>
      <w:r>
        <w:rPr>
          <w:rFonts w:ascii="仿宋_GB2312" w:eastAsia="仿宋_GB2312" w:cs="DengXian-Regular" w:hint="eastAsia"/>
          <w:sz w:val="32"/>
          <w:szCs w:val="32"/>
        </w:rPr>
        <w:t>主要是本部门本年度无相关收入和支出。</w:t>
      </w:r>
    </w:p>
    <w:p w:rsidR="001368C4" w:rsidRDefault="00113FA3">
      <w:pPr>
        <w:adjustRightInd w:val="0"/>
        <w:snapToGrid w:val="0"/>
        <w:spacing w:after="0" w:line="58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（二）公务用车购置及运行维护费支出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年度公务用车购置及运行维护费较年初预算减少</w:t>
      </w:r>
      <w:r>
        <w:rPr>
          <w:rFonts w:ascii="仿宋_GB2312" w:eastAsia="仿宋_GB2312" w:cs="DengXian-Regular" w:hint="eastAsia"/>
          <w:sz w:val="32"/>
          <w:szCs w:val="32"/>
        </w:rPr>
        <w:t>0</w:t>
      </w:r>
      <w:r>
        <w:rPr>
          <w:rFonts w:ascii="仿宋_GB2312" w:eastAsia="仿宋_GB2312" w:cs="DengXian-Regular" w:hint="eastAsia"/>
          <w:sz w:val="32"/>
          <w:szCs w:val="32"/>
        </w:rPr>
        <w:t>万元，降低</w:t>
      </w:r>
      <w:r>
        <w:rPr>
          <w:rFonts w:ascii="仿宋_GB2312" w:eastAsia="仿宋_GB2312" w:cs="DengXian-Regular" w:hint="eastAsia"/>
          <w:sz w:val="32"/>
          <w:szCs w:val="32"/>
        </w:rPr>
        <w:t>0%,</w:t>
      </w:r>
      <w:r>
        <w:rPr>
          <w:rFonts w:ascii="仿宋_GB2312" w:eastAsia="仿宋_GB2312" w:cs="DengXian-Regular" w:hint="eastAsia"/>
          <w:sz w:val="32"/>
          <w:szCs w:val="32"/>
        </w:rPr>
        <w:t>主要是本部门本年度无相关收入和支出。</w:t>
      </w:r>
    </w:p>
    <w:p w:rsidR="001368C4" w:rsidRDefault="00113FA3">
      <w:pPr>
        <w:adjustRightInd w:val="0"/>
        <w:snapToGrid w:val="0"/>
        <w:spacing w:after="0" w:line="58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公务用车购置费：</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年度公务用车购置量</w:t>
      </w:r>
      <w:r>
        <w:rPr>
          <w:rFonts w:ascii="仿宋_GB2312" w:eastAsia="仿宋_GB2312" w:cs="DengXian-Regular" w:hint="eastAsia"/>
          <w:sz w:val="32"/>
          <w:szCs w:val="32"/>
        </w:rPr>
        <w:t>0</w:t>
      </w:r>
      <w:r>
        <w:rPr>
          <w:rFonts w:ascii="仿宋_GB2312" w:eastAsia="仿宋_GB2312" w:cs="DengXian-Regular" w:hint="eastAsia"/>
          <w:sz w:val="32"/>
          <w:szCs w:val="32"/>
        </w:rPr>
        <w:t>辆，发生“公务用车购置”经费支出</w:t>
      </w:r>
      <w:r>
        <w:rPr>
          <w:rFonts w:ascii="仿宋_GB2312" w:eastAsia="仿宋_GB2312" w:cs="DengXian-Regular" w:hint="eastAsia"/>
          <w:sz w:val="32"/>
          <w:szCs w:val="32"/>
        </w:rPr>
        <w:t>0</w:t>
      </w:r>
      <w:r>
        <w:rPr>
          <w:rFonts w:ascii="仿宋_GB2312" w:eastAsia="仿宋_GB2312" w:cs="DengXian-Regular" w:hint="eastAsia"/>
          <w:sz w:val="32"/>
          <w:szCs w:val="32"/>
        </w:rPr>
        <w:t>万元。与</w:t>
      </w:r>
      <w:r w:rsidR="00A26DFD">
        <w:rPr>
          <w:rFonts w:ascii="仿宋_GB2312" w:eastAsia="仿宋_GB2312" w:cs="DengXian-Regular" w:hint="eastAsia"/>
          <w:sz w:val="32"/>
          <w:szCs w:val="32"/>
        </w:rPr>
        <w:t>年初预算持平</w:t>
      </w:r>
      <w:r>
        <w:rPr>
          <w:rFonts w:ascii="仿宋_GB2312" w:eastAsia="仿宋_GB2312" w:cs="DengXian-Regular" w:hint="eastAsia"/>
          <w:sz w:val="32"/>
          <w:szCs w:val="32"/>
        </w:rPr>
        <w:t>，</w:t>
      </w:r>
      <w:r>
        <w:rPr>
          <w:rFonts w:ascii="仿宋" w:eastAsia="仿宋" w:hAnsi="仿宋" w:cs="仿宋" w:hint="eastAsia"/>
          <w:sz w:val="32"/>
          <w:szCs w:val="32"/>
        </w:rPr>
        <w:t>无增</w:t>
      </w:r>
      <w:r>
        <w:rPr>
          <w:rFonts w:ascii="仿宋_GB2312" w:eastAsia="仿宋_GB2312" w:cs="DengXian-Regular" w:hint="eastAsia"/>
          <w:sz w:val="32"/>
          <w:szCs w:val="32"/>
        </w:rPr>
        <w:t>减</w:t>
      </w:r>
      <w:r>
        <w:rPr>
          <w:rFonts w:ascii="仿宋" w:eastAsia="仿宋" w:hAnsi="仿宋" w:cs="仿宋" w:hint="eastAsia"/>
          <w:sz w:val="32"/>
          <w:szCs w:val="32"/>
        </w:rPr>
        <w:t>变化</w:t>
      </w:r>
      <w:r>
        <w:rPr>
          <w:rFonts w:ascii="仿宋_GB2312" w:eastAsia="仿宋_GB2312" w:cs="DengXian-Regular" w:hint="eastAsia"/>
          <w:sz w:val="32"/>
          <w:szCs w:val="32"/>
        </w:rPr>
        <w:t>，主要是本部门本年度无相关收入和支出。</w:t>
      </w:r>
    </w:p>
    <w:p w:rsidR="001368C4" w:rsidRDefault="00113FA3">
      <w:pPr>
        <w:adjustRightInd w:val="0"/>
        <w:snapToGrid w:val="0"/>
        <w:spacing w:after="0" w:line="58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公务用车运行维护费：</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年度单位公务用车保有量</w:t>
      </w:r>
      <w:r>
        <w:rPr>
          <w:rFonts w:ascii="仿宋_GB2312" w:eastAsia="仿宋_GB2312" w:cs="DengXian-Regular" w:hint="eastAsia"/>
          <w:sz w:val="32"/>
          <w:szCs w:val="32"/>
        </w:rPr>
        <w:t>0</w:t>
      </w:r>
      <w:r>
        <w:rPr>
          <w:rFonts w:ascii="仿宋_GB2312" w:eastAsia="仿宋_GB2312" w:cs="DengXian-Regular" w:hint="eastAsia"/>
          <w:sz w:val="32"/>
          <w:szCs w:val="32"/>
        </w:rPr>
        <w:t>辆。公车运行维护费支出较年初预算增加</w:t>
      </w:r>
      <w:r>
        <w:rPr>
          <w:rFonts w:ascii="仿宋_GB2312" w:eastAsia="仿宋_GB2312" w:cs="DengXian-Regular" w:hint="eastAsia"/>
          <w:sz w:val="32"/>
          <w:szCs w:val="32"/>
        </w:rPr>
        <w:t>0</w:t>
      </w:r>
      <w:r>
        <w:rPr>
          <w:rFonts w:ascii="仿宋_GB2312" w:eastAsia="仿宋_GB2312" w:cs="DengXian-Regular" w:hint="eastAsia"/>
          <w:sz w:val="32"/>
          <w:szCs w:val="32"/>
        </w:rPr>
        <w:t>万元，</w:t>
      </w:r>
      <w:r>
        <w:rPr>
          <w:rFonts w:ascii="仿宋" w:eastAsia="仿宋" w:hAnsi="仿宋" w:cs="仿宋" w:hint="eastAsia"/>
          <w:sz w:val="32"/>
          <w:szCs w:val="32"/>
        </w:rPr>
        <w:t>无增</w:t>
      </w:r>
      <w:r>
        <w:rPr>
          <w:rFonts w:ascii="仿宋_GB2312" w:eastAsia="仿宋_GB2312" w:cs="DengXian-Regular" w:hint="eastAsia"/>
          <w:sz w:val="32"/>
          <w:szCs w:val="32"/>
        </w:rPr>
        <w:t>减</w:t>
      </w:r>
      <w:r>
        <w:rPr>
          <w:rFonts w:ascii="仿宋" w:eastAsia="仿宋" w:hAnsi="仿宋" w:cs="仿宋" w:hint="eastAsia"/>
          <w:sz w:val="32"/>
          <w:szCs w:val="32"/>
        </w:rPr>
        <w:t>变化</w:t>
      </w:r>
      <w:r>
        <w:rPr>
          <w:rFonts w:ascii="仿宋_GB2312" w:eastAsia="仿宋_GB2312" w:cs="DengXian-Regular" w:hint="eastAsia"/>
          <w:sz w:val="32"/>
          <w:szCs w:val="32"/>
        </w:rPr>
        <w:t>,</w:t>
      </w:r>
      <w:r>
        <w:rPr>
          <w:rFonts w:ascii="仿宋_GB2312" w:eastAsia="仿宋_GB2312" w:cs="DengXian-Regular" w:hint="eastAsia"/>
          <w:sz w:val="32"/>
          <w:szCs w:val="32"/>
        </w:rPr>
        <w:t>主要是本部门本年度无相关收入和支出。</w:t>
      </w:r>
    </w:p>
    <w:p w:rsidR="001368C4" w:rsidRDefault="00113FA3">
      <w:pPr>
        <w:adjustRightInd w:val="0"/>
        <w:snapToGrid w:val="0"/>
        <w:spacing w:after="0" w:line="58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（三）公务接待费支出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年度公务接待共</w:t>
      </w:r>
      <w:r>
        <w:rPr>
          <w:rFonts w:ascii="仿宋_GB2312" w:eastAsia="仿宋_GB2312" w:cs="DengXian-Regular" w:hint="eastAsia"/>
          <w:sz w:val="32"/>
          <w:szCs w:val="32"/>
        </w:rPr>
        <w:t>0</w:t>
      </w:r>
      <w:r>
        <w:rPr>
          <w:rFonts w:ascii="仿宋_GB2312" w:eastAsia="仿宋_GB2312" w:cs="DengXian-Regular" w:hint="eastAsia"/>
          <w:sz w:val="32"/>
          <w:szCs w:val="32"/>
        </w:rPr>
        <w:t>批次、</w:t>
      </w:r>
      <w:r>
        <w:rPr>
          <w:rFonts w:ascii="仿宋_GB2312" w:eastAsia="仿宋_GB2312" w:cs="DengXian-Regular" w:hint="eastAsia"/>
          <w:sz w:val="32"/>
          <w:szCs w:val="32"/>
        </w:rPr>
        <w:t>0</w:t>
      </w:r>
      <w:r>
        <w:rPr>
          <w:rFonts w:ascii="仿宋_GB2312" w:eastAsia="仿宋_GB2312" w:cs="DengXian-Regular" w:hint="eastAsia"/>
          <w:sz w:val="32"/>
          <w:szCs w:val="32"/>
        </w:rPr>
        <w:t>人次。公务接待费支出较年初预算增加</w:t>
      </w:r>
      <w:r>
        <w:rPr>
          <w:rFonts w:ascii="仿宋_GB2312" w:eastAsia="仿宋_GB2312" w:cs="DengXian-Regular" w:hint="eastAsia"/>
          <w:sz w:val="32"/>
          <w:szCs w:val="32"/>
        </w:rPr>
        <w:t>0</w:t>
      </w:r>
      <w:r>
        <w:rPr>
          <w:rFonts w:ascii="仿宋_GB2312" w:eastAsia="仿宋_GB2312" w:cs="DengXian-Regular" w:hint="eastAsia"/>
          <w:sz w:val="32"/>
          <w:szCs w:val="32"/>
        </w:rPr>
        <w:t>万元，</w:t>
      </w:r>
      <w:r>
        <w:rPr>
          <w:rFonts w:ascii="仿宋" w:eastAsia="仿宋" w:hAnsi="仿宋" w:cs="仿宋" w:hint="eastAsia"/>
          <w:sz w:val="32"/>
          <w:szCs w:val="32"/>
        </w:rPr>
        <w:t>无增</w:t>
      </w:r>
      <w:r>
        <w:rPr>
          <w:rFonts w:ascii="仿宋_GB2312" w:eastAsia="仿宋_GB2312" w:cs="DengXian-Regular" w:hint="eastAsia"/>
          <w:sz w:val="32"/>
          <w:szCs w:val="32"/>
        </w:rPr>
        <w:t>减</w:t>
      </w:r>
      <w:r>
        <w:rPr>
          <w:rFonts w:ascii="仿宋" w:eastAsia="仿宋" w:hAnsi="仿宋" w:cs="仿宋" w:hint="eastAsia"/>
          <w:sz w:val="32"/>
          <w:szCs w:val="32"/>
        </w:rPr>
        <w:t>变化</w:t>
      </w:r>
      <w:r>
        <w:rPr>
          <w:rFonts w:ascii="仿宋_GB2312" w:eastAsia="仿宋_GB2312" w:cs="DengXian-Regular" w:hint="eastAsia"/>
          <w:sz w:val="32"/>
          <w:szCs w:val="32"/>
        </w:rPr>
        <w:t>,</w:t>
      </w:r>
      <w:r>
        <w:rPr>
          <w:rFonts w:ascii="仿宋_GB2312" w:eastAsia="仿宋_GB2312" w:cs="DengXian-Regular" w:hint="eastAsia"/>
          <w:sz w:val="32"/>
          <w:szCs w:val="32"/>
        </w:rPr>
        <w:t>主要是本部门本年度无相关收入和支出。</w:t>
      </w:r>
    </w:p>
    <w:p w:rsidR="001368C4" w:rsidRDefault="00113FA3">
      <w:pPr>
        <w:pStyle w:val="2"/>
        <w:spacing w:before="0" w:after="0" w:line="580" w:lineRule="exact"/>
        <w:ind w:firstLineChars="200" w:firstLine="643"/>
        <w:rPr>
          <w:rFonts w:ascii="黑体" w:eastAsia="黑体" w:cs="Times New Roman"/>
        </w:rPr>
      </w:pPr>
      <w:r>
        <w:rPr>
          <w:rFonts w:ascii="黑体" w:eastAsia="黑体" w:hint="eastAsia"/>
          <w:szCs w:val="40"/>
        </w:rPr>
        <w:lastRenderedPageBreak/>
        <w:t>六、</w:t>
      </w:r>
      <w:r>
        <w:rPr>
          <w:rFonts w:ascii="黑体" w:eastAsia="黑体" w:cs="Times New Roman" w:hint="eastAsia"/>
        </w:rPr>
        <w:t>绩效预算情况说明</w:t>
      </w:r>
    </w:p>
    <w:p w:rsidR="001368C4" w:rsidRDefault="00113FA3">
      <w:pPr>
        <w:adjustRightInd w:val="0"/>
        <w:snapToGrid w:val="0"/>
        <w:spacing w:after="0" w:line="580" w:lineRule="exact"/>
        <w:ind w:firstLineChars="200" w:firstLine="640"/>
        <w:rPr>
          <w:rFonts w:ascii="仿宋_GB2312" w:eastAsia="仿宋_GB2312" w:cs="DengXian-Regular"/>
          <w:color w:val="FF0000"/>
          <w:sz w:val="32"/>
          <w:szCs w:val="32"/>
        </w:rPr>
      </w:pPr>
      <w:r>
        <w:rPr>
          <w:rFonts w:ascii="仿宋_GB2312" w:eastAsia="仿宋_GB2312" w:cs="DengXian-Regular" w:hint="eastAsia"/>
          <w:sz w:val="32"/>
          <w:szCs w:val="32"/>
        </w:rPr>
        <w:t>（一）绩效管理工作开展情况：</w:t>
      </w:r>
      <w:r>
        <w:rPr>
          <w:rFonts w:ascii="仿宋" w:eastAsia="仿宋" w:hAnsi="仿宋" w:cs="仿宋" w:hint="eastAsia"/>
          <w:sz w:val="32"/>
          <w:szCs w:val="32"/>
        </w:rPr>
        <w:t>现代财政资金讲究绩效管理，即花钱就有效，无效必问责，将所有财政资金纳入绩效管理，是财政改革的必由之路。绩效指标的设置和评价体系建</w:t>
      </w:r>
      <w:r>
        <w:rPr>
          <w:rFonts w:ascii="仿宋" w:eastAsia="仿宋" w:hAnsi="仿宋" w:cs="仿宋" w:hint="eastAsia"/>
          <w:sz w:val="32"/>
          <w:szCs w:val="32"/>
        </w:rPr>
        <w:t>立是实现绩效管理的关键，移动门户项目资金主管部门根据项目具体情况，科学设置绩效考核指标，并由中立的第三方按照既定评价方法进行科学评价，确保每一笔财政资金均能够实现自己的价值。</w:t>
      </w:r>
      <w:r>
        <w:rPr>
          <w:rFonts w:ascii="仿宋_GB2312" w:eastAsia="仿宋_GB2312" w:cs="DengXian-Regular" w:hint="eastAsia"/>
          <w:sz w:val="32"/>
          <w:szCs w:val="32"/>
        </w:rPr>
        <w:t>根据《关于开展</w:t>
      </w:r>
      <w:r>
        <w:rPr>
          <w:rFonts w:ascii="仿宋_GB2312" w:eastAsia="仿宋_GB2312" w:cs="DengXian-Regular" w:hint="eastAsia"/>
          <w:sz w:val="32"/>
          <w:szCs w:val="32"/>
        </w:rPr>
        <w:t>2018</w:t>
      </w:r>
      <w:r>
        <w:rPr>
          <w:rFonts w:ascii="仿宋_GB2312" w:eastAsia="仿宋_GB2312" w:cs="DengXian-Regular" w:hint="eastAsia"/>
          <w:sz w:val="32"/>
          <w:szCs w:val="32"/>
        </w:rPr>
        <w:t>年度财政专项资金部门绩效自评价工作的通知》（无财</w:t>
      </w:r>
      <w:r>
        <w:rPr>
          <w:rFonts w:ascii="仿宋_GB2312" w:eastAsia="仿宋_GB2312" w:cs="DengXian-Regular" w:hint="eastAsia"/>
          <w:sz w:val="32"/>
          <w:szCs w:val="32"/>
        </w:rPr>
        <w:t>[2019]13</w:t>
      </w:r>
      <w:r>
        <w:rPr>
          <w:rFonts w:ascii="仿宋_GB2312" w:eastAsia="仿宋_GB2312" w:cs="DengXian-Regular" w:hint="eastAsia"/>
          <w:sz w:val="32"/>
          <w:szCs w:val="32"/>
        </w:rPr>
        <w:t>号），本单位认真开展了预算绩效管理改革开展情况自查，对部门全面规范绩效预算编制、严格预算执行管理、推进绩效评价工作、推进预决算信息公开等方面进行了自评，考核结果为良好。</w:t>
      </w:r>
    </w:p>
    <w:p w:rsidR="001368C4" w:rsidRDefault="00113FA3">
      <w:pPr>
        <w:spacing w:line="500" w:lineRule="exact"/>
        <w:ind w:firstLineChars="200" w:firstLine="640"/>
        <w:rPr>
          <w:rFonts w:ascii="仿宋" w:eastAsia="仿宋" w:hAnsi="仿宋" w:cs="仿宋"/>
          <w:sz w:val="32"/>
          <w:szCs w:val="32"/>
          <w:shd w:val="pct10" w:color="auto" w:fill="FFFFFF"/>
        </w:rPr>
      </w:pPr>
      <w:r>
        <w:rPr>
          <w:rFonts w:ascii="仿宋_GB2312" w:eastAsia="仿宋_GB2312" w:cs="DengXian-Regular" w:hint="eastAsia"/>
          <w:sz w:val="32"/>
          <w:szCs w:val="32"/>
        </w:rPr>
        <w:t>（二）预算项目绩效评价开展情况：</w:t>
      </w:r>
      <w:r>
        <w:rPr>
          <w:rFonts w:ascii="仿宋" w:eastAsia="仿宋" w:hAnsi="仿宋" w:cs="宋体" w:hint="eastAsia"/>
          <w:sz w:val="32"/>
        </w:rPr>
        <w:t>提升重点人群科学素质，包括农民、社区居民、公务员和领导干部、青少年等；重点组织好全国科普日活动，组织参与科技周，食品安全宣传周、节水日，土地日等科普宣传周日和节能、环保等重点科普宣传活动；加强乡镇科协和学会等基层科协体系建设，提高基层科普服务能力。对于公众科学素质、助力全县经济社会发展具有重要意义。</w:t>
      </w:r>
      <w:r>
        <w:rPr>
          <w:rFonts w:ascii="仿宋_GB2312" w:eastAsia="仿宋_GB2312" w:cs="DengXian-Regular" w:hint="eastAsia"/>
          <w:sz w:val="32"/>
          <w:szCs w:val="32"/>
        </w:rPr>
        <w:t>根据预算绩效管理要求，本单位组织对</w:t>
      </w:r>
      <w:r>
        <w:rPr>
          <w:rFonts w:ascii="仿宋_GB2312" w:eastAsia="仿宋_GB2312" w:cs="DengXian-Regular" w:hint="eastAsia"/>
          <w:sz w:val="32"/>
          <w:szCs w:val="32"/>
        </w:rPr>
        <w:t>2017</w:t>
      </w:r>
      <w:r>
        <w:rPr>
          <w:rFonts w:ascii="仿宋_GB2312" w:eastAsia="仿宋_GB2312" w:cs="DengXian-Regular" w:hint="eastAsia"/>
          <w:sz w:val="32"/>
          <w:szCs w:val="32"/>
        </w:rPr>
        <w:t>年度一般公共预算项目支出全面开展绩效自评，涉及</w:t>
      </w:r>
      <w:r>
        <w:rPr>
          <w:rFonts w:ascii="仿宋" w:eastAsia="仿宋" w:hAnsi="仿宋" w:cs="仿宋" w:hint="eastAsia"/>
          <w:sz w:val="32"/>
          <w:szCs w:val="32"/>
        </w:rPr>
        <w:t>科普</w:t>
      </w:r>
      <w:r>
        <w:rPr>
          <w:rFonts w:ascii="仿宋_GB2312" w:eastAsia="仿宋_GB2312" w:cs="DengXian-Regular" w:hint="eastAsia"/>
          <w:sz w:val="32"/>
          <w:szCs w:val="32"/>
        </w:rPr>
        <w:t>活动、</w:t>
      </w:r>
      <w:r>
        <w:rPr>
          <w:rFonts w:ascii="仿宋" w:eastAsia="仿宋" w:hAnsi="仿宋" w:cs="仿宋" w:hint="eastAsia"/>
          <w:sz w:val="32"/>
          <w:szCs w:val="32"/>
        </w:rPr>
        <w:t>老科协</w:t>
      </w:r>
      <w:r>
        <w:rPr>
          <w:rFonts w:ascii="仿宋_GB2312" w:eastAsia="仿宋_GB2312" w:cs="DengXian-Regular" w:hint="eastAsia"/>
          <w:sz w:val="32"/>
          <w:szCs w:val="32"/>
        </w:rPr>
        <w:t>日常工作、全民科学素质等</w:t>
      </w:r>
      <w:r>
        <w:rPr>
          <w:rFonts w:ascii="仿宋_GB2312" w:eastAsia="仿宋_GB2312" w:cs="DengXian-Regular" w:hint="eastAsia"/>
          <w:sz w:val="32"/>
          <w:szCs w:val="32"/>
        </w:rPr>
        <w:t>3</w:t>
      </w:r>
      <w:r>
        <w:rPr>
          <w:rFonts w:ascii="仿宋_GB2312" w:eastAsia="仿宋_GB2312" w:cs="DengXian-Regular" w:hint="eastAsia"/>
          <w:sz w:val="32"/>
          <w:szCs w:val="32"/>
        </w:rPr>
        <w:t>个项目，涉及资金</w:t>
      </w:r>
      <w:r>
        <w:rPr>
          <w:rFonts w:ascii="仿宋_GB2312" w:eastAsia="仿宋_GB2312" w:cs="DengXian-Regular" w:hint="eastAsia"/>
          <w:sz w:val="32"/>
          <w:szCs w:val="32"/>
        </w:rPr>
        <w:t>4</w:t>
      </w:r>
      <w:r>
        <w:rPr>
          <w:rFonts w:ascii="仿宋_GB2312" w:eastAsia="仿宋_GB2312" w:cs="DengXian-Regular" w:hint="eastAsia"/>
          <w:sz w:val="32"/>
          <w:szCs w:val="32"/>
        </w:rPr>
        <w:t>万元。从评价情况看，评价结果为优秀的项目有</w:t>
      </w:r>
      <w:r>
        <w:rPr>
          <w:rFonts w:ascii="仿宋_GB2312" w:eastAsia="仿宋_GB2312" w:cs="DengXian-Regular" w:hint="eastAsia"/>
          <w:sz w:val="32"/>
          <w:szCs w:val="32"/>
        </w:rPr>
        <w:t>1</w:t>
      </w:r>
      <w:r>
        <w:rPr>
          <w:rFonts w:ascii="仿宋_GB2312" w:eastAsia="仿宋_GB2312" w:cs="DengXian-Regular" w:hint="eastAsia"/>
          <w:sz w:val="32"/>
          <w:szCs w:val="32"/>
        </w:rPr>
        <w:t>个，良好的项目有</w:t>
      </w:r>
      <w:r>
        <w:rPr>
          <w:rFonts w:ascii="仿宋_GB2312" w:eastAsia="仿宋_GB2312" w:cs="DengXian-Regular" w:hint="eastAsia"/>
          <w:sz w:val="32"/>
          <w:szCs w:val="32"/>
        </w:rPr>
        <w:t>1</w:t>
      </w:r>
      <w:r>
        <w:rPr>
          <w:rFonts w:ascii="仿宋_GB2312" w:eastAsia="仿宋_GB2312" w:cs="DengXian-Regular" w:hint="eastAsia"/>
          <w:sz w:val="32"/>
          <w:szCs w:val="32"/>
        </w:rPr>
        <w:t>个</w:t>
      </w:r>
      <w:r>
        <w:rPr>
          <w:rFonts w:ascii="仿宋_GB2312" w:eastAsia="仿宋_GB2312" w:cs="DengXian-Regular" w:hint="eastAsia"/>
          <w:sz w:val="32"/>
          <w:szCs w:val="32"/>
        </w:rPr>
        <w:t>，一般的项目有</w:t>
      </w:r>
      <w:r>
        <w:rPr>
          <w:rFonts w:ascii="仿宋_GB2312" w:eastAsia="仿宋_GB2312" w:cs="DengXian-Regular" w:hint="eastAsia"/>
          <w:sz w:val="32"/>
          <w:szCs w:val="32"/>
        </w:rPr>
        <w:t>1</w:t>
      </w:r>
      <w:r>
        <w:rPr>
          <w:rFonts w:ascii="仿宋_GB2312" w:eastAsia="仿宋_GB2312" w:cs="DengXian-Regular" w:hint="eastAsia"/>
          <w:sz w:val="32"/>
          <w:szCs w:val="32"/>
        </w:rPr>
        <w:t>个。（三）预算项目绩效自评选例，</w:t>
      </w:r>
      <w:r>
        <w:rPr>
          <w:rFonts w:ascii="仿宋_GB2312" w:eastAsia="仿宋_GB2312" w:hAnsi="黑体" w:cs="仿宋_GB2312" w:hint="eastAsia"/>
          <w:sz w:val="32"/>
          <w:szCs w:val="32"/>
        </w:rPr>
        <w:t>一是突出重点。</w:t>
      </w:r>
      <w:r>
        <w:rPr>
          <w:rFonts w:ascii="仿宋" w:eastAsia="仿宋" w:hAnsi="仿宋" w:cs="仿宋" w:hint="eastAsia"/>
          <w:sz w:val="32"/>
          <w:szCs w:val="32"/>
        </w:rPr>
        <w:t>紧紧围绕县委县</w:t>
      </w:r>
      <w:r>
        <w:rPr>
          <w:rFonts w:ascii="仿宋" w:eastAsia="仿宋" w:hAnsi="仿宋" w:cs="仿宋" w:hint="eastAsia"/>
          <w:sz w:val="32"/>
          <w:szCs w:val="32"/>
        </w:rPr>
        <w:lastRenderedPageBreak/>
        <w:t>政府的决策部署，调整优化支出结构，加强资金整合统筹，突出支持协同发展、脱贫攻坚、民生保障、更好地发挥对科普事业的保障作用；二是绩效导向。部门根据绩效高低，区分轻重缓急，合理安排顺序，健全预算绩效和预算安排挂钩机制，提高资金使用效益；三是依法理财。全面落实《预算法》等各项规定，改进预算和控制方法，加强财政资金管理，硬化预算刚性约束，积极推进预算公开。</w:t>
      </w:r>
    </w:p>
    <w:p w:rsidR="001368C4" w:rsidRDefault="00113FA3">
      <w:pPr>
        <w:adjustRightInd w:val="0"/>
        <w:snapToGrid w:val="0"/>
        <w:spacing w:after="0" w:line="580" w:lineRule="exact"/>
        <w:ind w:firstLineChars="200" w:firstLine="640"/>
        <w:rPr>
          <w:rFonts w:ascii="仿宋" w:eastAsia="仿宋" w:hAnsi="仿宋" w:cs="仿宋" w:hint="eastAsia"/>
          <w:sz w:val="32"/>
          <w:szCs w:val="32"/>
        </w:rPr>
      </w:pPr>
      <w:r>
        <w:rPr>
          <w:rFonts w:ascii="仿宋_GB2312" w:eastAsia="仿宋_GB2312" w:cs="DengXian-Regular" w:hint="eastAsia"/>
          <w:sz w:val="32"/>
          <w:szCs w:val="32"/>
        </w:rPr>
        <w:t>本单位科普活动项目绩效自评：根据年初设定的绩效目标，科普活动项目绩效自评结果为良好。</w:t>
      </w:r>
      <w:r>
        <w:rPr>
          <w:rFonts w:ascii="仿宋_GB2312" w:eastAsia="仿宋_GB2312" w:cs="DengXian-Regular" w:hint="eastAsia"/>
          <w:sz w:val="32"/>
          <w:szCs w:val="32"/>
        </w:rPr>
        <w:t>项目全年预算数为</w:t>
      </w:r>
      <w:r>
        <w:rPr>
          <w:rFonts w:ascii="仿宋_GB2312" w:eastAsia="仿宋_GB2312" w:cs="DengXian-Regular" w:hint="eastAsia"/>
          <w:sz w:val="32"/>
          <w:szCs w:val="32"/>
        </w:rPr>
        <w:t>2</w:t>
      </w:r>
      <w:r>
        <w:rPr>
          <w:rFonts w:ascii="仿宋_GB2312" w:eastAsia="仿宋_GB2312" w:cs="DengXian-Regular" w:hint="eastAsia"/>
          <w:sz w:val="32"/>
          <w:szCs w:val="32"/>
        </w:rPr>
        <w:t>万元，执行数为</w:t>
      </w:r>
      <w:r>
        <w:rPr>
          <w:rFonts w:ascii="仿宋_GB2312" w:eastAsia="仿宋_GB2312" w:cs="DengXian-Regular" w:hint="eastAsia"/>
          <w:sz w:val="32"/>
          <w:szCs w:val="32"/>
        </w:rPr>
        <w:t>2</w:t>
      </w:r>
      <w:r>
        <w:rPr>
          <w:rFonts w:ascii="仿宋_GB2312" w:eastAsia="仿宋_GB2312" w:cs="DengXian-Regular" w:hint="eastAsia"/>
          <w:sz w:val="32"/>
          <w:szCs w:val="32"/>
        </w:rPr>
        <w:t>万元，完成预算的</w:t>
      </w:r>
      <w:r>
        <w:rPr>
          <w:rFonts w:ascii="仿宋_GB2312" w:eastAsia="仿宋_GB2312" w:cs="DengXian-Regular" w:hint="eastAsia"/>
          <w:sz w:val="32"/>
          <w:szCs w:val="32"/>
        </w:rPr>
        <w:t>100%</w:t>
      </w:r>
      <w:r>
        <w:rPr>
          <w:rFonts w:ascii="仿宋_GB2312" w:eastAsia="仿宋_GB2312" w:cs="DengXian-Regular" w:hint="eastAsia"/>
          <w:sz w:val="32"/>
          <w:szCs w:val="32"/>
        </w:rPr>
        <w:t>。主要产出和效果是</w:t>
      </w:r>
      <w:r>
        <w:rPr>
          <w:rFonts w:ascii="仿宋" w:eastAsia="仿宋" w:hAnsi="仿宋" w:cs="仿宋" w:hint="eastAsia"/>
          <w:sz w:val="32"/>
          <w:szCs w:val="32"/>
        </w:rPr>
        <w:t>开展科普活动，提升科普能力</w:t>
      </w:r>
      <w:r>
        <w:rPr>
          <w:rFonts w:ascii="仿宋_GB2312" w:eastAsia="仿宋_GB2312" w:cs="DengXian-Regular" w:hint="eastAsia"/>
          <w:sz w:val="32"/>
          <w:szCs w:val="32"/>
        </w:rPr>
        <w:t>。发现问题及原因是活动次数不</w:t>
      </w:r>
      <w:r>
        <w:rPr>
          <w:rFonts w:ascii="仿宋" w:eastAsia="仿宋" w:hAnsi="仿宋" w:cs="仿宋" w:hint="eastAsia"/>
          <w:sz w:val="32"/>
          <w:szCs w:val="32"/>
        </w:rPr>
        <w:t>够多</w:t>
      </w:r>
      <w:r>
        <w:rPr>
          <w:rFonts w:ascii="仿宋_GB2312" w:eastAsia="仿宋_GB2312" w:cs="DengXian-Regular" w:hint="eastAsia"/>
          <w:sz w:val="32"/>
          <w:szCs w:val="32"/>
        </w:rPr>
        <w:t>，</w:t>
      </w:r>
      <w:r>
        <w:rPr>
          <w:rFonts w:ascii="仿宋" w:eastAsia="仿宋" w:hAnsi="仿宋" w:cs="仿宋" w:hint="eastAsia"/>
          <w:sz w:val="32"/>
          <w:szCs w:val="32"/>
        </w:rPr>
        <w:t>重点人群参与率低。下一步的改进措施是开展多种形式的科普惠农、科普益民等重点科普活动；开展科普下乡等系列科普活动，提升科普能力。</w:t>
      </w:r>
    </w:p>
    <w:p w:rsidR="00A26DFD" w:rsidRDefault="00A26DFD">
      <w:pPr>
        <w:adjustRightInd w:val="0"/>
        <w:snapToGrid w:val="0"/>
        <w:spacing w:after="0" w:line="580" w:lineRule="exact"/>
        <w:ind w:firstLineChars="200" w:firstLine="640"/>
        <w:rPr>
          <w:rFonts w:ascii="仿宋_GB2312" w:eastAsia="仿宋_GB2312" w:cs="DengXian-Regular"/>
          <w:sz w:val="32"/>
          <w:szCs w:val="32"/>
        </w:rPr>
      </w:pPr>
      <w:r>
        <w:rPr>
          <w:rFonts w:ascii="仿宋" w:eastAsia="仿宋" w:hAnsi="仿宋" w:cs="仿宋" w:hint="eastAsia"/>
          <w:sz w:val="32"/>
          <w:szCs w:val="32"/>
        </w:rPr>
        <w:t>未发现其他问题。</w:t>
      </w:r>
    </w:p>
    <w:p w:rsidR="001368C4" w:rsidRDefault="00113FA3">
      <w:pPr>
        <w:pStyle w:val="2"/>
        <w:spacing w:before="0" w:after="0" w:line="580" w:lineRule="exact"/>
        <w:ind w:firstLineChars="200" w:firstLine="640"/>
        <w:rPr>
          <w:rFonts w:ascii="黑体" w:eastAsia="黑体" w:cs="Times New Roman"/>
          <w:b w:val="0"/>
          <w:bCs w:val="0"/>
        </w:rPr>
      </w:pPr>
      <w:r>
        <w:rPr>
          <w:rFonts w:ascii="黑体" w:eastAsia="黑体" w:cs="Times New Roman" w:hint="eastAsia"/>
          <w:b w:val="0"/>
          <w:bCs w:val="0"/>
        </w:rPr>
        <w:t>七、其他重要事项的说明</w:t>
      </w:r>
    </w:p>
    <w:p w:rsidR="001368C4" w:rsidRDefault="00113FA3">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（一）机关运行经费情况</w:t>
      </w:r>
    </w:p>
    <w:p w:rsidR="001368C4" w:rsidRDefault="00113FA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年度机关运行经费支出</w:t>
      </w:r>
      <w:r>
        <w:rPr>
          <w:rFonts w:ascii="仿宋_GB2312" w:eastAsia="仿宋_GB2312" w:cs="DengXian-Regular" w:hint="eastAsia"/>
          <w:sz w:val="32"/>
          <w:szCs w:val="32"/>
        </w:rPr>
        <w:t>4.1</w:t>
      </w:r>
      <w:r>
        <w:rPr>
          <w:rFonts w:ascii="仿宋_GB2312" w:eastAsia="仿宋_GB2312" w:cs="DengXian-Regular" w:hint="eastAsia"/>
          <w:sz w:val="32"/>
          <w:szCs w:val="32"/>
        </w:rPr>
        <w:t>万元，比年初预算数增加</w:t>
      </w:r>
      <w:r>
        <w:rPr>
          <w:rFonts w:ascii="仿宋_GB2312" w:eastAsia="仿宋_GB2312" w:cs="DengXian-Regular" w:hint="eastAsia"/>
          <w:sz w:val="32"/>
          <w:szCs w:val="32"/>
        </w:rPr>
        <w:t>0.66</w:t>
      </w:r>
      <w:r>
        <w:rPr>
          <w:rFonts w:ascii="仿宋_GB2312" w:eastAsia="仿宋_GB2312" w:cs="DengXian-Regular" w:hint="eastAsia"/>
          <w:sz w:val="32"/>
          <w:szCs w:val="32"/>
        </w:rPr>
        <w:t>万元，增长</w:t>
      </w:r>
      <w:r>
        <w:rPr>
          <w:rFonts w:ascii="仿宋_GB2312" w:eastAsia="仿宋_GB2312" w:cs="DengXian-Regular" w:hint="eastAsia"/>
          <w:sz w:val="32"/>
          <w:szCs w:val="32"/>
        </w:rPr>
        <w:t>13.86%</w:t>
      </w:r>
      <w:r>
        <w:rPr>
          <w:rFonts w:ascii="仿宋_GB2312" w:eastAsia="仿宋_GB2312" w:cs="DengXian-Regular" w:hint="eastAsia"/>
          <w:sz w:val="32"/>
          <w:szCs w:val="32"/>
        </w:rPr>
        <w:t>。主要原因是科普活动减少。</w:t>
      </w:r>
    </w:p>
    <w:p w:rsidR="001368C4" w:rsidRDefault="00113FA3">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（二）政府采购情况</w:t>
      </w:r>
    </w:p>
    <w:p w:rsidR="001368C4" w:rsidRDefault="00113FA3">
      <w:pPr>
        <w:widowControl/>
        <w:spacing w:after="0" w:line="580" w:lineRule="exact"/>
        <w:ind w:firstLineChars="200" w:firstLine="640"/>
        <w:jc w:val="left"/>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年度政府采购支出总额</w:t>
      </w:r>
      <w:r>
        <w:rPr>
          <w:rFonts w:ascii="仿宋_GB2312" w:eastAsia="仿宋_GB2312" w:cs="DengXian-Regular" w:hint="eastAsia"/>
          <w:sz w:val="32"/>
          <w:szCs w:val="32"/>
        </w:rPr>
        <w:t>0</w:t>
      </w:r>
      <w:r>
        <w:rPr>
          <w:rFonts w:ascii="仿宋_GB2312" w:eastAsia="仿宋_GB2312" w:cs="DengXian-Regular" w:hint="eastAsia"/>
          <w:sz w:val="32"/>
          <w:szCs w:val="32"/>
        </w:rPr>
        <w:t>万元，从采购类型来看，</w:t>
      </w:r>
      <w:r>
        <w:rPr>
          <w:rFonts w:ascii="仿宋_GB2312" w:eastAsia="仿宋_GB2312" w:hAnsi="仿宋_GB2312" w:cs="仿宋_GB2312"/>
          <w:color w:val="000000"/>
          <w:kern w:val="0"/>
          <w:sz w:val="32"/>
          <w:szCs w:val="32"/>
        </w:rPr>
        <w:t>政</w:t>
      </w:r>
      <w:r>
        <w:rPr>
          <w:rFonts w:ascii="仿宋_GB2312" w:eastAsia="仿宋_GB2312" w:hAnsi="仿宋_GB2312" w:cs="仿宋_GB2312"/>
          <w:color w:val="000000"/>
          <w:kern w:val="0"/>
          <w:sz w:val="32"/>
          <w:szCs w:val="32"/>
        </w:rPr>
        <w:t>府采购货物支出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万元、政府采购工程支出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万元、政府</w:t>
      </w:r>
      <w:r>
        <w:rPr>
          <w:rFonts w:ascii="仿宋_GB2312" w:eastAsia="仿宋_GB2312" w:hAnsi="仿宋_GB2312" w:cs="仿宋_GB2312"/>
          <w:color w:val="000000"/>
          <w:kern w:val="0"/>
          <w:sz w:val="32"/>
          <w:szCs w:val="32"/>
        </w:rPr>
        <w:lastRenderedPageBreak/>
        <w:t>采购服务支出</w:t>
      </w:r>
      <w:r>
        <w:rPr>
          <w:rFonts w:ascii="仿宋_GB2312" w:eastAsia="仿宋_GB2312" w:hAnsi="仿宋_GB2312" w:cs="仿宋_GB2312"/>
          <w:color w:val="000000"/>
          <w:kern w:val="0"/>
          <w:sz w:val="32"/>
          <w:szCs w:val="32"/>
        </w:rPr>
        <w:t xml:space="preserve">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万元。授予中小企业合同金</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w:t>
      </w:r>
      <w:r w:rsidR="000C0736">
        <w:rPr>
          <w:rFonts w:ascii="仿宋_GB2312" w:eastAsia="仿宋_GB2312" w:hAnsi="仿宋_GB2312" w:cs="仿宋_GB2312" w:hint="eastAsia"/>
          <w:color w:val="000000"/>
          <w:kern w:val="0"/>
          <w:sz w:val="32"/>
          <w:szCs w:val="32"/>
        </w:rPr>
        <w:t>占采购金额的0%，其中授予小微企业合同金额0万元</w:t>
      </w:r>
      <w:r>
        <w:rPr>
          <w:rFonts w:ascii="仿宋_GB2312" w:eastAsia="仿宋_GB2312" w:cs="DengXian-Regular" w:hint="eastAsia"/>
          <w:sz w:val="32"/>
          <w:szCs w:val="32"/>
        </w:rPr>
        <w:t>，</w:t>
      </w:r>
      <w:r w:rsidR="000C0736">
        <w:rPr>
          <w:rFonts w:ascii="仿宋_GB2312" w:eastAsia="仿宋_GB2312" w:hAnsi="仿宋_GB2312" w:cs="仿宋_GB2312" w:hint="eastAsia"/>
          <w:color w:val="000000"/>
          <w:kern w:val="0"/>
          <w:sz w:val="32"/>
          <w:szCs w:val="32"/>
        </w:rPr>
        <w:t>占采购金额的0%，</w:t>
      </w:r>
      <w:r w:rsidR="000C0736">
        <w:rPr>
          <w:rFonts w:ascii="仿宋_GB2312" w:eastAsia="仿宋_GB2312" w:cs="DengXian-Regular" w:hint="eastAsia"/>
          <w:sz w:val="32"/>
          <w:szCs w:val="32"/>
        </w:rPr>
        <w:t>与上年</w:t>
      </w:r>
      <w:r w:rsidR="000C0736">
        <w:rPr>
          <w:rFonts w:ascii="仿宋" w:eastAsia="仿宋" w:hAnsi="仿宋" w:cs="仿宋" w:hint="eastAsia"/>
          <w:sz w:val="32"/>
          <w:szCs w:val="32"/>
        </w:rPr>
        <w:t>持平</w:t>
      </w:r>
      <w:r>
        <w:rPr>
          <w:rFonts w:ascii="仿宋" w:eastAsia="仿宋" w:hAnsi="仿宋" w:cs="仿宋" w:hint="eastAsia"/>
          <w:sz w:val="32"/>
          <w:szCs w:val="32"/>
        </w:rPr>
        <w:t>无增</w:t>
      </w:r>
      <w:r>
        <w:rPr>
          <w:rFonts w:ascii="仿宋_GB2312" w:eastAsia="仿宋_GB2312" w:cs="DengXian-Regular" w:hint="eastAsia"/>
          <w:sz w:val="32"/>
          <w:szCs w:val="32"/>
        </w:rPr>
        <w:t>减</w:t>
      </w:r>
      <w:r>
        <w:rPr>
          <w:rFonts w:ascii="仿宋" w:eastAsia="仿宋" w:hAnsi="仿宋" w:cs="仿宋" w:hint="eastAsia"/>
          <w:sz w:val="32"/>
          <w:szCs w:val="32"/>
        </w:rPr>
        <w:t>变化</w:t>
      </w:r>
      <w:r>
        <w:rPr>
          <w:rFonts w:ascii="仿宋_GB2312" w:eastAsia="仿宋_GB2312" w:cs="DengXian-Regular" w:hint="eastAsia"/>
          <w:sz w:val="32"/>
          <w:szCs w:val="32"/>
        </w:rPr>
        <w:t>,</w:t>
      </w:r>
      <w:r>
        <w:rPr>
          <w:rFonts w:ascii="仿宋_GB2312" w:eastAsia="仿宋_GB2312" w:cs="DengXian-Regular" w:hint="eastAsia"/>
          <w:sz w:val="32"/>
          <w:szCs w:val="32"/>
        </w:rPr>
        <w:t>主要是本部门本年度无相关收入和支出。</w:t>
      </w:r>
    </w:p>
    <w:p w:rsidR="001368C4" w:rsidRDefault="00113FA3">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（三）国有资产占用情况</w:t>
      </w:r>
    </w:p>
    <w:p w:rsidR="001368C4" w:rsidRDefault="00113FA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截至</w:t>
      </w:r>
      <w:r>
        <w:rPr>
          <w:rFonts w:ascii="仿宋_GB2312" w:eastAsia="仿宋_GB2312" w:cs="DengXian-Regular" w:hint="eastAsia"/>
          <w:sz w:val="32"/>
          <w:szCs w:val="32"/>
        </w:rPr>
        <w:t>2018</w:t>
      </w:r>
      <w:r>
        <w:rPr>
          <w:rFonts w:ascii="仿宋_GB2312" w:eastAsia="仿宋_GB2312" w:cs="DengXian-Regular" w:hint="eastAsia"/>
          <w:sz w:val="32"/>
          <w:szCs w:val="32"/>
        </w:rPr>
        <w:t>年</w:t>
      </w:r>
      <w:r>
        <w:rPr>
          <w:rFonts w:ascii="仿宋_GB2312" w:eastAsia="仿宋_GB2312" w:cs="DengXian-Regular" w:hint="eastAsia"/>
          <w:sz w:val="32"/>
          <w:szCs w:val="32"/>
        </w:rPr>
        <w:t>12</w:t>
      </w:r>
      <w:r>
        <w:rPr>
          <w:rFonts w:ascii="仿宋_GB2312" w:eastAsia="仿宋_GB2312" w:cs="DengXian-Regular" w:hint="eastAsia"/>
          <w:sz w:val="32"/>
          <w:szCs w:val="32"/>
        </w:rPr>
        <w:t>月</w:t>
      </w:r>
      <w:r>
        <w:rPr>
          <w:rFonts w:ascii="仿宋_GB2312" w:eastAsia="仿宋_GB2312" w:cs="DengXian-Regular" w:hint="eastAsia"/>
          <w:sz w:val="32"/>
          <w:szCs w:val="32"/>
        </w:rPr>
        <w:t>31</w:t>
      </w:r>
      <w:r>
        <w:rPr>
          <w:rFonts w:ascii="仿宋_GB2312" w:eastAsia="仿宋_GB2312" w:cs="DengXian-Regular" w:hint="eastAsia"/>
          <w:sz w:val="32"/>
          <w:szCs w:val="32"/>
        </w:rPr>
        <w:t>日，本部门共有车辆</w:t>
      </w:r>
      <w:r>
        <w:rPr>
          <w:rFonts w:ascii="仿宋_GB2312" w:eastAsia="仿宋_GB2312" w:cs="DengXian-Regular" w:hint="eastAsia"/>
          <w:sz w:val="32"/>
          <w:szCs w:val="32"/>
        </w:rPr>
        <w:t>0</w:t>
      </w:r>
      <w:r>
        <w:rPr>
          <w:rFonts w:ascii="仿宋_GB2312" w:eastAsia="仿宋_GB2312" w:cs="DengXian-Regular" w:hint="eastAsia"/>
          <w:sz w:val="32"/>
          <w:szCs w:val="32"/>
        </w:rPr>
        <w:t>辆，比上年</w:t>
      </w:r>
      <w:r>
        <w:rPr>
          <w:rFonts w:ascii="仿宋_GB2312" w:eastAsia="仿宋_GB2312" w:cs="DengXian-Regular" w:hint="eastAsia"/>
          <w:sz w:val="32"/>
          <w:szCs w:val="32"/>
        </w:rPr>
        <w:t>度持平，无</w:t>
      </w:r>
      <w:r>
        <w:rPr>
          <w:rFonts w:ascii="仿宋_GB2312" w:eastAsia="仿宋_GB2312" w:cs="DengXian-Regular" w:hint="eastAsia"/>
          <w:sz w:val="32"/>
          <w:szCs w:val="32"/>
        </w:rPr>
        <w:t>增</w:t>
      </w:r>
      <w:r>
        <w:rPr>
          <w:rFonts w:ascii="仿宋_GB2312" w:eastAsia="仿宋_GB2312" w:cs="DengXian-Regular" w:hint="eastAsia"/>
          <w:sz w:val="32"/>
          <w:szCs w:val="32"/>
        </w:rPr>
        <w:t>减变化</w:t>
      </w:r>
      <w:r>
        <w:rPr>
          <w:rFonts w:ascii="仿宋_GB2312" w:eastAsia="仿宋_GB2312" w:cs="DengXian-Regular" w:hint="eastAsia"/>
          <w:sz w:val="32"/>
          <w:szCs w:val="32"/>
        </w:rPr>
        <w:t>，主要是本单位没有公务用车。其中，副部（省）级及以上领导用车</w:t>
      </w:r>
      <w:r>
        <w:rPr>
          <w:rFonts w:ascii="仿宋_GB2312" w:eastAsia="仿宋_GB2312" w:cs="DengXian-Regular" w:hint="eastAsia"/>
          <w:sz w:val="32"/>
          <w:szCs w:val="32"/>
        </w:rPr>
        <w:t>0</w:t>
      </w:r>
      <w:r>
        <w:rPr>
          <w:rFonts w:ascii="仿宋_GB2312" w:eastAsia="仿宋_GB2312" w:cs="DengXian-Regular" w:hint="eastAsia"/>
          <w:sz w:val="32"/>
          <w:szCs w:val="32"/>
        </w:rPr>
        <w:t>辆，主要领导干部用车</w:t>
      </w:r>
      <w:r>
        <w:rPr>
          <w:rFonts w:ascii="仿宋_GB2312" w:eastAsia="仿宋_GB2312" w:cs="DengXian-Regular" w:hint="eastAsia"/>
          <w:sz w:val="32"/>
          <w:szCs w:val="32"/>
        </w:rPr>
        <w:t>0</w:t>
      </w:r>
      <w:r>
        <w:rPr>
          <w:rFonts w:ascii="仿宋_GB2312" w:eastAsia="仿宋_GB2312" w:cs="DengXian-Regular" w:hint="eastAsia"/>
          <w:sz w:val="32"/>
          <w:szCs w:val="32"/>
        </w:rPr>
        <w:t>辆，机要通信用车</w:t>
      </w:r>
      <w:r>
        <w:rPr>
          <w:rFonts w:ascii="仿宋_GB2312" w:eastAsia="仿宋_GB2312" w:cs="DengXian-Regular" w:hint="eastAsia"/>
          <w:sz w:val="32"/>
          <w:szCs w:val="32"/>
        </w:rPr>
        <w:t>0</w:t>
      </w:r>
      <w:r>
        <w:rPr>
          <w:rFonts w:ascii="仿宋_GB2312" w:eastAsia="仿宋_GB2312" w:cs="DengXian-Regular" w:hint="eastAsia"/>
          <w:sz w:val="32"/>
          <w:szCs w:val="32"/>
        </w:rPr>
        <w:t>辆，应急保障用车</w:t>
      </w:r>
      <w:r>
        <w:rPr>
          <w:rFonts w:ascii="仿宋_GB2312" w:eastAsia="仿宋_GB2312" w:cs="DengXian-Regular" w:hint="eastAsia"/>
          <w:sz w:val="32"/>
          <w:szCs w:val="32"/>
        </w:rPr>
        <w:t>0</w:t>
      </w:r>
      <w:r>
        <w:rPr>
          <w:rFonts w:ascii="仿宋_GB2312" w:eastAsia="仿宋_GB2312" w:cs="DengXian-Regular" w:hint="eastAsia"/>
          <w:sz w:val="32"/>
          <w:szCs w:val="32"/>
        </w:rPr>
        <w:t>辆，执法执勤用车</w:t>
      </w:r>
      <w:r>
        <w:rPr>
          <w:rFonts w:ascii="仿宋_GB2312" w:eastAsia="仿宋_GB2312" w:cs="DengXian-Regular" w:hint="eastAsia"/>
          <w:sz w:val="32"/>
          <w:szCs w:val="32"/>
        </w:rPr>
        <w:t>0</w:t>
      </w:r>
      <w:r>
        <w:rPr>
          <w:rFonts w:ascii="仿宋_GB2312" w:eastAsia="仿宋_GB2312" w:cs="DengXian-Regular" w:hint="eastAsia"/>
          <w:sz w:val="32"/>
          <w:szCs w:val="32"/>
        </w:rPr>
        <w:t>辆，特种专业技术用车</w:t>
      </w:r>
      <w:r>
        <w:rPr>
          <w:rFonts w:ascii="仿宋_GB2312" w:eastAsia="仿宋_GB2312" w:cs="DengXian-Regular" w:hint="eastAsia"/>
          <w:sz w:val="32"/>
          <w:szCs w:val="32"/>
        </w:rPr>
        <w:t>0</w:t>
      </w:r>
      <w:r>
        <w:rPr>
          <w:rFonts w:ascii="仿宋_GB2312" w:eastAsia="仿宋_GB2312" w:cs="DengXian-Regular" w:hint="eastAsia"/>
          <w:sz w:val="32"/>
          <w:szCs w:val="32"/>
        </w:rPr>
        <w:t>辆，离退休干部用车</w:t>
      </w:r>
      <w:r>
        <w:rPr>
          <w:rFonts w:ascii="仿宋_GB2312" w:eastAsia="仿宋_GB2312" w:cs="DengXian-Regular" w:hint="eastAsia"/>
          <w:sz w:val="32"/>
          <w:szCs w:val="32"/>
        </w:rPr>
        <w:t>0</w:t>
      </w:r>
      <w:r>
        <w:rPr>
          <w:rFonts w:ascii="仿宋_GB2312" w:eastAsia="仿宋_GB2312" w:cs="DengXian-Regular" w:hint="eastAsia"/>
          <w:sz w:val="32"/>
          <w:szCs w:val="32"/>
        </w:rPr>
        <w:t>辆，其他用车</w:t>
      </w:r>
      <w:r>
        <w:rPr>
          <w:rFonts w:ascii="仿宋_GB2312" w:eastAsia="仿宋_GB2312" w:cs="DengXian-Regular" w:hint="eastAsia"/>
          <w:sz w:val="32"/>
          <w:szCs w:val="32"/>
        </w:rPr>
        <w:t>0</w:t>
      </w:r>
      <w:r>
        <w:rPr>
          <w:rFonts w:ascii="仿宋_GB2312" w:eastAsia="仿宋_GB2312" w:cs="DengXian-Regular" w:hint="eastAsia"/>
          <w:sz w:val="32"/>
          <w:szCs w:val="32"/>
        </w:rPr>
        <w:t>辆，其他用车主要是</w:t>
      </w:r>
      <w:r>
        <w:rPr>
          <w:rFonts w:ascii="仿宋_GB2312" w:eastAsia="仿宋_GB2312" w:cs="DengXian-Regular" w:hint="eastAsia"/>
          <w:sz w:val="32"/>
          <w:szCs w:val="32"/>
        </w:rPr>
        <w:t>0</w:t>
      </w:r>
      <w:r>
        <w:rPr>
          <w:rFonts w:ascii="仿宋_GB2312" w:eastAsia="仿宋_GB2312" w:cs="DengXian-Regular" w:hint="eastAsia"/>
          <w:sz w:val="32"/>
          <w:szCs w:val="32"/>
        </w:rPr>
        <w:t>本单位没有公务用车；单位价值</w:t>
      </w:r>
      <w:r>
        <w:rPr>
          <w:rFonts w:ascii="仿宋_GB2312" w:eastAsia="仿宋_GB2312" w:hAnsi="TimesNewRomanPSMT" w:cs="TimesNewRomanPSMT" w:hint="eastAsia"/>
          <w:sz w:val="32"/>
          <w:szCs w:val="32"/>
        </w:rPr>
        <w:t>50</w:t>
      </w:r>
      <w:r>
        <w:rPr>
          <w:rFonts w:ascii="仿宋_GB2312" w:eastAsia="仿宋_GB2312" w:cs="DengXian-Regular" w:hint="eastAsia"/>
          <w:sz w:val="32"/>
          <w:szCs w:val="32"/>
        </w:rPr>
        <w:t>万元以上通用设备</w:t>
      </w:r>
      <w:r>
        <w:rPr>
          <w:rFonts w:ascii="仿宋_GB2312" w:eastAsia="仿宋_GB2312" w:cs="DengXian-Regular" w:hint="eastAsia"/>
          <w:sz w:val="32"/>
          <w:szCs w:val="32"/>
        </w:rPr>
        <w:t>0</w:t>
      </w:r>
      <w:r>
        <w:rPr>
          <w:rFonts w:ascii="仿宋_GB2312" w:eastAsia="仿宋_GB2312" w:cs="DengXian-Regular" w:hint="eastAsia"/>
          <w:sz w:val="32"/>
          <w:szCs w:val="32"/>
        </w:rPr>
        <w:t>台（套），比上年</w:t>
      </w:r>
      <w:r>
        <w:rPr>
          <w:rFonts w:ascii="仿宋_GB2312" w:eastAsia="仿宋_GB2312" w:cs="DengXian-Regular" w:hint="eastAsia"/>
          <w:sz w:val="32"/>
          <w:szCs w:val="32"/>
        </w:rPr>
        <w:t>度持平，无</w:t>
      </w:r>
      <w:r>
        <w:rPr>
          <w:rFonts w:ascii="仿宋_GB2312" w:eastAsia="仿宋_GB2312" w:cs="DengXian-Regular" w:hint="eastAsia"/>
          <w:sz w:val="32"/>
          <w:szCs w:val="32"/>
        </w:rPr>
        <w:t>增</w:t>
      </w:r>
      <w:r>
        <w:rPr>
          <w:rFonts w:ascii="仿宋_GB2312" w:eastAsia="仿宋_GB2312" w:cs="DengXian-Regular" w:hint="eastAsia"/>
          <w:sz w:val="32"/>
          <w:szCs w:val="32"/>
        </w:rPr>
        <w:t>减变化</w:t>
      </w:r>
      <w:r>
        <w:rPr>
          <w:rFonts w:ascii="仿宋_GB2312" w:eastAsia="仿宋_GB2312" w:cs="DengXian-Regular" w:hint="eastAsia"/>
          <w:sz w:val="32"/>
          <w:szCs w:val="32"/>
        </w:rPr>
        <w:t>，主要是本单位没有公务用车，单位价值</w:t>
      </w:r>
      <w:r>
        <w:rPr>
          <w:rFonts w:ascii="仿宋_GB2312" w:eastAsia="仿宋_GB2312" w:hAnsi="TimesNewRomanPSMT" w:cs="TimesNewRomanPSMT" w:hint="eastAsia"/>
          <w:sz w:val="32"/>
          <w:szCs w:val="32"/>
        </w:rPr>
        <w:t>100</w:t>
      </w:r>
      <w:r>
        <w:rPr>
          <w:rFonts w:ascii="仿宋_GB2312" w:eastAsia="仿宋_GB2312" w:cs="DengXian-Regular" w:hint="eastAsia"/>
          <w:sz w:val="32"/>
          <w:szCs w:val="32"/>
        </w:rPr>
        <w:t>万元以上专用设备</w:t>
      </w:r>
      <w:r>
        <w:rPr>
          <w:rFonts w:ascii="仿宋_GB2312" w:eastAsia="仿宋_GB2312" w:cs="DengXian-Regular" w:hint="eastAsia"/>
          <w:sz w:val="32"/>
          <w:szCs w:val="32"/>
        </w:rPr>
        <w:t>0</w:t>
      </w:r>
      <w:r>
        <w:rPr>
          <w:rFonts w:ascii="仿宋_GB2312" w:eastAsia="仿宋_GB2312" w:cs="DengXian-Regular" w:hint="eastAsia"/>
          <w:sz w:val="32"/>
          <w:szCs w:val="32"/>
        </w:rPr>
        <w:t>台（套）</w:t>
      </w:r>
      <w:r>
        <w:rPr>
          <w:rFonts w:ascii="仿宋_GB2312" w:eastAsia="仿宋_GB2312" w:cs="DengXian-Regular" w:hint="eastAsia"/>
          <w:sz w:val="32"/>
          <w:szCs w:val="32"/>
        </w:rPr>
        <w:t>,</w:t>
      </w:r>
      <w:r>
        <w:rPr>
          <w:rFonts w:ascii="仿宋_GB2312" w:eastAsia="仿宋_GB2312" w:cs="DengXian-Regular" w:hint="eastAsia"/>
          <w:sz w:val="32"/>
          <w:szCs w:val="32"/>
        </w:rPr>
        <w:t>比上年</w:t>
      </w:r>
      <w:r>
        <w:rPr>
          <w:rFonts w:ascii="仿宋_GB2312" w:eastAsia="仿宋_GB2312" w:cs="DengXian-Regular" w:hint="eastAsia"/>
          <w:sz w:val="32"/>
          <w:szCs w:val="32"/>
        </w:rPr>
        <w:t>度持平，无</w:t>
      </w:r>
      <w:r>
        <w:rPr>
          <w:rFonts w:ascii="仿宋_GB2312" w:eastAsia="仿宋_GB2312" w:cs="DengXian-Regular" w:hint="eastAsia"/>
          <w:sz w:val="32"/>
          <w:szCs w:val="32"/>
        </w:rPr>
        <w:t>增</w:t>
      </w:r>
      <w:r>
        <w:rPr>
          <w:rFonts w:ascii="仿宋_GB2312" w:eastAsia="仿宋_GB2312" w:cs="DengXian-Regular" w:hint="eastAsia"/>
          <w:sz w:val="32"/>
          <w:szCs w:val="32"/>
        </w:rPr>
        <w:t>减变化</w:t>
      </w:r>
      <w:r w:rsidR="008C29C5">
        <w:rPr>
          <w:rFonts w:ascii="仿宋_GB2312" w:eastAsia="仿宋_GB2312" w:cs="DengXian-Regular" w:hint="eastAsia"/>
          <w:sz w:val="32"/>
          <w:szCs w:val="32"/>
        </w:rPr>
        <w:t>。</w:t>
      </w:r>
    </w:p>
    <w:p w:rsidR="001368C4" w:rsidRDefault="00113FA3">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（四）其他需要说明的情况</w:t>
      </w:r>
    </w:p>
    <w:p w:rsidR="001368C4" w:rsidRDefault="00113FA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1</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年度一般公共预算财政拨款“三公”经费支出决算表、政府性基金预算财政拨款收入支出决算表、国有资本经营预算财政拨款支出决算表、政府采购情况表无收支及结转结余情况，故公开表</w:t>
      </w:r>
      <w:r>
        <w:rPr>
          <w:rFonts w:ascii="仿宋_GB2312" w:eastAsia="仿宋_GB2312" w:cs="DengXian-Regular" w:hint="eastAsia"/>
          <w:sz w:val="32"/>
          <w:szCs w:val="32"/>
        </w:rPr>
        <w:t>7</w:t>
      </w:r>
      <w:r>
        <w:rPr>
          <w:rFonts w:ascii="仿宋_GB2312" w:eastAsia="仿宋_GB2312" w:cs="DengXian-Regular" w:hint="eastAsia"/>
          <w:sz w:val="32"/>
          <w:szCs w:val="32"/>
        </w:rPr>
        <w:t>、公开表</w:t>
      </w:r>
      <w:r>
        <w:rPr>
          <w:rFonts w:ascii="仿宋_GB2312" w:eastAsia="仿宋_GB2312" w:cs="DengXian-Regular" w:hint="eastAsia"/>
          <w:sz w:val="32"/>
          <w:szCs w:val="32"/>
        </w:rPr>
        <w:t>8</w:t>
      </w:r>
      <w:r>
        <w:rPr>
          <w:rFonts w:ascii="仿宋_GB2312" w:eastAsia="仿宋_GB2312" w:cs="DengXian-Regular" w:hint="eastAsia"/>
          <w:sz w:val="32"/>
          <w:szCs w:val="32"/>
        </w:rPr>
        <w:t>、公开表</w:t>
      </w:r>
      <w:r>
        <w:rPr>
          <w:rFonts w:ascii="仿宋_GB2312" w:eastAsia="仿宋_GB2312" w:cs="DengXian-Regular" w:hint="eastAsia"/>
          <w:sz w:val="32"/>
          <w:szCs w:val="32"/>
        </w:rPr>
        <w:t>9</w:t>
      </w:r>
      <w:r>
        <w:rPr>
          <w:rFonts w:ascii="仿宋_GB2312" w:eastAsia="仿宋_GB2312" w:cs="DengXian-Regular" w:hint="eastAsia"/>
          <w:sz w:val="32"/>
          <w:szCs w:val="32"/>
        </w:rPr>
        <w:t>、公开表</w:t>
      </w:r>
      <w:r>
        <w:rPr>
          <w:rFonts w:ascii="仿宋_GB2312" w:eastAsia="仿宋_GB2312" w:cs="DengXian-Regular" w:hint="eastAsia"/>
          <w:sz w:val="32"/>
          <w:szCs w:val="32"/>
        </w:rPr>
        <w:t>10</w:t>
      </w:r>
      <w:r>
        <w:rPr>
          <w:rFonts w:ascii="仿宋_GB2312" w:eastAsia="仿宋_GB2312" w:cs="DengXian-Regular" w:hint="eastAsia"/>
          <w:sz w:val="32"/>
          <w:szCs w:val="32"/>
        </w:rPr>
        <w:t>表以空表列示。</w:t>
      </w:r>
    </w:p>
    <w:p w:rsidR="001368C4" w:rsidRDefault="00113FA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w:t>
      </w:r>
      <w:r>
        <w:rPr>
          <w:rFonts w:ascii="仿宋_GB2312" w:eastAsia="仿宋_GB2312" w:cs="DengXian-Regular" w:hint="eastAsia"/>
          <w:sz w:val="32"/>
          <w:szCs w:val="32"/>
        </w:rPr>
        <w:t>、由于决算公开表格中金额数值应当保留两位小数，公开数据为四舍五入计算结果，</w:t>
      </w:r>
      <w:r>
        <w:rPr>
          <w:rFonts w:ascii="仿宋_GB2312" w:eastAsia="仿宋_GB2312" w:cs="DengXian-Regular" w:hint="eastAsia"/>
          <w:sz w:val="32"/>
          <w:szCs w:val="32"/>
        </w:rPr>
        <w:t>个别数据合计项与分项之和存在小数</w:t>
      </w:r>
      <w:r>
        <w:rPr>
          <w:rFonts w:ascii="仿宋_GB2312" w:eastAsia="仿宋_GB2312" w:cs="DengXian-Regular" w:hint="eastAsia"/>
          <w:sz w:val="32"/>
          <w:szCs w:val="32"/>
        </w:rPr>
        <w:lastRenderedPageBreak/>
        <w:t>点后差额，特此说明。</w:t>
      </w:r>
    </w:p>
    <w:p w:rsidR="001368C4" w:rsidRDefault="001368C4">
      <w:pPr>
        <w:widowControl/>
        <w:spacing w:after="0" w:line="580" w:lineRule="exact"/>
        <w:ind w:firstLineChars="200" w:firstLine="883"/>
        <w:jc w:val="left"/>
        <w:rPr>
          <w:rFonts w:asciiTheme="majorEastAsia" w:eastAsiaTheme="majorEastAsia" w:hAnsiTheme="majorEastAsia" w:cs="MS-UIGothic,Bold"/>
          <w:b/>
          <w:bCs/>
          <w:kern w:val="0"/>
          <w:sz w:val="44"/>
          <w:szCs w:val="44"/>
        </w:rPr>
        <w:sectPr w:rsidR="001368C4">
          <w:pgSz w:w="11906" w:h="16838"/>
          <w:pgMar w:top="2098" w:right="1474" w:bottom="1984" w:left="1588" w:header="851" w:footer="992" w:gutter="0"/>
          <w:cols w:space="0"/>
          <w:docGrid w:type="lines" w:linePitch="312"/>
        </w:sectPr>
      </w:pPr>
    </w:p>
    <w:p w:rsidR="001368C4" w:rsidRDefault="00113FA3">
      <w:pPr>
        <w:rPr>
          <w:rFonts w:ascii="宋体" w:hAnsi="宋体" w:cs="ArialUnicodeMS"/>
          <w:color w:val="000000"/>
          <w:kern w:val="0"/>
        </w:rPr>
        <w:sectPr w:rsidR="001368C4">
          <w:pgSz w:w="11906" w:h="16838"/>
          <w:pgMar w:top="2098" w:right="1474" w:bottom="1984" w:left="1588" w:header="851" w:footer="992" w:gutter="0"/>
          <w:cols w:space="0"/>
          <w:docGrid w:type="lines" w:linePitch="312"/>
        </w:sectPr>
      </w:pPr>
      <w:r>
        <w:rPr>
          <w:rFonts w:ascii="宋体" w:hAnsi="宋体" w:cs="ArialUnicodeMS" w:hint="eastAsia"/>
          <w:noProof/>
          <w:color w:val="000000"/>
          <w:kern w:val="0"/>
        </w:rPr>
        <w:lastRenderedPageBreak/>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11"/>
                    <a:stretch>
                      <a:fillRect/>
                    </a:stretch>
                  </pic:blipFill>
                  <pic:spPr>
                    <a:xfrm>
                      <a:off x="0" y="0"/>
                      <a:ext cx="7550150" cy="10680065"/>
                    </a:xfrm>
                    <a:prstGeom prst="rect">
                      <a:avLst/>
                    </a:prstGeom>
                  </pic:spPr>
                </pic:pic>
              </a:graphicData>
            </a:graphic>
          </wp:anchor>
        </w:drawing>
      </w:r>
      <w:r w:rsidR="001368C4" w:rsidRPr="001368C4">
        <w:rPr>
          <w:sz w:val="72"/>
        </w:rPr>
        <w:pict>
          <v:shape id="_x0000_s1027" type="#_x0000_t202" style="position:absolute;left:0;text-align:left;margin-left:-78.7pt;margin-top:232.8pt;width:596.2pt;height:159.1pt;z-index:251666432;mso-position-horizontal-relative:text;mso-position-vertical-relative:text"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EVGE7UQCAAB3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kdfkaZhHyZCGkqPUuhX/R7nylRbwHRmmBRv+VWLUq6ZD7fMYTRQPpYn3OCopUFKs5co&#10;aYz79i999EfHYKWkw6iV1H9dMycokR80evl2dBpZCelyOp4UuLjHltVji16rC4NpHmFNLU9i9A/y&#10;INbOqC/YsUXMChPTHLlLGg7iRRgWADvKxWKRnDCNloVrvbQ8hh7IXayDqdvEe6Rp4AZNiBfMY2rH&#10;fnfiwD++J6+H/8X8D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NlmnozeAAAADQEAAA8AAAAAAAAA&#10;AQAgAAAAIgAAAGRycy9kb3ducmV2LnhtbFBLAQIUABQAAAAIAIdO4kARUYTtRAIAAHcEAAAOAAAA&#10;AAAAAAEAIAAAAC0BAABkcnMvZTJvRG9jLnhtbFBLBQYAAAAABgAGAFkBAADjBQAAAAA=&#10;" filled="f" stroked="f" strokeweight=".5pt">
            <v:textbox>
              <w:txbxContent>
                <w:p w:rsidR="001368C4" w:rsidRDefault="00113FA3">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第四部分</w:t>
                  </w:r>
                </w:p>
                <w:p w:rsidR="001368C4" w:rsidRDefault="00113FA3">
                  <w:pPr>
                    <w:widowControl/>
                    <w:spacing w:line="1200" w:lineRule="exact"/>
                    <w:jc w:val="center"/>
                    <w:rPr>
                      <w:color w:val="FDEFBE"/>
                      <w:sz w:val="96"/>
                      <w:szCs w:val="96"/>
                    </w:rPr>
                  </w:pPr>
                  <w:r>
                    <w:rPr>
                      <w:rFonts w:asciiTheme="minorEastAsia" w:eastAsiaTheme="minorEastAsia" w:hAnsi="宋体" w:hint="eastAsia"/>
                      <w:color w:val="FDEFBE"/>
                      <w:sz w:val="96"/>
                      <w:szCs w:val="96"/>
                    </w:rPr>
                    <w:t>名词解释</w:t>
                  </w:r>
                </w:p>
              </w:txbxContent>
            </v:textbox>
          </v:shape>
        </w:pict>
      </w:r>
    </w:p>
    <w:p w:rsidR="001368C4" w:rsidRDefault="00113FA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（一）财政拨款收入：</w:t>
      </w:r>
      <w:r>
        <w:rPr>
          <w:rFonts w:ascii="仿宋_GB2312" w:eastAsia="仿宋_GB2312" w:hAnsiTheme="majorEastAsia" w:hint="eastAsia"/>
          <w:color w:val="000000"/>
          <w:kern w:val="0"/>
          <w:sz w:val="32"/>
          <w:szCs w:val="32"/>
        </w:rPr>
        <w:t>本年度从本级财政部门取得的财政拨款，包括一般公共预算财政拨款和政府性基金预算财政拨款。</w:t>
      </w:r>
    </w:p>
    <w:p w:rsidR="001368C4" w:rsidRDefault="00113FA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（二）事业收入：</w:t>
      </w:r>
      <w:r>
        <w:rPr>
          <w:rFonts w:ascii="仿宋_GB2312" w:eastAsia="仿宋_GB2312" w:hAnsiTheme="majorEastAsia" w:hint="eastAsia"/>
          <w:color w:val="000000"/>
          <w:kern w:val="0"/>
          <w:sz w:val="32"/>
          <w:szCs w:val="32"/>
        </w:rPr>
        <w:t>指事业单位开展专业业务活动及辅助活动所取得的收入。</w:t>
      </w:r>
    </w:p>
    <w:p w:rsidR="001368C4" w:rsidRDefault="00113FA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（三）其他收入：</w:t>
      </w:r>
      <w:r>
        <w:rPr>
          <w:rFonts w:ascii="仿宋_GB2312" w:eastAsia="仿宋_GB2312" w:hAnsiTheme="majorEastAsia" w:hint="eastAsia"/>
          <w:color w:val="000000"/>
          <w:kern w:val="0"/>
          <w:sz w:val="32"/>
          <w:szCs w:val="32"/>
        </w:rPr>
        <w:t>指除上述“财政拨款收入”“事业收入”“经营收入”等以外的收入。</w:t>
      </w:r>
    </w:p>
    <w:p w:rsidR="001368C4" w:rsidRDefault="00113FA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（四）用事业基金弥补收支差额：</w:t>
      </w:r>
      <w:r>
        <w:rPr>
          <w:rFonts w:ascii="仿宋_GB2312" w:eastAsia="仿宋_GB2312" w:hAnsiTheme="majorEastAsia"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1368C4" w:rsidRDefault="00113FA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（五）年初结转和结余：</w:t>
      </w:r>
      <w:r>
        <w:rPr>
          <w:rFonts w:ascii="仿宋_GB2312" w:eastAsia="仿宋_GB2312" w:hAnsiTheme="majorEastAsia" w:hint="eastAsia"/>
          <w:color w:val="000000"/>
          <w:kern w:val="0"/>
          <w:sz w:val="32"/>
          <w:szCs w:val="32"/>
        </w:rPr>
        <w:t>指以前年度尚未完成、结转到本年仍按原规定用途继续使用的资金，或项目已完成等产生的结余资金。</w:t>
      </w:r>
    </w:p>
    <w:p w:rsidR="001368C4" w:rsidRDefault="00113FA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（六）结余分配：</w:t>
      </w:r>
      <w:r>
        <w:rPr>
          <w:rFonts w:ascii="仿宋_GB2312" w:eastAsia="仿宋_GB2312" w:hAnsiTheme="majorEastAsia" w:hint="eastAsia"/>
          <w:color w:val="000000"/>
          <w:kern w:val="0"/>
          <w:sz w:val="32"/>
          <w:szCs w:val="32"/>
        </w:rPr>
        <w:t>指事业单位按照事业单位会计制度的规定从非财政补助结余中分配的事业基金和职工福利基金等。</w:t>
      </w:r>
    </w:p>
    <w:p w:rsidR="001368C4" w:rsidRDefault="00113FA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（七）年末结转和结余：</w:t>
      </w:r>
      <w:r>
        <w:rPr>
          <w:rFonts w:ascii="仿宋_GB2312" w:eastAsia="仿宋_GB2312" w:hAnsiTheme="majorEastAsia" w:hint="eastAsia"/>
          <w:color w:val="000000"/>
          <w:kern w:val="0"/>
          <w:sz w:val="32"/>
          <w:szCs w:val="32"/>
        </w:rPr>
        <w:t>指单位按有关规定结转</w:t>
      </w:r>
      <w:r>
        <w:rPr>
          <w:rFonts w:ascii="仿宋_GB2312" w:eastAsia="仿宋_GB2312" w:hAnsiTheme="majorEastAsia" w:hint="eastAsia"/>
          <w:color w:val="000000"/>
          <w:kern w:val="0"/>
          <w:sz w:val="32"/>
          <w:szCs w:val="32"/>
        </w:rPr>
        <w:t>到下年或以后年度继续使用的资金，或项目已完成等产生的结余资金。</w:t>
      </w:r>
    </w:p>
    <w:p w:rsidR="001368C4" w:rsidRDefault="00113FA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（八）基本支出：</w:t>
      </w:r>
      <w:r>
        <w:rPr>
          <w:rFonts w:ascii="仿宋_GB2312" w:eastAsia="仿宋_GB2312" w:hAnsiTheme="majorEastAsia" w:hint="eastAsia"/>
          <w:color w:val="000000"/>
          <w:kern w:val="0"/>
          <w:sz w:val="32"/>
          <w:szCs w:val="32"/>
        </w:rPr>
        <w:t>填列单位为保障机构正常运转、完成日常工作任务而发生的各项支出。</w:t>
      </w:r>
    </w:p>
    <w:p w:rsidR="001368C4" w:rsidRDefault="00113FA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（九）项目支出：</w:t>
      </w:r>
      <w:r>
        <w:rPr>
          <w:rFonts w:ascii="仿宋_GB2312" w:eastAsia="仿宋_GB2312" w:hAnsiTheme="majorEastAsia" w:hint="eastAsia"/>
          <w:color w:val="000000"/>
          <w:kern w:val="0"/>
          <w:sz w:val="32"/>
          <w:szCs w:val="32"/>
        </w:rPr>
        <w:t>填列单位为完成特定的行政工作任务或事业发展目标，在基本支出之外发生的各项支出</w:t>
      </w:r>
    </w:p>
    <w:p w:rsidR="001368C4" w:rsidRDefault="00113FA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（十）资本性支出（基本建设）：</w:t>
      </w:r>
      <w:r>
        <w:rPr>
          <w:rFonts w:ascii="仿宋_GB2312" w:eastAsia="仿宋_GB2312" w:hAnsiTheme="majorEastAsia" w:hint="eastAsia"/>
          <w:color w:val="000000"/>
          <w:kern w:val="0"/>
          <w:sz w:val="32"/>
          <w:szCs w:val="32"/>
        </w:rPr>
        <w:t>填列切块由发展改革部门安排的基本建设支出，对企业补助支出不在此科目反映。</w:t>
      </w:r>
    </w:p>
    <w:p w:rsidR="001368C4" w:rsidRDefault="00113FA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（十一）资本性支出：</w:t>
      </w:r>
      <w:r>
        <w:rPr>
          <w:rFonts w:ascii="仿宋_GB2312" w:eastAsia="仿宋_GB2312" w:hAnsiTheme="majorEastAsia" w:hint="eastAsia"/>
          <w:color w:val="000000"/>
          <w:kern w:val="0"/>
          <w:sz w:val="32"/>
          <w:szCs w:val="32"/>
        </w:rPr>
        <w:t>填列各单位安排的资本性支出。切块由发展改革部门安排的基本建设支出不在此科目反映。</w:t>
      </w:r>
    </w:p>
    <w:p w:rsidR="001368C4" w:rsidRDefault="00113FA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（十二）“三公”经费：</w:t>
      </w:r>
      <w:r>
        <w:rPr>
          <w:rFonts w:ascii="仿宋_GB2312" w:eastAsia="仿宋_GB2312" w:hAnsiTheme="majorEastAsia"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rsidR="001368C4" w:rsidRDefault="00113FA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（十三）其他交通费用：</w:t>
      </w:r>
      <w:r>
        <w:rPr>
          <w:rFonts w:ascii="仿宋_GB2312" w:eastAsia="仿宋_GB2312" w:hAnsiTheme="majorEastAsia" w:hint="eastAsia"/>
          <w:color w:val="000000"/>
          <w:kern w:val="0"/>
          <w:sz w:val="32"/>
          <w:szCs w:val="32"/>
        </w:rPr>
        <w:t>填列单位除公务用车运行维护费以外的其他交通费用。如公务交通补贴、租车费用、出租车费用、飞机、船舶等的燃料费、维修费</w:t>
      </w:r>
      <w:r>
        <w:rPr>
          <w:rFonts w:ascii="仿宋_GB2312" w:eastAsia="仿宋_GB2312" w:hAnsiTheme="majorEastAsia" w:hint="eastAsia"/>
          <w:color w:val="000000"/>
          <w:kern w:val="0"/>
          <w:sz w:val="32"/>
          <w:szCs w:val="32"/>
        </w:rPr>
        <w:t>、保险费等。</w:t>
      </w:r>
    </w:p>
    <w:p w:rsidR="001368C4" w:rsidRDefault="00113FA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（十四）公务用车购置：</w:t>
      </w:r>
      <w:r>
        <w:rPr>
          <w:rFonts w:ascii="仿宋_GB2312" w:eastAsia="仿宋_GB2312" w:hAnsiTheme="majorEastAsia" w:hint="eastAsia"/>
          <w:color w:val="000000"/>
          <w:kern w:val="0"/>
          <w:sz w:val="32"/>
          <w:szCs w:val="32"/>
        </w:rPr>
        <w:t>填列单位公务用车购置支出（含车辆购置税、牌照费）。</w:t>
      </w:r>
    </w:p>
    <w:p w:rsidR="001368C4" w:rsidRDefault="00113FA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（十五）其他交通工具购置：</w:t>
      </w:r>
      <w:r>
        <w:rPr>
          <w:rFonts w:ascii="仿宋_GB2312" w:eastAsia="仿宋_GB2312" w:hAnsiTheme="majorEastAsia" w:hint="eastAsia"/>
          <w:color w:val="000000"/>
          <w:kern w:val="0"/>
          <w:sz w:val="32"/>
          <w:szCs w:val="32"/>
        </w:rPr>
        <w:t>填列单位除公务用车外的其他各类交通工具（如船舶、飞机）购置支出（含车辆购置税、牌照费）。</w:t>
      </w:r>
    </w:p>
    <w:p w:rsidR="001368C4" w:rsidRDefault="00113FA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（十六）机关运行经费：</w:t>
      </w:r>
      <w:r>
        <w:rPr>
          <w:rFonts w:ascii="仿宋_GB2312" w:eastAsia="仿宋_GB2312" w:hAnsiTheme="majorEastAsia" w:hint="eastAsia"/>
          <w:color w:val="000000"/>
          <w:kern w:val="0"/>
          <w:sz w:val="32"/>
          <w:szCs w:val="32"/>
        </w:rPr>
        <w:t>指为保障行政单位（包括参照公务员法管理的事业单位）运行用于购买货物和服务的各项资金，包</w:t>
      </w:r>
      <w:r>
        <w:rPr>
          <w:rFonts w:ascii="仿宋_GB2312" w:eastAsia="仿宋_GB2312" w:hAnsiTheme="majorEastAsia" w:hint="eastAsia"/>
          <w:color w:val="000000"/>
          <w:kern w:val="0"/>
          <w:sz w:val="32"/>
          <w:szCs w:val="32"/>
        </w:rPr>
        <w:lastRenderedPageBreak/>
        <w:t>括办公及印刷费、邮电费、差旅费、会议费、福利费、日常维修费、专用材料以及一般设备购置费、办公用房水电费、办公用房取暖费、办公用房物业管理费、公务用车运行维护费以及其他费用。</w:t>
      </w:r>
    </w:p>
    <w:p w:rsidR="001368C4" w:rsidRDefault="00113FA3">
      <w:pPr>
        <w:widowControl/>
        <w:spacing w:after="0" w:line="560" w:lineRule="exact"/>
        <w:ind w:firstLineChars="200" w:firstLine="643"/>
        <w:rPr>
          <w:rFonts w:ascii="仿宋_GB2312" w:eastAsia="仿宋_GB2312" w:hAnsiTheme="minorHAnsi" w:cs="ArialUnicodeMS"/>
          <w:kern w:val="0"/>
          <w:sz w:val="32"/>
          <w:szCs w:val="32"/>
        </w:rPr>
        <w:sectPr w:rsidR="001368C4">
          <w:pgSz w:w="11906" w:h="16838"/>
          <w:pgMar w:top="2098" w:right="1474" w:bottom="1985" w:left="1588" w:header="851" w:footer="992" w:gutter="0"/>
          <w:cols w:space="425"/>
          <w:docGrid w:type="lines" w:linePitch="312"/>
        </w:sectPr>
      </w:pPr>
      <w:r>
        <w:rPr>
          <w:rFonts w:ascii="仿宋_GB2312" w:eastAsia="仿宋_GB2312" w:hAnsiTheme="majorEastAsia" w:hint="eastAsia"/>
          <w:b/>
          <w:bCs/>
          <w:color w:val="000000"/>
          <w:kern w:val="0"/>
          <w:sz w:val="32"/>
          <w:szCs w:val="32"/>
        </w:rPr>
        <w:t>（十七）经费形式</w:t>
      </w:r>
      <w:r>
        <w:rPr>
          <w:rFonts w:ascii="仿宋_GB2312" w:eastAsia="仿宋_GB2312" w:hAnsiTheme="majorEastAsia" w:hint="eastAsia"/>
          <w:b/>
          <w:bCs/>
          <w:color w:val="000000"/>
          <w:kern w:val="0"/>
          <w:sz w:val="32"/>
          <w:szCs w:val="32"/>
        </w:rPr>
        <w:t>:</w:t>
      </w:r>
      <w:r>
        <w:rPr>
          <w:rFonts w:ascii="仿宋_GB2312" w:eastAsia="仿宋_GB2312" w:hAnsiTheme="majorEastAsia" w:hint="eastAsia"/>
          <w:color w:val="000000"/>
          <w:kern w:val="0"/>
          <w:sz w:val="32"/>
          <w:szCs w:val="32"/>
        </w:rPr>
        <w:t>按照经费来源，</w:t>
      </w:r>
      <w:r>
        <w:rPr>
          <w:rFonts w:ascii="仿宋_GB2312" w:eastAsia="仿宋_GB2312" w:hAnsiTheme="minorHAnsi" w:cs="ArialUnicodeMS" w:hint="eastAsia"/>
          <w:kern w:val="0"/>
          <w:sz w:val="32"/>
          <w:szCs w:val="32"/>
        </w:rPr>
        <w:t>可分为财政拨款、财政性资金基本保证、财政性资金定额或定项补助、财政性资金零补助四类。</w:t>
      </w:r>
    </w:p>
    <w:p w:rsidR="001368C4" w:rsidRDefault="00113FA3">
      <w:pPr>
        <w:widowControl/>
        <w:spacing w:after="0" w:line="560" w:lineRule="exact"/>
        <w:ind w:firstLineChars="200" w:firstLine="640"/>
        <w:rPr>
          <w:rFonts w:ascii="仿宋_GB2312" w:eastAsia="仿宋_GB2312" w:hAnsiTheme="minorHAnsi" w:cs="ArialUnicodeMS"/>
          <w:kern w:val="0"/>
          <w:sz w:val="32"/>
          <w:szCs w:val="32"/>
        </w:rPr>
      </w:pPr>
      <w:r>
        <w:rPr>
          <w:rFonts w:ascii="仿宋_GB2312" w:eastAsia="仿宋_GB2312" w:hAnsiTheme="minorHAnsi" w:cs="ArialUnicodeMS"/>
          <w:noProof/>
          <w:kern w:val="0"/>
          <w:sz w:val="32"/>
          <w:szCs w:val="32"/>
        </w:rPr>
        <w:lastRenderedPageBreak/>
        <w:drawing>
          <wp:anchor distT="0" distB="0" distL="114300" distR="114300" simplePos="0" relativeHeight="251668480"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7"/>
                    <a:stretch>
                      <a:fillRect/>
                    </a:stretch>
                  </pic:blipFill>
                  <pic:spPr>
                    <a:xfrm>
                      <a:off x="0" y="0"/>
                      <a:ext cx="7590155" cy="10735945"/>
                    </a:xfrm>
                    <a:prstGeom prst="rect">
                      <a:avLst/>
                    </a:prstGeom>
                  </pic:spPr>
                </pic:pic>
              </a:graphicData>
            </a:graphic>
          </wp:anchor>
        </w:drawing>
      </w:r>
    </w:p>
    <w:sectPr w:rsidR="001368C4" w:rsidSect="001368C4">
      <w:pgSz w:w="11906" w:h="16838"/>
      <w:pgMar w:top="2098" w:right="1474" w:bottom="1985"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3FA3" w:rsidRDefault="00113FA3">
      <w:pPr>
        <w:spacing w:line="240" w:lineRule="auto"/>
      </w:pPr>
      <w:r>
        <w:separator/>
      </w:r>
    </w:p>
  </w:endnote>
  <w:endnote w:type="continuationSeparator" w:id="1">
    <w:p w:rsidR="00113FA3" w:rsidRDefault="00113FA3">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embedRegular r:id="rId1" w:subsetted="1" w:fontKey="{8E1C2C0B-DCD6-44A3-A29E-F2F347344451}"/>
    <w:embedBold r:id="rId2" w:subsetted="1" w:fontKey="{73145E87-E71E-4262-8192-8A1E77FFB1EF}"/>
  </w:font>
  <w:font w:name="楷体">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embedBold r:id="rId3" w:subsetted="1" w:fontKey="{7F455728-7633-4B70-98C8-CC9B28442570}"/>
  </w:font>
  <w:font w:name="仿宋_GB2312">
    <w:panose1 w:val="02010609030101010101"/>
    <w:charset w:val="86"/>
    <w:family w:val="modern"/>
    <w:pitch w:val="fixed"/>
    <w:sig w:usb0="00000001" w:usb1="080E0000" w:usb2="00000010" w:usb3="00000000" w:csb0="00040000" w:csb1="00000000"/>
    <w:embedRegular r:id="rId4" w:subsetted="1" w:fontKey="{E0C6BE87-6AB4-4ADA-8FB0-73B7AE3F20B2}"/>
    <w:embedBold r:id="rId5" w:subsetted="1" w:fontKey="{A766D9D0-24F1-4B0B-A252-D5597489236A}"/>
  </w:font>
  <w:font w:name="ArialUnicodeMS">
    <w:altName w:val="Malgun Gothic"/>
    <w:charset w:val="81"/>
    <w:family w:val="auto"/>
    <w:pitch w:val="default"/>
    <w:sig w:usb0="00000000" w:usb1="00000000" w:usb2="00000010" w:usb3="00000000" w:csb0="00080001" w:csb1="00000000"/>
  </w:font>
  <w:font w:name="仿宋">
    <w:panose1 w:val="02010609060101010101"/>
    <w:charset w:val="86"/>
    <w:family w:val="modern"/>
    <w:pitch w:val="fixed"/>
    <w:sig w:usb0="800002BF" w:usb1="38CF7CFA" w:usb2="00000016" w:usb3="00000000" w:csb0="00040001" w:csb1="00000000"/>
    <w:embedRegular r:id="rId6" w:subsetted="1" w:fontKey="{37C491D6-72AD-4968-9778-08641AFB074C}"/>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3FA3" w:rsidRDefault="00113FA3">
      <w:pPr>
        <w:spacing w:after="0" w:line="240" w:lineRule="auto"/>
      </w:pPr>
      <w:r>
        <w:separator/>
      </w:r>
    </w:p>
  </w:footnote>
  <w:footnote w:type="continuationSeparator" w:id="1">
    <w:p w:rsidR="00113FA3" w:rsidRDefault="00113FA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DB9A87"/>
    <w:multiLevelType w:val="singleLevel"/>
    <w:tmpl w:val="45DB9A87"/>
    <w:lvl w:ilvl="0">
      <w:start w:val="3"/>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TrueTypeFonts/>
  <w:saveSubsetFonts/>
  <w:bordersDoNotSurroundHeader/>
  <w:bordersDoNotSurroundFooter/>
  <w:defaultTabStop w:val="420"/>
  <w:drawingGridHorizontalSpacing w:val="105"/>
  <w:drawingGridVerticalSpacing w:val="156"/>
  <w:noPunctuationKerning/>
  <w:characterSpacingControl w:val="compressPunctuation"/>
  <w:hdrShapeDefaults>
    <o:shapedefaults v:ext="edit" spidmax="3074" fillcolor="white">
      <v:fill color="white"/>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C1413"/>
    <w:rsid w:val="00024E7F"/>
    <w:rsid w:val="000475A0"/>
    <w:rsid w:val="000838C3"/>
    <w:rsid w:val="000B2446"/>
    <w:rsid w:val="000C0736"/>
    <w:rsid w:val="000D7C65"/>
    <w:rsid w:val="000E2F81"/>
    <w:rsid w:val="00113FA3"/>
    <w:rsid w:val="00117946"/>
    <w:rsid w:val="00117E2C"/>
    <w:rsid w:val="001368C4"/>
    <w:rsid w:val="00146C47"/>
    <w:rsid w:val="00152FB8"/>
    <w:rsid w:val="00171E3C"/>
    <w:rsid w:val="00176658"/>
    <w:rsid w:val="0018239E"/>
    <w:rsid w:val="001B3410"/>
    <w:rsid w:val="001C030D"/>
    <w:rsid w:val="001C4A84"/>
    <w:rsid w:val="001E5902"/>
    <w:rsid w:val="00221B5E"/>
    <w:rsid w:val="00224E91"/>
    <w:rsid w:val="00233705"/>
    <w:rsid w:val="00262E64"/>
    <w:rsid w:val="002721D7"/>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2F5D"/>
    <w:rsid w:val="003E7DB3"/>
    <w:rsid w:val="003F7EC9"/>
    <w:rsid w:val="004135E8"/>
    <w:rsid w:val="00431175"/>
    <w:rsid w:val="004B3366"/>
    <w:rsid w:val="004B6E37"/>
    <w:rsid w:val="004C32BA"/>
    <w:rsid w:val="00502871"/>
    <w:rsid w:val="00575922"/>
    <w:rsid w:val="005A6C90"/>
    <w:rsid w:val="005E3FB0"/>
    <w:rsid w:val="005F4B66"/>
    <w:rsid w:val="005F5208"/>
    <w:rsid w:val="00636A52"/>
    <w:rsid w:val="00641318"/>
    <w:rsid w:val="0064405D"/>
    <w:rsid w:val="00685302"/>
    <w:rsid w:val="00695557"/>
    <w:rsid w:val="00695B3C"/>
    <w:rsid w:val="006D4EA7"/>
    <w:rsid w:val="0070012A"/>
    <w:rsid w:val="0070664B"/>
    <w:rsid w:val="007071B8"/>
    <w:rsid w:val="007414DE"/>
    <w:rsid w:val="0074209C"/>
    <w:rsid w:val="00775163"/>
    <w:rsid w:val="007905A9"/>
    <w:rsid w:val="007D7DF6"/>
    <w:rsid w:val="007E5500"/>
    <w:rsid w:val="007F055B"/>
    <w:rsid w:val="0080644C"/>
    <w:rsid w:val="00811C2F"/>
    <w:rsid w:val="00833D46"/>
    <w:rsid w:val="00840A97"/>
    <w:rsid w:val="008C0149"/>
    <w:rsid w:val="008C29C5"/>
    <w:rsid w:val="008C689C"/>
    <w:rsid w:val="008D5DED"/>
    <w:rsid w:val="008E25CA"/>
    <w:rsid w:val="008F34FC"/>
    <w:rsid w:val="00916995"/>
    <w:rsid w:val="00935058"/>
    <w:rsid w:val="00944CD7"/>
    <w:rsid w:val="009831B2"/>
    <w:rsid w:val="009A1ABE"/>
    <w:rsid w:val="009B7965"/>
    <w:rsid w:val="009E21A4"/>
    <w:rsid w:val="009F22C6"/>
    <w:rsid w:val="00A07E50"/>
    <w:rsid w:val="00A15397"/>
    <w:rsid w:val="00A26DFD"/>
    <w:rsid w:val="00A34FF0"/>
    <w:rsid w:val="00A35CE0"/>
    <w:rsid w:val="00A4462E"/>
    <w:rsid w:val="00A44AA4"/>
    <w:rsid w:val="00A61623"/>
    <w:rsid w:val="00A84687"/>
    <w:rsid w:val="00AB0A0E"/>
    <w:rsid w:val="00AC7281"/>
    <w:rsid w:val="00AD3B6E"/>
    <w:rsid w:val="00B1751F"/>
    <w:rsid w:val="00B56722"/>
    <w:rsid w:val="00B74D39"/>
    <w:rsid w:val="00B91DA4"/>
    <w:rsid w:val="00C12630"/>
    <w:rsid w:val="00C34562"/>
    <w:rsid w:val="00C3774E"/>
    <w:rsid w:val="00C57456"/>
    <w:rsid w:val="00C65387"/>
    <w:rsid w:val="00C8757F"/>
    <w:rsid w:val="00C87FAB"/>
    <w:rsid w:val="00C91FF7"/>
    <w:rsid w:val="00C94E53"/>
    <w:rsid w:val="00CD1C25"/>
    <w:rsid w:val="00D0048E"/>
    <w:rsid w:val="00D01D8A"/>
    <w:rsid w:val="00D23E7A"/>
    <w:rsid w:val="00D24767"/>
    <w:rsid w:val="00D61063"/>
    <w:rsid w:val="00DB35AF"/>
    <w:rsid w:val="00DD1E33"/>
    <w:rsid w:val="00DD72D7"/>
    <w:rsid w:val="00DF5B88"/>
    <w:rsid w:val="00E0589E"/>
    <w:rsid w:val="00E241FA"/>
    <w:rsid w:val="00E2595E"/>
    <w:rsid w:val="00E35374"/>
    <w:rsid w:val="00E50C19"/>
    <w:rsid w:val="00E64655"/>
    <w:rsid w:val="00E73081"/>
    <w:rsid w:val="00E856C9"/>
    <w:rsid w:val="00E8744D"/>
    <w:rsid w:val="00EB6A8B"/>
    <w:rsid w:val="00EF38C6"/>
    <w:rsid w:val="00F261DE"/>
    <w:rsid w:val="00F679C7"/>
    <w:rsid w:val="00F7711A"/>
    <w:rsid w:val="00FA0D58"/>
    <w:rsid w:val="00FA56F4"/>
    <w:rsid w:val="00FB4EDA"/>
    <w:rsid w:val="00FD3BD5"/>
    <w:rsid w:val="00FE3DC8"/>
    <w:rsid w:val="02DE1FC2"/>
    <w:rsid w:val="02FF5EEA"/>
    <w:rsid w:val="0358780D"/>
    <w:rsid w:val="04073F84"/>
    <w:rsid w:val="05DF0037"/>
    <w:rsid w:val="0A0C316E"/>
    <w:rsid w:val="0B60750A"/>
    <w:rsid w:val="0C7F7502"/>
    <w:rsid w:val="0E9C44F0"/>
    <w:rsid w:val="0EB0619C"/>
    <w:rsid w:val="0F18019D"/>
    <w:rsid w:val="0F1A7424"/>
    <w:rsid w:val="0F1B3E72"/>
    <w:rsid w:val="10686488"/>
    <w:rsid w:val="10DF728A"/>
    <w:rsid w:val="111C0451"/>
    <w:rsid w:val="11A54958"/>
    <w:rsid w:val="11FE678D"/>
    <w:rsid w:val="1264200E"/>
    <w:rsid w:val="141C5B77"/>
    <w:rsid w:val="15850DD3"/>
    <w:rsid w:val="158D46DE"/>
    <w:rsid w:val="167B6D20"/>
    <w:rsid w:val="16881C06"/>
    <w:rsid w:val="16DE7731"/>
    <w:rsid w:val="18D8339D"/>
    <w:rsid w:val="1A21388F"/>
    <w:rsid w:val="1A570D2F"/>
    <w:rsid w:val="1ABE2B67"/>
    <w:rsid w:val="1B8E4150"/>
    <w:rsid w:val="1ED84DB7"/>
    <w:rsid w:val="1F4F10D1"/>
    <w:rsid w:val="1F780C80"/>
    <w:rsid w:val="205B78E3"/>
    <w:rsid w:val="23857BBE"/>
    <w:rsid w:val="259C2A5C"/>
    <w:rsid w:val="28733B7A"/>
    <w:rsid w:val="28FB0B8D"/>
    <w:rsid w:val="292C6CCB"/>
    <w:rsid w:val="2A9870FC"/>
    <w:rsid w:val="2B5B3864"/>
    <w:rsid w:val="2C98397C"/>
    <w:rsid w:val="2D182AC7"/>
    <w:rsid w:val="2D2B7942"/>
    <w:rsid w:val="2D46481D"/>
    <w:rsid w:val="2E557EE0"/>
    <w:rsid w:val="2E733B28"/>
    <w:rsid w:val="2F3F234B"/>
    <w:rsid w:val="31852B5A"/>
    <w:rsid w:val="322F387A"/>
    <w:rsid w:val="32D01238"/>
    <w:rsid w:val="352567F8"/>
    <w:rsid w:val="361A3274"/>
    <w:rsid w:val="362E58B3"/>
    <w:rsid w:val="36602889"/>
    <w:rsid w:val="38AB7006"/>
    <w:rsid w:val="395B3A54"/>
    <w:rsid w:val="39734513"/>
    <w:rsid w:val="3ADF74D0"/>
    <w:rsid w:val="3DFC59A8"/>
    <w:rsid w:val="3ECF245E"/>
    <w:rsid w:val="3F052F5C"/>
    <w:rsid w:val="3F2C35B0"/>
    <w:rsid w:val="3FB96314"/>
    <w:rsid w:val="3FBF3AA4"/>
    <w:rsid w:val="403B38A9"/>
    <w:rsid w:val="43477C35"/>
    <w:rsid w:val="4A91332F"/>
    <w:rsid w:val="4B9175A1"/>
    <w:rsid w:val="4FDB385C"/>
    <w:rsid w:val="506446DF"/>
    <w:rsid w:val="53A44FAF"/>
    <w:rsid w:val="56333BA5"/>
    <w:rsid w:val="56663D37"/>
    <w:rsid w:val="57665265"/>
    <w:rsid w:val="594329EC"/>
    <w:rsid w:val="5BEE1540"/>
    <w:rsid w:val="5D0026CF"/>
    <w:rsid w:val="5D82568B"/>
    <w:rsid w:val="5DE61A5D"/>
    <w:rsid w:val="5E2778DC"/>
    <w:rsid w:val="5F8C23B8"/>
    <w:rsid w:val="5FB64CC2"/>
    <w:rsid w:val="5FFF0969"/>
    <w:rsid w:val="62976FD9"/>
    <w:rsid w:val="63C04243"/>
    <w:rsid w:val="63E02177"/>
    <w:rsid w:val="649C01C7"/>
    <w:rsid w:val="666176CD"/>
    <w:rsid w:val="667A6AC2"/>
    <w:rsid w:val="678331B7"/>
    <w:rsid w:val="67D04CA5"/>
    <w:rsid w:val="682C7A0B"/>
    <w:rsid w:val="687E30BB"/>
    <w:rsid w:val="68EA4D48"/>
    <w:rsid w:val="699A3F60"/>
    <w:rsid w:val="6BFB60D7"/>
    <w:rsid w:val="6C306FE4"/>
    <w:rsid w:val="6CB549AF"/>
    <w:rsid w:val="6D9B0BAC"/>
    <w:rsid w:val="6F8727EC"/>
    <w:rsid w:val="72902E62"/>
    <w:rsid w:val="73C61104"/>
    <w:rsid w:val="741D79E1"/>
    <w:rsid w:val="74C154CB"/>
    <w:rsid w:val="763E20D6"/>
    <w:rsid w:val="776452EA"/>
    <w:rsid w:val="78F567D0"/>
    <w:rsid w:val="79A16066"/>
    <w:rsid w:val="7AF445E2"/>
    <w:rsid w:val="7DC663B9"/>
    <w:rsid w:val="7FD2103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Date" w:semiHidden="0" w:qFormat="1"/>
    <w:lsdException w:name="Strong" w:semiHidden="0" w:uiPriority="22" w:unhideWhenUsed="0" w:qFormat="1"/>
    <w:lsdException w:name="Emphasis" w:semiHidden="0" w:uiPriority="20" w:unhideWhenUsed="0" w:qFormat="1"/>
    <w:lsdException w:name="Normal Table" w:qFormat="1"/>
    <w:lsdException w:name="Balloon Text" w:semiHidden="0"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68C4"/>
    <w:pPr>
      <w:widowControl w:val="0"/>
      <w:spacing w:after="160" w:line="480" w:lineRule="auto"/>
      <w:jc w:val="both"/>
    </w:pPr>
    <w:rPr>
      <w:kern w:val="2"/>
      <w:sz w:val="21"/>
      <w:szCs w:val="24"/>
    </w:rPr>
  </w:style>
  <w:style w:type="paragraph" w:styleId="1">
    <w:name w:val="heading 1"/>
    <w:basedOn w:val="a"/>
    <w:next w:val="a"/>
    <w:link w:val="1Char"/>
    <w:uiPriority w:val="9"/>
    <w:qFormat/>
    <w:rsid w:val="001368C4"/>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1368C4"/>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1368C4"/>
    <w:pPr>
      <w:keepNext/>
      <w:keepLines/>
      <w:spacing w:before="260" w:after="260" w:line="416" w:lineRule="auto"/>
      <w:outlineLvl w:val="2"/>
    </w:pPr>
    <w:rPr>
      <w:b/>
      <w:bCs/>
      <w:sz w:val="32"/>
      <w:szCs w:val="32"/>
    </w:rPr>
  </w:style>
  <w:style w:type="paragraph" w:styleId="4">
    <w:name w:val="heading 4"/>
    <w:basedOn w:val="a"/>
    <w:next w:val="a"/>
    <w:link w:val="4Char"/>
    <w:uiPriority w:val="9"/>
    <w:unhideWhenUsed/>
    <w:qFormat/>
    <w:rsid w:val="001368C4"/>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unhideWhenUsed/>
    <w:qFormat/>
    <w:rsid w:val="001368C4"/>
    <w:pPr>
      <w:ind w:leftChars="2500" w:left="100"/>
    </w:pPr>
  </w:style>
  <w:style w:type="paragraph" w:styleId="a4">
    <w:name w:val="Balloon Text"/>
    <w:basedOn w:val="a"/>
    <w:link w:val="Char0"/>
    <w:uiPriority w:val="99"/>
    <w:unhideWhenUsed/>
    <w:qFormat/>
    <w:rsid w:val="001368C4"/>
    <w:rPr>
      <w:sz w:val="18"/>
      <w:szCs w:val="18"/>
    </w:rPr>
  </w:style>
  <w:style w:type="paragraph" w:styleId="a5">
    <w:name w:val="footer"/>
    <w:basedOn w:val="a"/>
    <w:link w:val="Char1"/>
    <w:uiPriority w:val="99"/>
    <w:unhideWhenUsed/>
    <w:qFormat/>
    <w:rsid w:val="001368C4"/>
    <w:pPr>
      <w:tabs>
        <w:tab w:val="center" w:pos="4153"/>
        <w:tab w:val="right" w:pos="8306"/>
      </w:tabs>
      <w:snapToGrid w:val="0"/>
      <w:jc w:val="left"/>
    </w:pPr>
    <w:rPr>
      <w:rFonts w:asciiTheme="minorHAnsi" w:eastAsiaTheme="minorEastAsia" w:hAnsiTheme="minorHAnsi" w:cstheme="minorBidi"/>
      <w:sz w:val="18"/>
      <w:szCs w:val="18"/>
    </w:rPr>
  </w:style>
  <w:style w:type="paragraph" w:styleId="a6">
    <w:name w:val="header"/>
    <w:basedOn w:val="a"/>
    <w:link w:val="Char2"/>
    <w:uiPriority w:val="99"/>
    <w:unhideWhenUsed/>
    <w:qFormat/>
    <w:rsid w:val="001368C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7">
    <w:name w:val="Subtitle"/>
    <w:basedOn w:val="a"/>
    <w:next w:val="a"/>
    <w:link w:val="Char3"/>
    <w:uiPriority w:val="11"/>
    <w:qFormat/>
    <w:rsid w:val="001368C4"/>
    <w:pPr>
      <w:widowControl/>
      <w:spacing w:after="200" w:line="276" w:lineRule="auto"/>
      <w:jc w:val="left"/>
    </w:pPr>
    <w:rPr>
      <w:rFonts w:asciiTheme="majorHAnsi" w:eastAsiaTheme="majorEastAsia" w:hAnsiTheme="majorHAnsi" w:cstheme="majorBidi"/>
      <w:i/>
      <w:iCs/>
      <w:color w:val="F0A22E" w:themeColor="accent1"/>
      <w:spacing w:val="15"/>
      <w:kern w:val="0"/>
      <w:sz w:val="24"/>
    </w:rPr>
  </w:style>
  <w:style w:type="paragraph" w:styleId="a8">
    <w:name w:val="Title"/>
    <w:basedOn w:val="a"/>
    <w:next w:val="a"/>
    <w:link w:val="Char4"/>
    <w:uiPriority w:val="10"/>
    <w:qFormat/>
    <w:rsid w:val="001368C4"/>
    <w:pPr>
      <w:widowControl/>
      <w:pBdr>
        <w:bottom w:val="single" w:sz="8" w:space="4" w:color="F0A22E" w:themeColor="accent1"/>
      </w:pBdr>
      <w:spacing w:after="300"/>
      <w:contextualSpacing/>
      <w:jc w:val="left"/>
    </w:pPr>
    <w:rPr>
      <w:rFonts w:asciiTheme="majorHAnsi" w:eastAsiaTheme="majorEastAsia" w:hAnsiTheme="majorHAnsi" w:cstheme="majorBidi"/>
      <w:color w:val="3A2C24" w:themeColor="text2" w:themeShade="BF"/>
      <w:spacing w:val="5"/>
      <w:kern w:val="28"/>
      <w:sz w:val="52"/>
      <w:szCs w:val="52"/>
    </w:rPr>
  </w:style>
  <w:style w:type="table" w:styleId="a9">
    <w:name w:val="Table Grid"/>
    <w:basedOn w:val="a1"/>
    <w:uiPriority w:val="1"/>
    <w:qFormat/>
    <w:rsid w:val="001368C4"/>
    <w:rPr>
      <w:sz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Char2">
    <w:name w:val="页眉 Char"/>
    <w:basedOn w:val="a0"/>
    <w:link w:val="a6"/>
    <w:uiPriority w:val="99"/>
    <w:qFormat/>
    <w:rsid w:val="001368C4"/>
    <w:rPr>
      <w:sz w:val="18"/>
      <w:szCs w:val="18"/>
    </w:rPr>
  </w:style>
  <w:style w:type="character" w:customStyle="1" w:styleId="Char1">
    <w:name w:val="页脚 Char"/>
    <w:basedOn w:val="a0"/>
    <w:link w:val="a5"/>
    <w:uiPriority w:val="99"/>
    <w:qFormat/>
    <w:rsid w:val="001368C4"/>
    <w:rPr>
      <w:sz w:val="18"/>
      <w:szCs w:val="18"/>
    </w:rPr>
  </w:style>
  <w:style w:type="paragraph" w:customStyle="1" w:styleId="10">
    <w:name w:val="无间隔1"/>
    <w:link w:val="Char5"/>
    <w:uiPriority w:val="1"/>
    <w:qFormat/>
    <w:rsid w:val="001368C4"/>
    <w:pPr>
      <w:spacing w:after="160" w:line="480" w:lineRule="auto"/>
    </w:pPr>
    <w:rPr>
      <w:rFonts w:asciiTheme="minorHAnsi" w:eastAsiaTheme="minorEastAsia" w:hAnsiTheme="minorHAnsi" w:cstheme="minorBidi"/>
      <w:sz w:val="22"/>
      <w:szCs w:val="22"/>
    </w:rPr>
  </w:style>
  <w:style w:type="character" w:customStyle="1" w:styleId="Char5">
    <w:name w:val="无间隔 Char"/>
    <w:basedOn w:val="a0"/>
    <w:link w:val="10"/>
    <w:uiPriority w:val="1"/>
    <w:qFormat/>
    <w:rsid w:val="001368C4"/>
    <w:rPr>
      <w:kern w:val="0"/>
      <w:sz w:val="22"/>
    </w:rPr>
  </w:style>
  <w:style w:type="character" w:customStyle="1" w:styleId="Char0">
    <w:name w:val="批注框文本 Char"/>
    <w:basedOn w:val="a0"/>
    <w:link w:val="a4"/>
    <w:uiPriority w:val="99"/>
    <w:semiHidden/>
    <w:qFormat/>
    <w:rsid w:val="001368C4"/>
    <w:rPr>
      <w:rFonts w:ascii="Times New Roman" w:eastAsia="宋体" w:hAnsi="Times New Roman" w:cs="Times New Roman"/>
      <w:sz w:val="18"/>
      <w:szCs w:val="18"/>
    </w:rPr>
  </w:style>
  <w:style w:type="character" w:customStyle="1" w:styleId="Char4">
    <w:name w:val="标题 Char"/>
    <w:basedOn w:val="a0"/>
    <w:link w:val="a8"/>
    <w:uiPriority w:val="10"/>
    <w:qFormat/>
    <w:rsid w:val="001368C4"/>
    <w:rPr>
      <w:rFonts w:asciiTheme="majorHAnsi" w:eastAsiaTheme="majorEastAsia" w:hAnsiTheme="majorHAnsi" w:cstheme="majorBidi"/>
      <w:color w:val="3A2C24" w:themeColor="text2" w:themeShade="BF"/>
      <w:spacing w:val="5"/>
      <w:kern w:val="28"/>
      <w:sz w:val="52"/>
      <w:szCs w:val="52"/>
    </w:rPr>
  </w:style>
  <w:style w:type="character" w:customStyle="1" w:styleId="Char3">
    <w:name w:val="副标题 Char"/>
    <w:basedOn w:val="a0"/>
    <w:link w:val="a7"/>
    <w:uiPriority w:val="11"/>
    <w:qFormat/>
    <w:rsid w:val="001368C4"/>
    <w:rPr>
      <w:rFonts w:asciiTheme="majorHAnsi" w:eastAsiaTheme="majorEastAsia" w:hAnsiTheme="majorHAnsi" w:cstheme="majorBidi"/>
      <w:i/>
      <w:iCs/>
      <w:color w:val="F0A22E" w:themeColor="accent1"/>
      <w:spacing w:val="15"/>
      <w:kern w:val="0"/>
      <w:sz w:val="24"/>
      <w:szCs w:val="24"/>
    </w:rPr>
  </w:style>
  <w:style w:type="character" w:customStyle="1" w:styleId="Style1">
    <w:name w:val="Style1"/>
    <w:basedOn w:val="a0"/>
    <w:uiPriority w:val="1"/>
    <w:qFormat/>
    <w:rsid w:val="001368C4"/>
    <w:rPr>
      <w:rFonts w:asciiTheme="minorHAnsi" w:eastAsiaTheme="minorEastAsia" w:hAnsiTheme="minorEastAsia" w:cstheme="minorBidi"/>
      <w:sz w:val="22"/>
      <w:szCs w:val="22"/>
      <w:lang w:eastAsia="zh-CN"/>
    </w:rPr>
  </w:style>
  <w:style w:type="character" w:customStyle="1" w:styleId="Style2">
    <w:name w:val="Style2"/>
    <w:basedOn w:val="a0"/>
    <w:uiPriority w:val="1"/>
    <w:qFormat/>
    <w:rsid w:val="001368C4"/>
    <w:rPr>
      <w:rFonts w:asciiTheme="minorHAnsi" w:eastAsiaTheme="minorEastAsia" w:hAnsiTheme="minorEastAsia" w:cstheme="minorBidi"/>
      <w:sz w:val="22"/>
      <w:szCs w:val="22"/>
      <w:lang w:eastAsia="zh-CN"/>
    </w:rPr>
  </w:style>
  <w:style w:type="character" w:customStyle="1" w:styleId="Style3">
    <w:name w:val="Style3"/>
    <w:basedOn w:val="a0"/>
    <w:uiPriority w:val="1"/>
    <w:qFormat/>
    <w:rsid w:val="001368C4"/>
    <w:rPr>
      <w:rFonts w:asciiTheme="minorHAnsi" w:eastAsiaTheme="minorEastAsia" w:hAnsiTheme="minorEastAsia" w:cstheme="minorBidi"/>
      <w:szCs w:val="22"/>
      <w:lang w:eastAsia="zh-CN"/>
    </w:rPr>
  </w:style>
  <w:style w:type="character" w:customStyle="1" w:styleId="Style4">
    <w:name w:val="Style4"/>
    <w:basedOn w:val="a0"/>
    <w:uiPriority w:val="1"/>
    <w:qFormat/>
    <w:rsid w:val="001368C4"/>
    <w:rPr>
      <w:rFonts w:asciiTheme="minorHAnsi" w:eastAsiaTheme="minorEastAsia" w:hAnsiTheme="minorEastAsia" w:cstheme="minorBidi"/>
      <w:szCs w:val="22"/>
      <w:lang w:eastAsia="zh-CN"/>
    </w:rPr>
  </w:style>
  <w:style w:type="character" w:customStyle="1" w:styleId="Style5">
    <w:name w:val="Style5"/>
    <w:basedOn w:val="a0"/>
    <w:uiPriority w:val="1"/>
    <w:qFormat/>
    <w:rsid w:val="001368C4"/>
    <w:rPr>
      <w:rFonts w:asciiTheme="minorHAnsi" w:eastAsiaTheme="minorEastAsia" w:hAnsiTheme="minorEastAsia" w:cstheme="minorBidi"/>
      <w:sz w:val="22"/>
      <w:szCs w:val="22"/>
      <w:lang w:eastAsia="zh-CN"/>
    </w:rPr>
  </w:style>
  <w:style w:type="character" w:customStyle="1" w:styleId="1Char">
    <w:name w:val="标题 1 Char"/>
    <w:basedOn w:val="a0"/>
    <w:link w:val="1"/>
    <w:uiPriority w:val="9"/>
    <w:qFormat/>
    <w:rsid w:val="001368C4"/>
    <w:rPr>
      <w:rFonts w:ascii="Times New Roman" w:eastAsia="宋体" w:hAnsi="Times New Roman" w:cs="Times New Roman"/>
      <w:b/>
      <w:bCs/>
      <w:kern w:val="44"/>
      <w:sz w:val="44"/>
      <w:szCs w:val="44"/>
    </w:rPr>
  </w:style>
  <w:style w:type="character" w:customStyle="1" w:styleId="2Char">
    <w:name w:val="标题 2 Char"/>
    <w:basedOn w:val="a0"/>
    <w:link w:val="2"/>
    <w:uiPriority w:val="9"/>
    <w:qFormat/>
    <w:rsid w:val="001368C4"/>
    <w:rPr>
      <w:rFonts w:asciiTheme="majorHAnsi" w:eastAsiaTheme="majorEastAsia" w:hAnsiTheme="majorHAnsi" w:cstheme="majorBidi"/>
      <w:b/>
      <w:bCs/>
      <w:sz w:val="32"/>
      <w:szCs w:val="32"/>
    </w:rPr>
  </w:style>
  <w:style w:type="character" w:customStyle="1" w:styleId="3Char">
    <w:name w:val="标题 3 Char"/>
    <w:basedOn w:val="a0"/>
    <w:link w:val="3"/>
    <w:uiPriority w:val="9"/>
    <w:qFormat/>
    <w:rsid w:val="001368C4"/>
    <w:rPr>
      <w:rFonts w:ascii="Times New Roman" w:eastAsia="宋体" w:hAnsi="Times New Roman" w:cs="Times New Roman"/>
      <w:b/>
      <w:bCs/>
      <w:sz w:val="32"/>
      <w:szCs w:val="32"/>
    </w:rPr>
  </w:style>
  <w:style w:type="character" w:customStyle="1" w:styleId="4Char">
    <w:name w:val="标题 4 Char"/>
    <w:basedOn w:val="a0"/>
    <w:link w:val="4"/>
    <w:uiPriority w:val="9"/>
    <w:qFormat/>
    <w:rsid w:val="001368C4"/>
    <w:rPr>
      <w:rFonts w:asciiTheme="majorHAnsi" w:eastAsiaTheme="majorEastAsia" w:hAnsiTheme="majorHAnsi" w:cstheme="majorBidi"/>
      <w:b/>
      <w:bCs/>
      <w:sz w:val="28"/>
      <w:szCs w:val="28"/>
    </w:rPr>
  </w:style>
  <w:style w:type="character" w:customStyle="1" w:styleId="Char">
    <w:name w:val="日期 Char"/>
    <w:basedOn w:val="a0"/>
    <w:link w:val="a3"/>
    <w:uiPriority w:val="99"/>
    <w:semiHidden/>
    <w:qFormat/>
    <w:rsid w:val="001368C4"/>
    <w:rPr>
      <w:rFonts w:ascii="Times New Roman" w:eastAsia="宋体" w:hAnsi="Times New Roman" w:cs="Times New Roman"/>
      <w:szCs w:val="24"/>
    </w:rPr>
  </w:style>
  <w:style w:type="paragraph" w:customStyle="1" w:styleId="11">
    <w:name w:val="列出段落1"/>
    <w:basedOn w:val="a"/>
    <w:uiPriority w:val="99"/>
    <w:unhideWhenUsed/>
    <w:qFormat/>
    <w:rsid w:val="001368C4"/>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chart" Target="charts/chart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chart" Target="charts/chart1.xml"/><Relationship Id="rId17"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chart" Target="charts/chart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chart" Target="charts/chart4.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chart" Target="charts/chart3.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Administrator\&#26700;&#38754;\&#37096;&#38376;&#20915;&#31639;&#20844;&#24320;&#21046;&#22270;&#27169;&#26495;&#65288;&#20462;&#25913;&#29256;&#65289;.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Administrator\&#26700;&#38754;\&#37096;&#38376;&#20915;&#31639;&#20844;&#24320;&#21046;&#22270;&#27169;&#26495;&#65288;&#20462;&#25913;&#29256;&#65289;.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Administrator\&#26700;&#38754;\&#37096;&#38376;&#20915;&#31639;&#20844;&#24320;&#21046;&#22270;&#27169;&#26495;&#65288;&#20462;&#25913;&#29256;&#65289;.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Book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Administrator\&#26700;&#38754;\&#37096;&#38376;&#20915;&#31639;&#20844;&#24320;&#21046;&#22270;&#27169;&#26495;&#65288;&#20462;&#25913;&#29256;&#6528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charset="-122"/>
                <a:ea typeface="仿宋_GB2312" charset="-122"/>
              </a:rPr>
              <a:t>图</a:t>
            </a:r>
            <a:r>
              <a:rPr lang="en-US" altLang="zh-CN" sz="1200" b="0">
                <a:latin typeface="仿宋_GB2312" charset="-122"/>
                <a:ea typeface="仿宋_GB2312" charset="-122"/>
              </a:rPr>
              <a:t>1</a:t>
            </a:r>
            <a:r>
              <a:rPr lang="zh-CN" altLang="zh-CN" sz="1200" b="0">
                <a:latin typeface="仿宋_GB2312" charset="-122"/>
                <a:ea typeface="仿宋_GB2312" charset="-122"/>
              </a:rPr>
              <a:t>：收入构成情况</a:t>
            </a:r>
            <a:endParaRPr lang="zh-CN" altLang="zh-CN" sz="1200" b="1">
              <a:latin typeface="仿宋_GB2312" charset="-122"/>
              <a:ea typeface="仿宋_GB2312" charset="-122"/>
            </a:endParaRPr>
          </a:p>
        </c:rich>
      </c:tx>
      <c:layout>
        <c:manualLayout>
          <c:xMode val="edge"/>
          <c:yMode val="edge"/>
          <c:x val="0.36655086227020023"/>
          <c:y val="0.85074626865671721"/>
        </c:manualLayout>
      </c:layout>
    </c:title>
    <c:plotArea>
      <c:layout>
        <c:manualLayout>
          <c:layoutTarget val="inner"/>
          <c:xMode val="edge"/>
          <c:yMode val="edge"/>
          <c:x val="9.4314880921880534E-2"/>
          <c:y val="5.7524581815332911E-2"/>
          <c:w val="0.81137023815623899"/>
          <c:h val="0.76554785129470926"/>
        </c:manualLayout>
      </c:layout>
      <c:pieChart>
        <c:varyColors val="1"/>
        <c:ser>
          <c:idx val="0"/>
          <c:order val="0"/>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收入情况说明!$C$9:$C$12</c:f>
              <c:strCache>
                <c:ptCount val="4"/>
                <c:pt idx="0">
                  <c:v>财政拨款收入</c:v>
                </c:pt>
                <c:pt idx="1">
                  <c:v>事业收入</c:v>
                </c:pt>
                <c:pt idx="2">
                  <c:v>经营收入</c:v>
                </c:pt>
                <c:pt idx="3">
                  <c:v>其他收入</c:v>
                </c:pt>
              </c:strCache>
            </c:strRef>
          </c:cat>
          <c:val>
            <c:numRef>
              <c:f>收入情况说明!$D$9:$D$12</c:f>
              <c:numCache>
                <c:formatCode>General</c:formatCode>
                <c:ptCount val="4"/>
                <c:pt idx="0">
                  <c:v>65.36999999999999</c:v>
                </c:pt>
              </c:numCache>
            </c:numRef>
          </c:val>
        </c:ser>
        <c:dLbls>
          <c:showCatName val="1"/>
          <c:showPercent val="1"/>
        </c:dLbls>
        <c:firstSliceAng val="15"/>
      </c:pieChart>
      <c:spPr>
        <a:noFill/>
        <a:ln>
          <a:noFill/>
        </a:ln>
        <a:effectLst/>
      </c:spPr>
    </c:plotArea>
    <c:plotVisOnly val="1"/>
    <c:dispBlanksAs val="zero"/>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charset="-122"/>
                <a:ea typeface="仿宋_GB2312" charset="-122"/>
              </a:rPr>
              <a:t>图</a:t>
            </a:r>
            <a:r>
              <a:rPr lang="en-US" altLang="zh-CN" sz="1200" b="0">
                <a:latin typeface="仿宋_GB2312" charset="-122"/>
                <a:ea typeface="仿宋_GB2312" charset="-122"/>
              </a:rPr>
              <a:t>2</a:t>
            </a:r>
            <a:r>
              <a:rPr lang="zh-CN" altLang="zh-CN" sz="1200" b="0">
                <a:latin typeface="仿宋_GB2312" charset="-122"/>
                <a:ea typeface="仿宋_GB2312" charset="-122"/>
              </a:rPr>
              <a:t>：支出构成情况</a:t>
            </a:r>
            <a:endParaRPr lang="zh-CN" altLang="zh-CN" sz="1200" b="1">
              <a:latin typeface="仿宋_GB2312" charset="-122"/>
              <a:ea typeface="仿宋_GB2312" charset="-122"/>
            </a:endParaRPr>
          </a:p>
        </c:rich>
      </c:tx>
      <c:layout>
        <c:manualLayout>
          <c:xMode val="edge"/>
          <c:yMode val="edge"/>
          <c:x val="0.36413833146703201"/>
          <c:y val="0.82323232323232176"/>
        </c:manualLayout>
      </c:layout>
    </c:title>
    <c:plotArea>
      <c:layout>
        <c:manualLayout>
          <c:layoutTarget val="inner"/>
          <c:xMode val="edge"/>
          <c:yMode val="edge"/>
          <c:x val="0.101627059597234"/>
          <c:y val="0.10324345820408802"/>
          <c:w val="0.80878500796881325"/>
          <c:h val="0.65515469657202141"/>
        </c:manualLayout>
      </c:layout>
      <c:pieChart>
        <c:varyColors val="1"/>
        <c:ser>
          <c:idx val="0"/>
          <c:order val="0"/>
          <c:dLbls>
            <c:dLbl>
              <c:idx val="2"/>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60.2</c:v>
                </c:pt>
                <c:pt idx="1">
                  <c:v>8.41</c:v>
                </c:pt>
              </c:numCache>
            </c:numRef>
          </c:val>
        </c:ser>
        <c:dLbls>
          <c:showCatName val="1"/>
          <c:showPercent val="1"/>
        </c:dLbls>
        <c:firstSliceAng val="15"/>
      </c:pieChart>
      <c:spPr>
        <a:noFill/>
        <a:ln>
          <a:noFill/>
        </a:ln>
        <a:effectLst/>
      </c:spPr>
    </c:plotArea>
    <c:plotVisOnly val="1"/>
    <c:dispBlanksAs val="zero"/>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charset="-122"/>
                <a:ea typeface="仿宋_GB2312" charset="-122"/>
              </a:rPr>
              <a:t>图</a:t>
            </a:r>
            <a:r>
              <a:rPr lang="en-US" altLang="zh-CN" sz="1200" b="0">
                <a:latin typeface="仿宋_GB2312" charset="-122"/>
                <a:ea typeface="仿宋_GB2312" charset="-122"/>
              </a:rPr>
              <a:t>3</a:t>
            </a:r>
            <a:r>
              <a:rPr lang="zh-CN" altLang="zh-CN" sz="1200" b="0">
                <a:latin typeface="仿宋_GB2312" charset="-122"/>
                <a:ea typeface="仿宋_GB2312" charset="-122"/>
              </a:rPr>
              <a:t>：</a:t>
            </a:r>
            <a:r>
              <a:rPr lang="en-US" altLang="zh-CN" sz="1200" b="0">
                <a:latin typeface="仿宋_GB2312" charset="-122"/>
                <a:ea typeface="仿宋_GB2312" charset="-122"/>
              </a:rPr>
              <a:t>2017-2018</a:t>
            </a:r>
            <a:r>
              <a:rPr lang="zh-CN" altLang="zh-CN" sz="1200" b="0">
                <a:latin typeface="仿宋_GB2312" charset="-122"/>
                <a:ea typeface="仿宋_GB2312" charset="-122"/>
              </a:rPr>
              <a:t>年财政拨款收支对比情况</a:t>
            </a:r>
          </a:p>
        </c:rich>
      </c:tx>
      <c:layout>
        <c:manualLayout>
          <c:xMode val="edge"/>
          <c:yMode val="edge"/>
          <c:x val="0.22222222222222204"/>
          <c:y val="0.8647497337593204"/>
        </c:manualLayout>
      </c:layout>
    </c:title>
    <c:plotArea>
      <c:layout>
        <c:manualLayout>
          <c:layoutTarget val="inner"/>
          <c:xMode val="edge"/>
          <c:yMode val="edge"/>
          <c:x val="0.10015507436570402"/>
          <c:y val="7.0298273418698126E-2"/>
          <c:w val="0.86928937007874119"/>
          <c:h val="0.60199340897084419"/>
        </c:manualLayout>
      </c:layout>
      <c:barChart>
        <c:barDir val="col"/>
        <c:grouping val="clustered"/>
        <c:ser>
          <c:idx val="0"/>
          <c:order val="0"/>
          <c:tx>
            <c:strRef>
              <c:f>收支与决算对比!$A$5</c:f>
              <c:strCache>
                <c:ptCount val="1"/>
                <c:pt idx="0">
                  <c:v>2018</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65.36999999999999</c:v>
                </c:pt>
                <c:pt idx="1">
                  <c:v>68.410000000000025</c:v>
                </c:pt>
              </c:numCache>
            </c:numRef>
          </c:val>
        </c:ser>
        <c:ser>
          <c:idx val="1"/>
          <c:order val="1"/>
          <c:tx>
            <c:strRef>
              <c:f>收支与决算对比!$A$6</c:f>
              <c:strCache>
                <c:ptCount val="1"/>
                <c:pt idx="0">
                  <c:v>2017</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69.02</c:v>
                </c:pt>
                <c:pt idx="1">
                  <c:v>68.95</c:v>
                </c:pt>
              </c:numCache>
            </c:numRef>
          </c:val>
        </c:ser>
        <c:dLbls>
          <c:showVal val="1"/>
        </c:dLbls>
        <c:gapWidth val="75"/>
        <c:axId val="222724480"/>
        <c:axId val="222726016"/>
      </c:barChart>
      <c:catAx>
        <c:axId val="222724480"/>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22726016"/>
        <c:crosses val="autoZero"/>
        <c:auto val="1"/>
        <c:lblAlgn val="ctr"/>
        <c:lblOffset val="100"/>
      </c:catAx>
      <c:valAx>
        <c:axId val="222726016"/>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22724480"/>
        <c:crosses val="autoZero"/>
        <c:crossBetween val="between"/>
      </c:valAx>
    </c:plotArea>
    <c:legend>
      <c:legendPos val="b"/>
      <c:layout>
        <c:manualLayout>
          <c:xMode val="edge"/>
          <c:yMode val="edge"/>
          <c:x val="0.42634055118110209"/>
          <c:y val="0.75683529974088826"/>
          <c:w val="0.20842979002624706"/>
          <c:h val="7.7030514955598844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chart>
    <c:autoTitleDeleted val="1"/>
    <c:plotArea>
      <c:layout/>
      <c:barChart>
        <c:barDir val="col"/>
        <c:grouping val="clustered"/>
        <c:ser>
          <c:idx val="0"/>
          <c:order val="0"/>
          <c:spPr>
            <a:solidFill>
              <a:schemeClr val="accent1"/>
            </a:solidFill>
            <a:ln>
              <a:noFill/>
            </a:ln>
            <a:effectLst/>
          </c:spPr>
          <c:cat>
            <c:multiLvlStrRef>
              <c:f>[Book1.xlsx]Sheet1!$A$1:$D$3</c:f>
              <c:multiLvlStrCache>
                <c:ptCount val="4"/>
                <c:lvl>
                  <c:pt idx="0">
                    <c:v>2018年预算收入</c:v>
                  </c:pt>
                  <c:pt idx="1">
                    <c:v>2018年决算收入</c:v>
                  </c:pt>
                  <c:pt idx="2">
                    <c:v>2018年预算支出</c:v>
                  </c:pt>
                  <c:pt idx="3">
                    <c:v>2018年决算支出</c:v>
                  </c:pt>
                </c:lvl>
                <c:lvl>
                  <c:pt idx="0">
                    <c:v>单位：万元</c:v>
                  </c:pt>
                </c:lvl>
                <c:lvl>
                  <c:pt idx="0">
                    <c:v>财政拨款收支预决算对比情况</c:v>
                  </c:pt>
                </c:lvl>
              </c:multiLvlStrCache>
            </c:multiLvlStrRef>
          </c:cat>
          <c:val>
            <c:numRef>
              <c:f>[Book1.xlsx]Sheet1!$A$4:$D$4</c:f>
              <c:numCache>
                <c:formatCode>General</c:formatCode>
                <c:ptCount val="4"/>
                <c:pt idx="0">
                  <c:v>80.210000000000022</c:v>
                </c:pt>
                <c:pt idx="1">
                  <c:v>65.36999999999999</c:v>
                </c:pt>
                <c:pt idx="2">
                  <c:v>80.210000000000022</c:v>
                </c:pt>
                <c:pt idx="3">
                  <c:v>68.410000000000025</c:v>
                </c:pt>
              </c:numCache>
            </c:numRef>
          </c:val>
        </c:ser>
        <c:gapWidth val="219"/>
        <c:overlap val="-27"/>
        <c:axId val="223573504"/>
        <c:axId val="223744768"/>
      </c:barChart>
      <c:catAx>
        <c:axId val="223573504"/>
        <c:scaling>
          <c:orientation val="minMax"/>
        </c:scaling>
        <c:axPos val="b"/>
        <c:maj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223744768"/>
        <c:crosses val="autoZero"/>
        <c:auto val="1"/>
        <c:lblAlgn val="ctr"/>
        <c:lblOffset val="100"/>
      </c:catAx>
      <c:valAx>
        <c:axId val="223744768"/>
        <c:scaling>
          <c:orientation val="minMax"/>
        </c:scaling>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223573504"/>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prstDash val="solid"/>
      <a:round/>
    </a:ln>
    <a:effectLst/>
  </c:spPr>
  <c:txPr>
    <a:bodyPr/>
    <a:lstStyle/>
    <a:p>
      <a:pPr>
        <a:defRPr lang="zh-CN"/>
      </a:pPr>
      <a:endParaRPr lang="zh-CN"/>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charset="-122"/>
                <a:ea typeface="仿宋_GB2312" charset="-122"/>
              </a:rPr>
              <a:t>图</a:t>
            </a:r>
            <a:r>
              <a:rPr lang="en-US" altLang="zh-CN" sz="1400" b="0" i="0" u="none" strike="noStrike" baseline="0">
                <a:latin typeface="仿宋_GB2312" charset="-122"/>
                <a:ea typeface="仿宋_GB2312" charset="-122"/>
              </a:rPr>
              <a:t>5</a:t>
            </a:r>
            <a:r>
              <a:rPr lang="zh-CN" altLang="zh-CN" sz="1400" b="0" i="0" u="none" strike="noStrike" baseline="0">
                <a:latin typeface="仿宋_GB2312" charset="-122"/>
                <a:ea typeface="仿宋_GB2312" charset="-122"/>
              </a:rPr>
              <a:t>：财政拨款支出决算结构（按功能分类）</a:t>
            </a:r>
            <a:endParaRPr lang="zh-CN" altLang="en-US" sz="1400" b="0">
              <a:latin typeface="仿宋_GB2312" charset="-122"/>
              <a:ea typeface="仿宋_GB2312" charset="-122"/>
            </a:endParaRPr>
          </a:p>
        </c:rich>
      </c:tx>
      <c:layout>
        <c:manualLayout>
          <c:xMode val="edge"/>
          <c:yMode val="edge"/>
          <c:x val="0.12638888888888897"/>
          <c:y val="0.83712096244304524"/>
        </c:manualLayout>
      </c:layout>
    </c:title>
    <c:plotArea>
      <c:layout>
        <c:manualLayout>
          <c:layoutTarget val="inner"/>
          <c:xMode val="edge"/>
          <c:yMode val="edge"/>
          <c:x val="0.24277777777777801"/>
          <c:y val="7.1969675504153105E-2"/>
          <c:w val="0.51444466316710402"/>
          <c:h val="0.70151524054067105"/>
        </c:manualLayout>
      </c:layout>
      <c:pieChart>
        <c:varyColors val="1"/>
        <c:ser>
          <c:idx val="0"/>
          <c:order val="0"/>
          <c:dLbls>
            <c:dLbl>
              <c:idx val="0"/>
              <c:delete val="1"/>
            </c:dLbl>
            <c:dLbl>
              <c:idx val="1"/>
              <c:delete val="1"/>
            </c:dLbl>
            <c:dLbl>
              <c:idx val="2"/>
              <c:delete val="1"/>
            </c:dLbl>
            <c:dLbl>
              <c:idx val="3"/>
              <c:tx>
                <c:rich>
                  <a:bodyPr/>
                  <a:lstStyle/>
                  <a:p>
                    <a:r>
                      <a:t>科学技术支出</a:t>
                    </a:r>
                  </a:p>
                  <a:p>
                    <a:r>
                      <a:t>75.4</a:t>
                    </a:r>
                    <a:r>
                      <a:rPr lang="en-US" altLang="zh-CN"/>
                      <a:t>1</a:t>
                    </a:r>
                    <a:r>
                      <a:t>%</a:t>
                    </a:r>
                  </a:p>
                </c:rich>
              </c:tx>
              <c:dLblPos val="bestFit"/>
              <c:showCatName val="1"/>
              <c:showPercent val="1"/>
              <c:separator>
</c:separator>
              <c:extLst>
                <c:ext xmlns:c15="http://schemas.microsoft.com/office/drawing/2012/chart" uri="{CE6537A1-D6FC-4f65-9D91-7224C49458BB}"/>
              </c:extLst>
            </c:dLbl>
            <c:dLbl>
              <c:idx val="4"/>
              <c:delete val="1"/>
            </c:dLbl>
            <c:dLbl>
              <c:idx val="5"/>
              <c:tx>
                <c:rich>
                  <a:bodyPr/>
                  <a:lstStyle/>
                  <a:p>
                    <a:r>
                      <a:t>社会保障和就业支出</a:t>
                    </a:r>
                  </a:p>
                  <a:p>
                    <a:r>
                      <a:t>24.5</a:t>
                    </a:r>
                    <a:r>
                      <a:rPr lang="en-US" altLang="zh-CN"/>
                      <a:t>9</a:t>
                    </a:r>
                    <a:r>
                      <a:t>%</a:t>
                    </a:r>
                  </a:p>
                </c:rich>
              </c:tx>
              <c:dLblPos val="bestFit"/>
              <c:showCatName val="1"/>
              <c:showPercent val="1"/>
              <c:separator>
</c:separator>
              <c:extLst>
                <c:ext xmlns:c15="http://schemas.microsoft.com/office/drawing/2012/chart" uri="{CE6537A1-D6FC-4f65-9D91-7224C49458BB}"/>
              </c:extLst>
            </c:dLbl>
            <c:dLbl>
              <c:idx val="6"/>
              <c:delete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3">
                  <c:v>51.6</c:v>
                </c:pt>
                <c:pt idx="5">
                  <c:v>16.810000000000006</c:v>
                </c:pt>
              </c:numCache>
            </c:numRef>
          </c:val>
        </c:ser>
        <c:dLbls>
          <c:showCatName val="1"/>
          <c:showPercent val="1"/>
        </c:dLbls>
        <c:firstSliceAng val="0"/>
      </c:pieChart>
    </c:plotArea>
    <c:plotVisOnly val="1"/>
    <c:dispBlanksAs val="zero"/>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2017</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BA20060-3F22-4FB0-A2C7-C1BE16066990}">
  <ds:schemaRefs>
    <ds:schemaRef ds:uri="http://schemas.openxmlformats.org/officeDocument/2006/bibliography"/>
  </ds:schemaRefs>
</ds:datastoreItem>
</file>

<file path=customXml/itemProps3.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32</Pages>
  <Words>1639</Words>
  <Characters>9348</Characters>
  <Application>Microsoft Office Word</Application>
  <DocSecurity>0</DocSecurity>
  <Lines>77</Lines>
  <Paragraphs>21</Paragraphs>
  <ScaleCrop>false</ScaleCrop>
  <Company>Microsoft</Company>
  <LinksUpToDate>false</LinksUpToDate>
  <CharactersWithSpaces>10966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2017年度部门决算</dc:title>
  <dc:subject>石家庄市xxx部门</dc:subject>
  <dc:creator>User</dc:creator>
  <cp:lastModifiedBy>Administrator</cp:lastModifiedBy>
  <cp:revision>22</cp:revision>
  <cp:lastPrinted>2019-12-18T08:39:00Z</cp:lastPrinted>
  <dcterms:created xsi:type="dcterms:W3CDTF">2019-08-28T08:40:00Z</dcterms:created>
  <dcterms:modified xsi:type="dcterms:W3CDTF">2021-05-21T23:59:00Z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8BA933B6677D48B3962C37888749D558</vt:lpwstr>
  </property>
</Properties>
</file>