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7"/>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水利局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 xml:space="preserve">目 </w:t>
      </w:r>
      <w:bookmarkStart w:id="0" w:name="_GoBack"/>
      <w:bookmarkEnd w:id="0"/>
      <w:r>
        <w:rPr>
          <w:rFonts w:hint="eastAsia" w:ascii="黑体" w:eastAsia="黑体"/>
          <w:sz w:val="48"/>
          <w:szCs w:val="48"/>
        </w:rPr>
        <w:t xml:space="preserve">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无极县水利局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8"/>
                    <a:stretch>
                      <a:fillRect/>
                    </a:stretch>
                  </pic:blipFill>
                  <pic:spPr>
                    <a:xfrm>
                      <a:off x="0" y="0"/>
                      <a:ext cx="7585710" cy="10727055"/>
                    </a:xfrm>
                    <a:prstGeom prst="rect">
                      <a:avLst/>
                    </a:prstGeom>
                  </pic:spPr>
                </pic:pic>
              </a:graphicData>
            </a:graphic>
          </wp:anchor>
        </w:drawing>
      </w:r>
      <w:r>
        <w:rPr>
          <w:sz w:val="72"/>
        </w:rPr>
        <w:pict>
          <v:shape id="_x0000_s1045" o:spid="_x0000_s1045"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rPr>
          <w:rFonts w:ascii="仿宋" w:hAnsi="仿宋" w:eastAsia="仿宋" w:cs="宋体"/>
          <w:color w:val="000000"/>
          <w:sz w:val="30"/>
          <w:szCs w:val="30"/>
        </w:rPr>
      </w:pPr>
      <w:r>
        <w:rPr>
          <w:rFonts w:hint="eastAsia" w:ascii="仿宋" w:hAnsi="仿宋" w:eastAsia="仿宋"/>
          <w:color w:val="000000"/>
          <w:sz w:val="30"/>
          <w:szCs w:val="30"/>
          <w:shd w:val="clear" w:color="auto" w:fill="FFFFFF"/>
        </w:rPr>
        <w:t xml:space="preserve">    1.</w:t>
      </w:r>
      <w:r>
        <w:rPr>
          <w:rFonts w:hint="eastAsia" w:ascii="仿宋" w:hAnsi="仿宋" w:eastAsia="仿宋"/>
          <w:color w:val="000000"/>
          <w:sz w:val="30"/>
          <w:szCs w:val="30"/>
        </w:rPr>
        <w:t>负责保障水资源合理开发利用，贯彻落实上级水利政策，贯彻落实有关法规、政府规章，</w:t>
      </w:r>
      <w:r>
        <w:rPr>
          <w:rFonts w:hint="eastAsia" w:ascii="仿宋" w:hAnsi="仿宋" w:eastAsia="仿宋" w:cs="宋体"/>
          <w:color w:val="000000"/>
          <w:sz w:val="30"/>
          <w:szCs w:val="30"/>
        </w:rPr>
        <w:t>组织编制全县水资源战略规划、重要河流规划、防洪规划等水利规划。</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rPr>
          <w:rFonts w:ascii="仿宋" w:hAnsi="仿宋" w:eastAsia="仿宋"/>
          <w:color w:val="000000"/>
          <w:sz w:val="30"/>
          <w:szCs w:val="30"/>
          <w:shd w:val="clear" w:color="auto" w:fill="FFFFFF"/>
        </w:rPr>
      </w:pPr>
      <w:r>
        <w:rPr>
          <w:rFonts w:hint="eastAsia" w:ascii="仿宋" w:hAnsi="仿宋" w:eastAsia="仿宋"/>
          <w:color w:val="000000"/>
          <w:sz w:val="30"/>
          <w:szCs w:val="30"/>
          <w:shd w:val="clear" w:color="auto" w:fill="FFFFFF"/>
        </w:rPr>
        <w:t xml:space="preserve">    2.负责生活、生产经营和生态环境用水的统筹和保障。</w:t>
      </w:r>
      <w:r>
        <w:rPr>
          <w:rFonts w:hint="eastAsia" w:ascii="仿宋" w:hAnsi="仿宋" w:eastAsia="仿宋" w:cs="黑体"/>
          <w:color w:val="000000"/>
          <w:sz w:val="30"/>
          <w:szCs w:val="30"/>
        </w:rPr>
        <w:t>组织实施</w:t>
      </w:r>
      <w:r>
        <w:rPr>
          <w:rFonts w:hint="eastAsia" w:ascii="仿宋" w:hAnsi="仿宋" w:eastAsia="仿宋"/>
          <w:color w:val="000000"/>
          <w:sz w:val="30"/>
          <w:szCs w:val="30"/>
          <w:shd w:val="clear" w:color="auto" w:fill="FFFFFF"/>
        </w:rPr>
        <w:t>最严格水资源管理制度，实施水资源的统一监督管理，拟订全县水中长期供求规划、水量分配方案并实施。负责重要流域、区域以及重大调水工程的水资源调度。负责开展水资源有偿使用工作。指导水利行业供水和乡镇供水工作。</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rPr>
          <w:rFonts w:ascii="仿宋" w:hAnsi="仿宋" w:eastAsia="仿宋"/>
          <w:color w:val="000000"/>
          <w:sz w:val="30"/>
          <w:szCs w:val="30"/>
          <w:shd w:val="clear" w:color="auto" w:fill="FFFFFF"/>
        </w:rPr>
      </w:pPr>
      <w:r>
        <w:rPr>
          <w:rFonts w:hint="eastAsia" w:ascii="仿宋" w:hAnsi="仿宋" w:eastAsia="仿宋"/>
          <w:color w:val="000000"/>
          <w:sz w:val="30"/>
          <w:szCs w:val="30"/>
          <w:shd w:val="clear" w:color="auto" w:fill="FFFFFF"/>
        </w:rPr>
        <w:t xml:space="preserve">    3.按规定制定水利工程建设有关制度并组织实施，负责提出县级水利固定资产投资规模、方向、具体安排建议并组织实施，按规定权限审核县规划内和年度计划规模内固定资产投资项目，提出县级水利资金安排建议并负责项目实施的监督管理。</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ind w:firstLine="640"/>
        <w:rPr>
          <w:rFonts w:ascii="仿宋" w:hAnsi="仿宋" w:eastAsia="仿宋"/>
          <w:color w:val="000000"/>
          <w:sz w:val="30"/>
          <w:szCs w:val="30"/>
          <w:shd w:val="clear" w:color="auto" w:fill="FFFFFF"/>
        </w:rPr>
      </w:pPr>
      <w:r>
        <w:rPr>
          <w:rFonts w:hint="eastAsia" w:ascii="仿宋" w:hAnsi="仿宋" w:eastAsia="仿宋"/>
          <w:color w:val="000000"/>
          <w:sz w:val="30"/>
          <w:szCs w:val="30"/>
          <w:shd w:val="clear" w:color="auto" w:fill="FFFFFF"/>
        </w:rPr>
        <w:t>4.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ind w:firstLine="640"/>
        <w:rPr>
          <w:rFonts w:ascii="仿宋" w:hAnsi="仿宋" w:eastAsia="仿宋"/>
          <w:color w:val="000000"/>
          <w:sz w:val="30"/>
          <w:szCs w:val="30"/>
          <w:shd w:val="clear" w:color="auto" w:fill="FFFFFF"/>
        </w:rPr>
      </w:pPr>
      <w:r>
        <w:rPr>
          <w:rFonts w:hint="eastAsia" w:ascii="仿宋" w:hAnsi="仿宋" w:eastAsia="仿宋"/>
          <w:color w:val="000000"/>
          <w:sz w:val="30"/>
          <w:szCs w:val="30"/>
          <w:shd w:val="clear" w:color="auto" w:fill="FFFFFF"/>
        </w:rPr>
        <w:t>5.负责节约用水工作。贯彻落实节约用水政策，组织编制节约用水规划并监督实施。组织实施用水总量控制等管理制度，指导和推动节水型社会建设工作。</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ind w:firstLine="640"/>
        <w:rPr>
          <w:rFonts w:ascii="仿宋" w:hAnsi="仿宋" w:eastAsia="仿宋"/>
          <w:b/>
          <w:bCs/>
          <w:color w:val="000000"/>
          <w:sz w:val="30"/>
          <w:szCs w:val="30"/>
          <w:shd w:val="clear" w:color="auto" w:fill="FFFFFF"/>
        </w:rPr>
      </w:pPr>
      <w:r>
        <w:rPr>
          <w:rFonts w:hint="eastAsia" w:ascii="仿宋" w:hAnsi="仿宋" w:eastAsia="仿宋"/>
          <w:color w:val="000000"/>
          <w:sz w:val="30"/>
          <w:szCs w:val="30"/>
          <w:shd w:val="clear" w:color="auto" w:fill="FFFFFF"/>
        </w:rPr>
        <w:t>6.负责水利设施、水域及其岸线的管理、保护与综合利用。负责水利基础设施网络建设。负责主要河流的治理、开发和保护。负责河道生态保护与修复及河湖水系连通工作。</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ind w:firstLine="640"/>
        <w:rPr>
          <w:rFonts w:ascii="仿宋" w:hAnsi="仿宋" w:eastAsia="仿宋"/>
          <w:color w:val="000000"/>
          <w:sz w:val="30"/>
          <w:szCs w:val="30"/>
          <w:shd w:val="clear" w:color="auto" w:fill="FFFFFF"/>
        </w:rPr>
      </w:pPr>
      <w:r>
        <w:rPr>
          <w:rFonts w:hint="eastAsia" w:ascii="仿宋" w:hAnsi="仿宋" w:eastAsia="仿宋"/>
          <w:color w:val="000000"/>
          <w:sz w:val="30"/>
          <w:szCs w:val="30"/>
          <w:shd w:val="clear" w:color="auto" w:fill="FFFFFF"/>
        </w:rPr>
        <w:t>7.负责监督水利工程建设与运行管理。组织实施具有控制性的重要水利工程建设与运行管理。落实南水北调配套工程运行和后续工程建设的有关政策措施，负责工程安全运行，按规定负责工程验收有关工作，负责配套工程建设。</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ind w:firstLine="640"/>
        <w:rPr>
          <w:rFonts w:ascii="仿宋" w:hAnsi="仿宋" w:eastAsia="仿宋"/>
          <w:color w:val="000000"/>
          <w:sz w:val="30"/>
          <w:szCs w:val="30"/>
          <w:shd w:val="clear" w:color="auto" w:fill="FFFFFF"/>
        </w:rPr>
      </w:pPr>
      <w:r>
        <w:rPr>
          <w:rFonts w:hint="eastAsia" w:ascii="仿宋" w:hAnsi="仿宋" w:eastAsia="仿宋"/>
          <w:color w:val="000000"/>
          <w:sz w:val="30"/>
          <w:szCs w:val="30"/>
          <w:shd w:val="clear" w:color="auto" w:fill="FFFFFF"/>
        </w:rPr>
        <w:t>8.负责水土保持工作。拟订水土保持规划并负责实施，组织实施水土流失的综合防治、监测预报。负责建设项目水土保持监督管理工作，组织重点水土保持建设项目的实施。</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ind w:firstLine="640"/>
        <w:rPr>
          <w:rFonts w:ascii="仿宋" w:hAnsi="仿宋" w:eastAsia="仿宋"/>
          <w:color w:val="000000"/>
          <w:sz w:val="30"/>
          <w:szCs w:val="30"/>
          <w:shd w:val="clear" w:color="auto" w:fill="FFFFFF"/>
        </w:rPr>
      </w:pPr>
      <w:r>
        <w:rPr>
          <w:rFonts w:hint="eastAsia" w:ascii="仿宋" w:hAnsi="仿宋" w:eastAsia="仿宋"/>
          <w:color w:val="000000"/>
          <w:sz w:val="30"/>
          <w:szCs w:val="30"/>
          <w:shd w:val="clear" w:color="auto" w:fill="FFFFFF"/>
        </w:rPr>
        <w:t>9.指导农村水利工作。指导农村饮水安全工程建设管理工作，指导节水灌溉有关工作。指导农村水利改革创新和社会化服务体系建设。</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ind w:firstLine="640"/>
        <w:rPr>
          <w:rFonts w:ascii="仿宋" w:hAnsi="仿宋" w:eastAsia="仿宋"/>
          <w:color w:val="000000"/>
          <w:sz w:val="30"/>
          <w:szCs w:val="30"/>
          <w:shd w:val="clear" w:color="auto" w:fill="FFFFFF"/>
        </w:rPr>
      </w:pPr>
      <w:r>
        <w:rPr>
          <w:rFonts w:hint="eastAsia" w:ascii="仿宋" w:hAnsi="仿宋" w:eastAsia="仿宋"/>
          <w:color w:val="000000"/>
          <w:sz w:val="30"/>
          <w:szCs w:val="30"/>
          <w:shd w:val="clear" w:color="auto" w:fill="FFFFFF"/>
        </w:rPr>
        <w:t>10.负责涉水违法事件的查处，协调水事纠纷，开展水政监察和水行政执法。依法负责水利行业安全生产工作。负责水利建设市场的监督管理，组织实施水利工程建设的监督。</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ind w:firstLine="640"/>
        <w:rPr>
          <w:rFonts w:ascii="仿宋" w:hAnsi="仿宋" w:eastAsia="仿宋"/>
          <w:color w:val="000000"/>
          <w:sz w:val="30"/>
          <w:szCs w:val="30"/>
          <w:shd w:val="clear" w:color="auto" w:fill="FFFFFF"/>
        </w:rPr>
      </w:pPr>
      <w:r>
        <w:rPr>
          <w:rFonts w:hint="eastAsia" w:ascii="仿宋" w:hAnsi="仿宋" w:eastAsia="仿宋"/>
          <w:color w:val="000000"/>
          <w:sz w:val="30"/>
          <w:szCs w:val="30"/>
          <w:shd w:val="clear" w:color="auto" w:fill="FFFFFF"/>
        </w:rPr>
        <w:t xml:space="preserve">11.组织开展水利行业质量监督工作。监督实施水利行业的技术标准、规程规范。组织实施技术引进和科技推广，开展水利交流与合作。 </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ind w:firstLine="640"/>
        <w:rPr>
          <w:rFonts w:ascii="仿宋" w:hAnsi="仿宋" w:eastAsia="仿宋"/>
          <w:color w:val="000000"/>
          <w:sz w:val="30"/>
          <w:szCs w:val="30"/>
          <w:shd w:val="clear" w:color="auto" w:fill="FFFFFF"/>
        </w:rPr>
      </w:pPr>
      <w:r>
        <w:rPr>
          <w:rFonts w:hint="eastAsia" w:ascii="仿宋" w:hAnsi="仿宋" w:eastAsia="仿宋"/>
          <w:color w:val="000000"/>
          <w:sz w:val="30"/>
          <w:szCs w:val="30"/>
          <w:shd w:val="clear" w:color="auto" w:fill="FFFFFF"/>
        </w:rPr>
        <w:t>12.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Bdr>
          <w:top w:val="none" w:color="000000" w:sz="0" w:space="0"/>
          <w:left w:val="none" w:color="000000" w:sz="0" w:space="0"/>
          <w:bottom w:val="none" w:color="000000" w:sz="0" w:space="0"/>
          <w:right w:val="none" w:color="000000" w:sz="0" w:space="0"/>
        </w:pBdr>
        <w:shd w:val="solid" w:color="FFFFFF" w:fill="auto"/>
        <w:autoSpaceDN w:val="0"/>
        <w:spacing w:line="240" w:lineRule="auto"/>
        <w:ind w:firstLine="640"/>
        <w:rPr>
          <w:rFonts w:ascii="仿宋" w:hAnsi="仿宋" w:eastAsia="仿宋"/>
          <w:color w:val="000000"/>
          <w:szCs w:val="32"/>
          <w:shd w:val="clear" w:color="auto" w:fill="FFFFFF"/>
        </w:rPr>
      </w:pPr>
      <w:r>
        <w:rPr>
          <w:rFonts w:hint="eastAsia" w:ascii="仿宋" w:hAnsi="仿宋" w:eastAsia="仿宋"/>
          <w:color w:val="000000"/>
          <w:sz w:val="30"/>
          <w:szCs w:val="30"/>
          <w:shd w:val="clear" w:color="auto" w:fill="FFFFFF"/>
        </w:rPr>
        <w:t>13.完成县委、县政府交办的其他任务</w:t>
      </w:r>
      <w:r>
        <w:rPr>
          <w:rFonts w:hint="eastAsia" w:ascii="仿宋" w:hAnsi="仿宋" w:eastAsia="仿宋"/>
          <w:color w:val="000000"/>
          <w:szCs w:val="32"/>
          <w:shd w:val="clear" w:color="auto" w:fill="FFFFFF"/>
        </w:rPr>
        <w:t>。</w:t>
      </w:r>
    </w:p>
    <w:p>
      <w:pPr>
        <w:autoSpaceDE w:val="0"/>
        <w:autoSpaceDN w:val="0"/>
        <w:adjustRightInd w:val="0"/>
        <w:spacing w:after="0" w:line="560" w:lineRule="exact"/>
        <w:jc w:val="left"/>
        <w:rPr>
          <w:rFonts w:ascii="仿宋_GB2312" w:eastAsia="仿宋_GB2312" w:cs="ArialUnicodeMS" w:hAnsiTheme="minorHAnsi"/>
          <w:kern w:val="0"/>
          <w:sz w:val="32"/>
          <w:szCs w:val="32"/>
        </w:r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sz w:val="24"/>
              </w:rPr>
              <w:t>无极县水利局</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宋体" w:hAnsi="宋体" w:cs="宋体"/>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8"/>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2"/>
                <w:szCs w:val="22"/>
              </w:rPr>
              <w:t>无极县水利局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8135.22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6.73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3040.49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2072.44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8135.22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5119.66</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2234.31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5249.88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10369.53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10369.53</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549" w:type="dxa"/>
        <w:jc w:val="center"/>
        <w:tblLayout w:type="fixed"/>
        <w:tblCellMar>
          <w:top w:w="0" w:type="dxa"/>
          <w:left w:w="0" w:type="dxa"/>
          <w:bottom w:w="0" w:type="dxa"/>
          <w:right w:w="0" w:type="dxa"/>
        </w:tblCellMar>
      </w:tblPr>
      <w:tblGrid>
        <w:gridCol w:w="333"/>
        <w:gridCol w:w="177"/>
        <w:gridCol w:w="410"/>
        <w:gridCol w:w="1959"/>
        <w:gridCol w:w="262"/>
        <w:gridCol w:w="437"/>
        <w:gridCol w:w="50"/>
        <w:gridCol w:w="260"/>
        <w:gridCol w:w="68"/>
        <w:gridCol w:w="615"/>
        <w:gridCol w:w="132"/>
        <w:gridCol w:w="69"/>
        <w:gridCol w:w="791"/>
        <w:gridCol w:w="24"/>
        <w:gridCol w:w="108"/>
        <w:gridCol w:w="577"/>
        <w:gridCol w:w="130"/>
        <w:gridCol w:w="224"/>
        <w:gridCol w:w="213"/>
        <w:gridCol w:w="314"/>
        <w:gridCol w:w="182"/>
        <w:gridCol w:w="850"/>
        <w:gridCol w:w="611"/>
        <w:gridCol w:w="753"/>
      </w:tblGrid>
      <w:tr>
        <w:tblPrEx>
          <w:tblCellMar>
            <w:top w:w="0" w:type="dxa"/>
            <w:left w:w="0" w:type="dxa"/>
            <w:bottom w:w="0" w:type="dxa"/>
            <w:right w:w="0" w:type="dxa"/>
          </w:tblCellMar>
        </w:tblPrEx>
        <w:trPr>
          <w:gridAfter w:val="1"/>
          <w:wAfter w:w="753" w:type="dxa"/>
          <w:trHeight w:val="770" w:hRule="atLeast"/>
          <w:jc w:val="center"/>
        </w:trPr>
        <w:tc>
          <w:tcPr>
            <w:tcW w:w="8796" w:type="dxa"/>
            <w:gridSpan w:val="23"/>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41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58"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992"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931"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7"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6"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gridAfter w:val="1"/>
          <w:wAfter w:w="753" w:type="dxa"/>
          <w:trHeight w:val="362" w:hRule="atLeast"/>
          <w:jc w:val="center"/>
        </w:trPr>
        <w:tc>
          <w:tcPr>
            <w:tcW w:w="2879"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2"/>
                <w:szCs w:val="22"/>
              </w:rPr>
              <w:t>无极县水利局</w:t>
            </w:r>
          </w:p>
        </w:tc>
        <w:tc>
          <w:tcPr>
            <w:tcW w:w="26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753" w:type="dxa"/>
          <w:trHeight w:val="325" w:hRule="atLeast"/>
          <w:jc w:val="center"/>
        </w:trPr>
        <w:tc>
          <w:tcPr>
            <w:tcW w:w="3578" w:type="dxa"/>
            <w:gridSpan w:val="6"/>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93" w:type="dxa"/>
            <w:gridSpan w:val="4"/>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92"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709"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567"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496"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85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611"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gridAfter w:val="1"/>
          <w:wAfter w:w="753" w:type="dxa"/>
          <w:trHeight w:val="483"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658" w:type="dxa"/>
            <w:gridSpan w:val="3"/>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93" w:type="dxa"/>
            <w:gridSpan w:val="4"/>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92"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09"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496"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85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611"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gridAfter w:val="1"/>
          <w:wAfter w:w="753" w:type="dxa"/>
          <w:trHeight w:val="264" w:hRule="atLeast"/>
          <w:jc w:val="center"/>
        </w:trPr>
        <w:tc>
          <w:tcPr>
            <w:tcW w:w="3578"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9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7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56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4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6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gridAfter w:val="1"/>
          <w:wAfter w:w="753" w:type="dxa"/>
          <w:trHeight w:val="90" w:hRule="atLeast"/>
          <w:jc w:val="center"/>
        </w:trPr>
        <w:tc>
          <w:tcPr>
            <w:tcW w:w="3578"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93"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8135.22</w:t>
            </w:r>
          </w:p>
        </w:tc>
        <w:tc>
          <w:tcPr>
            <w:tcW w:w="99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8135.22</w:t>
            </w:r>
          </w:p>
        </w:tc>
        <w:tc>
          <w:tcPr>
            <w:tcW w:w="70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6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49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85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61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gridAfter w:val="1"/>
          <w:wAfter w:w="753" w:type="dxa"/>
          <w:trHeight w:val="229"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社会保障和就业支出</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5.35</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5.35</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19"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抚恤</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4.57</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4.57</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死亡抚恤</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4.57</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4.57</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20822</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大中型水库移民后期扶持基金支出</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0.78</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0.78</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2082201</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移民补助</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0.78</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0.78</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25"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城乡社区支出</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1143.61</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1143.61</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国有土地使用权出让收入及对应专项债务收入安排的支出</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645.91</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645.91</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征地和拆迁补偿支出</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645.91</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645.91</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528"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21213</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城市基础设施配套费及对应专项债务收入安排的支出</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497.70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497.70</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452"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2121399</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其他城市基础设施配套费安排的支出</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497.70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497.70</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农林水支出</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6986.26</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6986.26</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283"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水利</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6451.56</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6451.56</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17"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2130301</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行政运行</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405.98</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405.98</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2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2130302</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一般行政管理事务</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319.74</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319.74</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283"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2130305</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水利工程建设</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3000.00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3000.00</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230"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2130306</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水利工程运行与维护</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2523.22</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2523.22</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2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2130311</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水资源节约管理与保护</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104.12</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104.12</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283"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2130314</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防汛</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3.53</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3.53</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23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2130316</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农田水利</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68.03</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68.03</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35"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2130399</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其他水利支出</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26.94</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26.94</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21304</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南水北调</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534.70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534.70</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2130499</w:t>
            </w:r>
          </w:p>
        </w:tc>
        <w:tc>
          <w:tcPr>
            <w:tcW w:w="265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其他南水北调支出</w:t>
            </w:r>
          </w:p>
        </w:tc>
        <w:tc>
          <w:tcPr>
            <w:tcW w:w="99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534.70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534.70</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753" w:type="dxa"/>
          <w:trHeight w:val="481" w:hRule="atLeast"/>
          <w:jc w:val="center"/>
        </w:trPr>
        <w:tc>
          <w:tcPr>
            <w:tcW w:w="8796" w:type="dxa"/>
            <w:gridSpan w:val="2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85" w:type="dxa"/>
        <w:tblInd w:w="15" w:type="dxa"/>
        <w:tblLayout w:type="fixed"/>
        <w:tblCellMar>
          <w:top w:w="0" w:type="dxa"/>
          <w:left w:w="0" w:type="dxa"/>
          <w:bottom w:w="0" w:type="dxa"/>
          <w:right w:w="0" w:type="dxa"/>
        </w:tblCellMar>
      </w:tblPr>
      <w:tblGrid>
        <w:gridCol w:w="275"/>
        <w:gridCol w:w="289"/>
        <w:gridCol w:w="145"/>
        <w:gridCol w:w="284"/>
        <w:gridCol w:w="374"/>
        <w:gridCol w:w="1117"/>
        <w:gridCol w:w="647"/>
        <w:gridCol w:w="271"/>
        <w:gridCol w:w="847"/>
        <w:gridCol w:w="287"/>
        <w:gridCol w:w="833"/>
        <w:gridCol w:w="301"/>
        <w:gridCol w:w="817"/>
        <w:gridCol w:w="176"/>
        <w:gridCol w:w="708"/>
        <w:gridCol w:w="236"/>
        <w:gridCol w:w="473"/>
        <w:gridCol w:w="905"/>
      </w:tblGrid>
      <w:tr>
        <w:tblPrEx>
          <w:tblCellMar>
            <w:top w:w="0" w:type="dxa"/>
            <w:left w:w="0" w:type="dxa"/>
            <w:bottom w:w="0" w:type="dxa"/>
            <w:right w:w="0" w:type="dxa"/>
          </w:tblCellMar>
        </w:tblPrEx>
        <w:trPr>
          <w:trHeight w:val="798" w:hRule="atLeast"/>
        </w:trPr>
        <w:tc>
          <w:tcPr>
            <w:tcW w:w="8985" w:type="dxa"/>
            <w:gridSpan w:val="18"/>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7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31"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2"/>
                <w:szCs w:val="22"/>
              </w:rPr>
              <w:t>无极县水利局</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196" w:hRule="atLeast"/>
        </w:trPr>
        <w:tc>
          <w:tcPr>
            <w:tcW w:w="3402"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13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113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基本支出</w:t>
            </w:r>
          </w:p>
        </w:tc>
        <w:tc>
          <w:tcPr>
            <w:tcW w:w="99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项目支出</w:t>
            </w:r>
          </w:p>
        </w:tc>
        <w:tc>
          <w:tcPr>
            <w:tcW w:w="708"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上缴上级支出</w:t>
            </w:r>
          </w:p>
        </w:tc>
        <w:tc>
          <w:tcPr>
            <w:tcW w:w="709"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经营支出</w:t>
            </w:r>
          </w:p>
        </w:tc>
        <w:tc>
          <w:tcPr>
            <w:tcW w:w="905"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对附属单位补助支出</w:t>
            </w:r>
          </w:p>
        </w:tc>
      </w:tr>
      <w:tr>
        <w:tblPrEx>
          <w:tblCellMar>
            <w:top w:w="0" w:type="dxa"/>
            <w:left w:w="0" w:type="dxa"/>
            <w:bottom w:w="0" w:type="dxa"/>
            <w:right w:w="0" w:type="dxa"/>
          </w:tblCellMar>
        </w:tblPrEx>
        <w:trPr>
          <w:trHeight w:val="537" w:hRule="atLeast"/>
        </w:trPr>
        <w:tc>
          <w:tcPr>
            <w:tcW w:w="99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功能分类科目编码</w:t>
            </w:r>
          </w:p>
        </w:tc>
        <w:tc>
          <w:tcPr>
            <w:tcW w:w="240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科目名称</w:t>
            </w:r>
          </w:p>
        </w:tc>
        <w:tc>
          <w:tcPr>
            <w:tcW w:w="113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3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08"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09"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05"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243" w:hRule="atLeast"/>
        </w:trPr>
        <w:tc>
          <w:tcPr>
            <w:tcW w:w="3402" w:type="dxa"/>
            <w:gridSpan w:val="8"/>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285" w:hRule="atLeast"/>
        </w:trPr>
        <w:tc>
          <w:tcPr>
            <w:tcW w:w="3402" w:type="dxa"/>
            <w:gridSpan w:val="8"/>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5119.66</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733.14</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4386.52</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368"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208</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社会保障和就业支出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6.73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5.95</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0.78</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5"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20805</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行政事业单位离退休</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1.37</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55"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2080505</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3"/>
                <w:szCs w:val="13"/>
              </w:rPr>
            </w:pPr>
            <w:r>
              <w:rPr>
                <w:rFonts w:hint="eastAsia" w:ascii="宋体" w:hAnsi="宋体" w:cs="宋体"/>
                <w:color w:val="000000"/>
                <w:sz w:val="13"/>
                <w:szCs w:val="13"/>
              </w:rPr>
              <w:t>机关事业单位基本养老保险缴费支出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1.37</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47"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20808</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抚恤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4.57</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4.57</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2080801</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死亡抚恤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4.57</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4.57</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45"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20822</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3"/>
                <w:szCs w:val="13"/>
              </w:rPr>
            </w:pPr>
            <w:r>
              <w:rPr>
                <w:rFonts w:hint="eastAsia" w:ascii="宋体" w:hAnsi="宋体" w:cs="宋体"/>
                <w:color w:val="000000"/>
                <w:sz w:val="13"/>
                <w:szCs w:val="13"/>
              </w:rPr>
              <w:t>大中型水库移民后期扶持基金支出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0.78</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0.78</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13"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2082201</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移民补助</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0.78</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0.78</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60"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212</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城乡社区支出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3040.49</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3040.49</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40"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21208</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180" w:lineRule="atLeast"/>
              <w:ind w:left="-6" w:leftChars="-3"/>
              <w:rPr>
                <w:rFonts w:ascii="宋体" w:hAnsi="宋体" w:cs="宋体"/>
                <w:color w:val="000000"/>
                <w:sz w:val="10"/>
                <w:szCs w:val="10"/>
              </w:rPr>
            </w:pPr>
            <w:r>
              <w:rPr>
                <w:rFonts w:hint="eastAsia" w:ascii="宋体" w:hAnsi="宋体" w:cs="宋体"/>
                <w:color w:val="000000"/>
                <w:sz w:val="10"/>
                <w:szCs w:val="10"/>
              </w:rPr>
              <w:t>国有土地使用权出让收入及对应专项债务收入安排的支出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2546.43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2546.43</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2120801</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征地和拆迁补偿支出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968.43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968.43</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61"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2120803</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城市建设支出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550.00</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550.00</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365"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2120899</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1"/>
                <w:szCs w:val="11"/>
              </w:rPr>
            </w:pPr>
            <w:r>
              <w:rPr>
                <w:rFonts w:hint="eastAsia" w:ascii="宋体" w:hAnsi="宋体" w:cs="宋体"/>
                <w:color w:val="000000"/>
                <w:sz w:val="11"/>
                <w:szCs w:val="11"/>
              </w:rPr>
              <w:t>其他国有土地使用权出让收入安排的支出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1028.00</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1028.00</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87"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21213</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0"/>
                <w:szCs w:val="10"/>
              </w:rPr>
            </w:pPr>
            <w:r>
              <w:rPr>
                <w:rFonts w:hint="eastAsia" w:ascii="宋体" w:hAnsi="宋体" w:cs="宋体"/>
                <w:color w:val="000000"/>
                <w:sz w:val="10"/>
                <w:szCs w:val="10"/>
              </w:rPr>
              <w:t>城市基础设施配套费及对应专项债务收入安排的支出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494.06</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494.06</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77"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2121399</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3"/>
                <w:szCs w:val="13"/>
              </w:rPr>
            </w:pPr>
            <w:r>
              <w:rPr>
                <w:rFonts w:hint="eastAsia" w:ascii="宋体" w:hAnsi="宋体" w:cs="宋体"/>
                <w:color w:val="000000"/>
                <w:sz w:val="13"/>
                <w:szCs w:val="13"/>
              </w:rPr>
              <w:t>其他城市基础设施配套费安排的支出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494.06</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494.06</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41"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213</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农林水支出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2072.44</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727.20</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1345.25</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316"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21303</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水利</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1537.74</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727.20</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810.55</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38"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2130301</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行政运行</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493.11</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407.46</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85.65</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38"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2130302</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一般行政管理事务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324.44</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319.74</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4.7</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38"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2130306</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水利工程运行与维护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468.44</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468.44</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38"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2130311</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水资源节约管理与保护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104.12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104.12</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38"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2130314</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防汛</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18.92</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18.92</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38"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2130315</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抗旱</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0.99</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0.99</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38"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2130316</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农田水利</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99.43</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99.43</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38"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2130399</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其他水利支出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28.29</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28.29</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38"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21304</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南水北调</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534.70</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534.70</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238" w:hRule="atLeast"/>
        </w:trPr>
        <w:tc>
          <w:tcPr>
            <w:tcW w:w="7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2130499</w:t>
            </w:r>
          </w:p>
        </w:tc>
        <w:tc>
          <w:tcPr>
            <w:tcW w:w="269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其他南水北调支出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534.70</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534.70</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6"/>
                <w:szCs w:val="16"/>
              </w:rPr>
            </w:pPr>
          </w:p>
        </w:tc>
      </w:tr>
      <w:tr>
        <w:tblPrEx>
          <w:tblCellMar>
            <w:top w:w="0" w:type="dxa"/>
            <w:left w:w="0" w:type="dxa"/>
            <w:bottom w:w="0" w:type="dxa"/>
            <w:right w:w="0" w:type="dxa"/>
          </w:tblCellMar>
        </w:tblPrEx>
        <w:trPr>
          <w:trHeight w:val="748" w:hRule="atLeast"/>
        </w:trPr>
        <w:tc>
          <w:tcPr>
            <w:tcW w:w="8985" w:type="dxa"/>
            <w:gridSpan w:val="18"/>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注：本表反映部门本年度各项支出情况。</w:t>
            </w:r>
          </w:p>
        </w:tc>
      </w:tr>
    </w:tbl>
    <w:p>
      <w:pPr>
        <w:widowControl/>
        <w:spacing w:after="0" w:line="560" w:lineRule="exact"/>
        <w:ind w:firstLine="321" w:firstLineChars="200"/>
        <w:jc w:val="left"/>
        <w:rPr>
          <w:rFonts w:ascii="仿宋_GB2312" w:eastAsia="仿宋_GB2312" w:hAnsiTheme="majorEastAsia"/>
          <w:b/>
          <w:sz w:val="16"/>
          <w:szCs w:val="16"/>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308"/>
        <w:gridCol w:w="845"/>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2"/>
                <w:szCs w:val="22"/>
              </w:rPr>
              <w:t>无极县水利局</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6990.83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1144.39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6.73</w:t>
            </w: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5.95</w:t>
            </w: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0.78</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3040.49</w:t>
            </w: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3040.49</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2072.44</w:t>
            </w: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2072.44</w:t>
            </w: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8135.22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5119.66</w:t>
            </w: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2078.39</w:t>
            </w: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3041.27</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2234.31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5249.88</w:t>
            </w: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5232.18</w:t>
            </w: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17.70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319.73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1914.58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10369.53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10369.53</w:t>
            </w:r>
          </w:p>
        </w:tc>
        <w:tc>
          <w:tcPr>
            <w:tcW w:w="90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7310.56</w:t>
            </w: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3058.97</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8"/>
        <w:gridCol w:w="1876"/>
        <w:gridCol w:w="760"/>
        <w:gridCol w:w="374"/>
        <w:gridCol w:w="1417"/>
        <w:gridCol w:w="1332"/>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7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3"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497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2"/>
                <w:szCs w:val="22"/>
              </w:rPr>
              <w:t>无极县水利局</w:t>
            </w:r>
          </w:p>
        </w:tc>
        <w:tc>
          <w:tcPr>
            <w:tcW w:w="7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3"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497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3883"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398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3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4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3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398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3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4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3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398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3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4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3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4977"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4977"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2078.39</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733.14</w:t>
            </w: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1345.25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5.95</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5.95</w:t>
            </w: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w:t>
            </w: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w:t>
            </w: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4.57</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4.57</w:t>
            </w: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4.57</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4.57</w:t>
            </w: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2072.44</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727.20</w:t>
            </w: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1345.25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水利</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1537.74</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727.20</w:t>
            </w: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810.55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2130301</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493.11</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407.46</w:t>
            </w: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85.65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2130302</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324.44</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319.74</w:t>
            </w: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2130306</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水利工程运行与维护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468.44</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468.44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2130311</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水资源节约管理与保护</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104.12</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104.12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2130314</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防汛</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18.92</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18.92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2130315</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抗旱</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0.99</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0.99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2130316</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农田水利</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99.43</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99.43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2130399</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其他水利支出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28.29</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28.28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21304</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南水北调</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534.70</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534.70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2130499</w:t>
            </w:r>
          </w:p>
        </w:tc>
        <w:tc>
          <w:tcPr>
            <w:tcW w:w="39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其他南水北调支出</w:t>
            </w:r>
          </w:p>
        </w:tc>
        <w:tc>
          <w:tcPr>
            <w:tcW w:w="11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534.70</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3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534.70</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部门：无极县水利局</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361.20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277.97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139.58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12.52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14.79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59.23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113.22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29.36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18.38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12.28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24.07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93.97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8.98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74.97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4.57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5.45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187.02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15.73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455.17</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277.97</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2"/>
                <w:szCs w:val="22"/>
              </w:rPr>
              <w:t>无极县水利局</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2.92</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2.92</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2.92</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1074"/>
        <w:gridCol w:w="850"/>
        <w:gridCol w:w="992"/>
        <w:gridCol w:w="657"/>
        <w:gridCol w:w="336"/>
        <w:gridCol w:w="856"/>
        <w:gridCol w:w="1192"/>
        <w:gridCol w:w="1268"/>
      </w:tblGrid>
      <w:tr>
        <w:tblPrEx>
          <w:tblCellMar>
            <w:top w:w="0" w:type="dxa"/>
            <w:left w:w="0" w:type="dxa"/>
            <w:bottom w:w="0" w:type="dxa"/>
            <w:right w:w="0" w:type="dxa"/>
          </w:tblCellMar>
        </w:tblPrEx>
        <w:trPr>
          <w:trHeight w:val="707" w:hRule="atLeast"/>
        </w:trPr>
        <w:tc>
          <w:tcPr>
            <w:tcW w:w="8860" w:type="dxa"/>
            <w:gridSpan w:val="1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24"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9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57"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559"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2"/>
                <w:szCs w:val="22"/>
              </w:rPr>
              <w:t>无极县水利局</w:t>
            </w:r>
          </w:p>
        </w:tc>
        <w:tc>
          <w:tcPr>
            <w:tcW w:w="9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57"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70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8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年初结转和结余</w:t>
            </w:r>
          </w:p>
        </w:tc>
        <w:tc>
          <w:tcPr>
            <w:tcW w:w="9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本年收入</w:t>
            </w:r>
          </w:p>
        </w:tc>
        <w:tc>
          <w:tcPr>
            <w:tcW w:w="3041"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功能分类科目编码</w:t>
            </w:r>
          </w:p>
        </w:tc>
        <w:tc>
          <w:tcPr>
            <w:tcW w:w="1743"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科目名称</w:t>
            </w: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 w:val="18"/>
                <w:szCs w:val="18"/>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 w:val="18"/>
                <w:szCs w:val="18"/>
              </w:rPr>
            </w:pPr>
          </w:p>
        </w:tc>
        <w:tc>
          <w:tcPr>
            <w:tcW w:w="993"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小计</w:t>
            </w:r>
          </w:p>
        </w:tc>
        <w:tc>
          <w:tcPr>
            <w:tcW w:w="85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74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9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74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9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70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70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1914.58</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1144.39</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3041.27</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3041.27</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17.70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208</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 w:val="16"/>
                <w:szCs w:val="16"/>
              </w:rPr>
            </w:pPr>
            <w:r>
              <w:rPr>
                <w:rFonts w:hint="eastAsia" w:ascii="宋体" w:hAnsi="宋体" w:cs="宋体"/>
                <w:color w:val="000000"/>
                <w:sz w:val="16"/>
                <w:szCs w:val="16"/>
              </w:rPr>
              <w:t>社会保障和就业支出</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0.78</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0.78</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0.78</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20822</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 w:val="16"/>
                <w:szCs w:val="16"/>
              </w:rPr>
            </w:pPr>
            <w:r>
              <w:rPr>
                <w:rFonts w:hint="eastAsia" w:ascii="宋体" w:hAnsi="宋体" w:cs="宋体"/>
                <w:color w:val="000000"/>
                <w:sz w:val="16"/>
                <w:szCs w:val="16"/>
              </w:rPr>
              <w:t>大中型水库移民后期扶持基金支出</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0.78</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0.78</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0.78</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2082201</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 w:val="16"/>
                <w:szCs w:val="16"/>
              </w:rPr>
            </w:pPr>
            <w:r>
              <w:rPr>
                <w:rFonts w:hint="eastAsia" w:ascii="宋体" w:hAnsi="宋体" w:cs="宋体"/>
                <w:color w:val="000000"/>
                <w:sz w:val="16"/>
                <w:szCs w:val="16"/>
              </w:rPr>
              <w:t>移民补助</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0.78</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0.78</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0.78</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 w:val="16"/>
                <w:szCs w:val="16"/>
              </w:rPr>
            </w:pPr>
            <w:r>
              <w:rPr>
                <w:rFonts w:hint="eastAsia" w:ascii="宋体" w:hAnsi="宋体" w:cs="宋体"/>
                <w:color w:val="000000"/>
                <w:sz w:val="16"/>
                <w:szCs w:val="16"/>
              </w:rPr>
              <w:t>城乡社区支出</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1914.58</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1143.61</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3040.49</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3040.49</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17.70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 w:val="16"/>
                <w:szCs w:val="16"/>
              </w:rPr>
            </w:pPr>
            <w:r>
              <w:rPr>
                <w:rFonts w:hint="eastAsia" w:ascii="宋体" w:hAnsi="宋体" w:cs="宋体"/>
                <w:color w:val="000000"/>
                <w:sz w:val="16"/>
                <w:szCs w:val="16"/>
              </w:rPr>
              <w:t>国有土地使用权出让收入及对应专项债务收入安排的支出</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1900.52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645.91</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2546.43</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2546.43</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2120801</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 w:val="16"/>
                <w:szCs w:val="16"/>
              </w:rPr>
            </w:pPr>
            <w:r>
              <w:rPr>
                <w:rFonts w:hint="eastAsia" w:ascii="宋体" w:hAnsi="宋体" w:cs="宋体"/>
                <w:color w:val="000000"/>
                <w:sz w:val="16"/>
                <w:szCs w:val="16"/>
              </w:rPr>
              <w:t>征地和拆迁补偿支出</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322.52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645.91</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968.43</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968.43</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2120803</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 w:val="16"/>
                <w:szCs w:val="16"/>
              </w:rPr>
            </w:pPr>
            <w:r>
              <w:rPr>
                <w:rFonts w:hint="eastAsia" w:ascii="宋体" w:hAnsi="宋体" w:cs="宋体"/>
                <w:color w:val="000000"/>
                <w:sz w:val="16"/>
                <w:szCs w:val="16"/>
              </w:rPr>
              <w:t>城市建设支出</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550.00</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550.00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550.00</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2120899</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 w:val="16"/>
                <w:szCs w:val="16"/>
              </w:rPr>
            </w:pPr>
            <w:r>
              <w:rPr>
                <w:rFonts w:hint="eastAsia" w:ascii="宋体" w:hAnsi="宋体" w:cs="宋体"/>
                <w:color w:val="000000"/>
                <w:sz w:val="16"/>
                <w:szCs w:val="16"/>
              </w:rPr>
              <w:t>其他国有土地使用权出让收入安排的支出</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1028.00</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1028.00</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1028.00</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21213</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 w:val="16"/>
                <w:szCs w:val="16"/>
              </w:rPr>
            </w:pPr>
            <w:r>
              <w:rPr>
                <w:rFonts w:hint="eastAsia" w:ascii="宋体" w:hAnsi="宋体" w:cs="宋体"/>
                <w:color w:val="000000"/>
                <w:sz w:val="16"/>
                <w:szCs w:val="16"/>
              </w:rPr>
              <w:t>城市基础设施配套费及对应专项债务收入安排的支出</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14.06</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497.70</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494.06</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494.06</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17.70</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2121399</w:t>
            </w:r>
          </w:p>
        </w:tc>
        <w:tc>
          <w:tcPr>
            <w:tcW w:w="17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 w:val="16"/>
                <w:szCs w:val="16"/>
              </w:rPr>
            </w:pPr>
            <w:r>
              <w:rPr>
                <w:rFonts w:hint="eastAsia" w:ascii="宋体" w:hAnsi="宋体" w:cs="宋体"/>
                <w:color w:val="000000"/>
                <w:sz w:val="16"/>
                <w:szCs w:val="16"/>
              </w:rPr>
              <w:t>其他城市基础设施配套费安排的支出</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14.06</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497.70</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494.06</w:t>
            </w:r>
          </w:p>
        </w:tc>
        <w:tc>
          <w:tcPr>
            <w:tcW w:w="8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494.06</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17.70</w:t>
            </w:r>
          </w:p>
        </w:tc>
      </w:tr>
      <w:tr>
        <w:tblPrEx>
          <w:tblCellMar>
            <w:top w:w="0" w:type="dxa"/>
            <w:left w:w="0" w:type="dxa"/>
            <w:bottom w:w="0" w:type="dxa"/>
            <w:right w:w="0" w:type="dxa"/>
          </w:tblCellMar>
        </w:tblPrEx>
        <w:trPr>
          <w:trHeight w:val="324" w:hRule="atLeast"/>
        </w:trPr>
        <w:tc>
          <w:tcPr>
            <w:tcW w:w="8860" w:type="dxa"/>
            <w:gridSpan w:val="1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编制单位：无极县水利局</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cs="楷体" w:asciiTheme="majorEastAsia" w:hAnsiTheme="majorEastAsia" w:eastAsiaTheme="majorEastAsia"/>
                <w:sz w:val="22"/>
                <w:szCs w:val="2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编制单位：无极县水利局</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3185.25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3185.25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3185.25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57.60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57.60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57.60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2946.24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2946.24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2946.24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181.41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181.41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181.41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3089.14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3089.14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3089.14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55.70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55.70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55.70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2863.00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2863.00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2863.00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170.44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170.44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170.44</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w:pict>
          <v:shape id="_x0000_s1043" o:spid="_x0000_s1043"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本部门2018年度收支总计（含结转和结余）1036</w:t>
      </w:r>
      <w:r>
        <w:rPr>
          <w:rFonts w:hint="eastAsia" w:ascii="宋体" w:hAnsi="宋体" w:cs="宋体"/>
          <w:sz w:val="32"/>
          <w:szCs w:val="32"/>
        </w:rPr>
        <w:t>9.53</w:t>
      </w:r>
      <w:r>
        <w:rPr>
          <w:rFonts w:hint="eastAsia" w:ascii="仿宋_GB2312" w:eastAsia="仿宋_GB2312" w:cs="DengXian-Regular"/>
          <w:sz w:val="32"/>
          <w:szCs w:val="32"/>
        </w:rPr>
        <w:t>万元。与2017年度决算相比，收支各增加3102万元，增长42.68%，主要原因是</w:t>
      </w:r>
      <w:r>
        <w:rPr>
          <w:rFonts w:hint="eastAsia" w:ascii="仿宋" w:hAnsi="仿宋" w:eastAsia="仿宋" w:cs="DengXian-Regular"/>
          <w:sz w:val="32"/>
          <w:szCs w:val="32"/>
        </w:rPr>
        <w:t>木刀沟综合整治一期工程增加3000万元</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黑体" w:eastAsia="黑体"/>
        </w:rPr>
      </w:pPr>
      <w:r>
        <w:rPr>
          <w:rFonts w:hint="eastAsia" w:ascii="仿宋_GB2312" w:eastAsia="仿宋_GB2312" w:cs="DengXian-Regular"/>
          <w:sz w:val="32"/>
          <w:szCs w:val="32"/>
        </w:rPr>
        <w:t>本部门2018年度本年收入合计8135.22万元，其中：财政拨款收入8135.22万元，占100%；事业收入0万元，占0%；经营收入0万元，占0%；其他收入0万元，占0%。如图所示：</w:t>
      </w:r>
    </w:p>
    <w:p>
      <w:pPr>
        <w:pStyle w:val="3"/>
        <w:spacing w:before="0" w:after="0" w:line="240" w:lineRule="auto"/>
        <w:ind w:firstLine="643" w:firstLineChars="200"/>
        <w:rPr>
          <w:rFonts w:ascii="黑体" w:eastAsia="黑体"/>
        </w:rPr>
      </w:pPr>
    </w:p>
    <w:p>
      <w:pPr>
        <w:pStyle w:val="3"/>
        <w:spacing w:before="0" w:after="0" w:line="240" w:lineRule="auto"/>
        <w:ind w:firstLine="643" w:firstLineChars="200"/>
        <w:rPr>
          <w:rFonts w:ascii="黑体" w:eastAsia="黑体"/>
        </w:rPr>
      </w:pPr>
      <w:r>
        <w:rPr>
          <w:rFonts w:ascii="黑体" w:eastAsia="黑体"/>
        </w:rPr>
        <w:drawing>
          <wp:inline distT="0" distB="0" distL="0" distR="0">
            <wp:extent cx="3581400" cy="2257425"/>
            <wp:effectExtent l="57150" t="0" r="57150" b="66675"/>
            <wp:docPr id="8"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本部门2018年度本年支出合计511</w:t>
      </w:r>
      <w:r>
        <w:rPr>
          <w:rFonts w:hint="eastAsia" w:ascii="宋体" w:hAnsi="宋体" w:cs="宋体"/>
          <w:sz w:val="32"/>
          <w:szCs w:val="32"/>
        </w:rPr>
        <w:t>9.66</w:t>
      </w:r>
      <w:r>
        <w:rPr>
          <w:rFonts w:hint="eastAsia" w:ascii="仿宋_GB2312" w:eastAsia="仿宋_GB2312" w:cs="DengXian-Regular"/>
          <w:sz w:val="32"/>
          <w:szCs w:val="32"/>
        </w:rPr>
        <w:t>万元，其中：基本支出733.14万元，占14.32%；项目支出4386.52万元，占85.68%；经营支出0万元，占0%。如图所示：</w:t>
      </w:r>
      <w:r>
        <w:pict>
          <v:group id="_x0000_s1037" o:spid="_x0000_s1037" o:spt="203" style="position:absolute;left:0pt;margin-left:59.55pt;margin-top:6.75pt;height:230.55pt;width:274.45pt;z-index:-251648000;mso-width-relative:page;mso-height-relative:page;" coordorigin="70,1907" coordsize="46,3607220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39" o:spid="_x0000_s1039" o:spt="75" type="#_x0000_t75" style="position:absolute;left:70;top:1907;height:29;width:46;"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10" cropleft="2131f" croptop="1490f" cropright="1218f" cropbottom="5217f" o:title=""/>
              <o:lock v:ext="edit" aspectratio="t"/>
            </v:shape>
            <v:shape id="_x0000_s1038" o:spid="_x0000_s1038" o:spt="202" type="#_x0000_t202" style="position:absolute;left:72;top:1936;height:7;width:42;"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pStyle w:val="3"/>
        <w:tabs>
          <w:tab w:val="left" w:pos="1575"/>
        </w:tabs>
        <w:spacing w:before="0" w:after="0" w:line="580" w:lineRule="exact"/>
        <w:rPr>
          <w:rFonts w:ascii="黑体" w:eastAsia="黑体"/>
        </w:rPr>
      </w:pPr>
    </w:p>
    <w:p>
      <w:r>
        <w:drawing>
          <wp:inline distT="0" distB="0" distL="0" distR="0">
            <wp:extent cx="3676650" cy="2076450"/>
            <wp:effectExtent l="57150" t="0" r="57150" b="7620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w:t>
      </w:r>
      <w:r>
        <w:rPr>
          <w:rFonts w:hint="eastAsia" w:ascii="楷体" w:hAnsi="楷体" w:eastAsia="楷体" w:cs="DengXian-Bold"/>
          <w:b/>
          <w:bCs/>
          <w:sz w:val="32"/>
          <w:szCs w:val="32"/>
        </w:rPr>
        <w:t>财政拨款收支与</w:t>
      </w:r>
      <w:r>
        <w:rPr>
          <w:rFonts w:hint="eastAsia" w:ascii="楷体" w:hAnsi="楷体" w:eastAsia="楷体" w:cs="宋体"/>
          <w:b/>
          <w:bCs/>
          <w:sz w:val="32"/>
          <w:szCs w:val="32"/>
        </w:rPr>
        <w:t>2017</w:t>
      </w:r>
      <w:r>
        <w:rPr>
          <w:rFonts w:hint="eastAsia" w:ascii="楷体" w:hAnsi="楷体" w:eastAsia="楷体" w:cs="DengXian-Bold"/>
          <w:b/>
          <w:bCs/>
          <w:sz w:val="32"/>
          <w:szCs w:val="32"/>
        </w:rPr>
        <w:t xml:space="preserve">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本部门2018年度财政拨款本年收入8135.22万元,比2017年度增加1653.71万元，增长25.51%，主要是</w:t>
      </w:r>
      <w:r>
        <w:rPr>
          <w:rFonts w:hint="eastAsia" w:ascii="仿宋" w:hAnsi="仿宋" w:eastAsia="仿宋" w:cs="DengXian-Regular"/>
          <w:sz w:val="32"/>
          <w:szCs w:val="32"/>
        </w:rPr>
        <w:t>木刀沟一期工程和老磁河综合治理项目增加</w:t>
      </w:r>
      <w:r>
        <w:rPr>
          <w:rFonts w:hint="eastAsia" w:ascii="仿宋_GB2312" w:eastAsia="仿宋_GB2312" w:cs="DengXian-Regular"/>
          <w:sz w:val="32"/>
          <w:szCs w:val="32"/>
        </w:rPr>
        <w:t>；本年支出511</w:t>
      </w:r>
      <w:r>
        <w:rPr>
          <w:rFonts w:hint="eastAsia" w:ascii="宋体" w:hAnsi="宋体" w:cs="宋体"/>
          <w:sz w:val="32"/>
          <w:szCs w:val="32"/>
        </w:rPr>
        <w:t>9.66</w:t>
      </w:r>
      <w:r>
        <w:rPr>
          <w:rFonts w:hint="eastAsia" w:ascii="仿宋_GB2312" w:eastAsia="仿宋_GB2312" w:cs="DengXian-Regular"/>
          <w:sz w:val="32"/>
          <w:szCs w:val="32"/>
        </w:rPr>
        <w:t>万元，增加1053.4</w:t>
      </w:r>
      <w:r>
        <w:rPr>
          <w:rFonts w:hint="eastAsia" w:ascii="宋体" w:hAnsi="宋体" w:cs="宋体"/>
          <w:sz w:val="32"/>
          <w:szCs w:val="32"/>
        </w:rPr>
        <w:t>9</w:t>
      </w:r>
      <w:r>
        <w:rPr>
          <w:rFonts w:hint="eastAsia" w:ascii="仿宋_GB2312" w:eastAsia="仿宋_GB2312" w:cs="DengXian-Regular"/>
          <w:sz w:val="32"/>
          <w:szCs w:val="32"/>
        </w:rPr>
        <w:t>万元，增长25.</w:t>
      </w:r>
      <w:r>
        <w:rPr>
          <w:rFonts w:hint="eastAsia" w:ascii="宋体" w:hAnsi="宋体" w:cs="宋体"/>
          <w:sz w:val="32"/>
          <w:szCs w:val="32"/>
        </w:rPr>
        <w:t>91</w:t>
      </w:r>
      <w:r>
        <w:rPr>
          <w:rFonts w:hint="eastAsia" w:ascii="仿宋_GB2312" w:eastAsia="仿宋_GB2312" w:cs="DengXian-Regular"/>
          <w:sz w:val="32"/>
          <w:szCs w:val="32"/>
        </w:rPr>
        <w:t>%，主要是</w:t>
      </w:r>
      <w:r>
        <w:rPr>
          <w:rFonts w:hint="eastAsia" w:ascii="仿宋" w:hAnsi="仿宋" w:eastAsia="仿宋" w:cs="DengXian-Regular"/>
          <w:sz w:val="32"/>
          <w:szCs w:val="32"/>
        </w:rPr>
        <w:t>老磁河综合治理项目支出增加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其中：一般公共预算财政拨款本年收入6</w:t>
      </w:r>
      <w:r>
        <w:rPr>
          <w:rFonts w:hint="eastAsia" w:ascii="宋体" w:hAnsi="宋体" w:cs="宋体"/>
          <w:sz w:val="32"/>
          <w:szCs w:val="32"/>
        </w:rPr>
        <w:t>990.83</w:t>
      </w:r>
      <w:r>
        <w:rPr>
          <w:rFonts w:hint="eastAsia" w:ascii="仿宋_GB2312" w:eastAsia="仿宋_GB2312" w:cs="DengXian-Regular"/>
          <w:sz w:val="32"/>
          <w:szCs w:val="32"/>
        </w:rPr>
        <w:t>万元，比上年增加5062.</w:t>
      </w:r>
      <w:r>
        <w:rPr>
          <w:rFonts w:hint="eastAsia" w:ascii="宋体" w:hAnsi="宋体" w:cs="宋体"/>
          <w:sz w:val="32"/>
          <w:szCs w:val="32"/>
        </w:rPr>
        <w:t>97</w:t>
      </w:r>
      <w:r>
        <w:rPr>
          <w:rFonts w:hint="eastAsia" w:ascii="仿宋_GB2312" w:eastAsia="仿宋_GB2312" w:cs="DengXian-Regular"/>
          <w:sz w:val="32"/>
          <w:szCs w:val="32"/>
        </w:rPr>
        <w:t>万元；主要是</w:t>
      </w:r>
      <w:r>
        <w:rPr>
          <w:rFonts w:hint="eastAsia" w:ascii="仿宋" w:hAnsi="仿宋" w:eastAsia="仿宋" w:cs="DengXian-Regular"/>
          <w:sz w:val="32"/>
          <w:szCs w:val="32"/>
        </w:rPr>
        <w:t>木刀沟一期工程和老磁河综合治理项目拨款增加</w:t>
      </w:r>
      <w:r>
        <w:rPr>
          <w:rFonts w:hint="eastAsia" w:ascii="仿宋_GB2312" w:eastAsia="仿宋_GB2312" w:cs="DengXian-Regular"/>
          <w:sz w:val="32"/>
          <w:szCs w:val="32"/>
        </w:rPr>
        <w:t>；本年支出2078.3</w:t>
      </w:r>
      <w:r>
        <w:rPr>
          <w:rFonts w:hint="eastAsia" w:ascii="宋体" w:hAnsi="宋体" w:cs="宋体"/>
          <w:sz w:val="32"/>
          <w:szCs w:val="32"/>
        </w:rPr>
        <w:t>9</w:t>
      </w:r>
      <w:r>
        <w:rPr>
          <w:rFonts w:hint="eastAsia" w:ascii="仿宋_GB2312" w:eastAsia="仿宋_GB2312" w:cs="DengXian-Regular"/>
          <w:sz w:val="32"/>
          <w:szCs w:val="32"/>
        </w:rPr>
        <w:t>万元，比上年减少145.76万元，降低6.55%，主要是财政拨款结转结余资金较多。政府性基金预算财政拨款本年收入1144.3</w:t>
      </w:r>
      <w:r>
        <w:rPr>
          <w:rFonts w:hint="eastAsia" w:ascii="宋体" w:hAnsi="宋体" w:cs="宋体"/>
          <w:sz w:val="32"/>
          <w:szCs w:val="32"/>
        </w:rPr>
        <w:t>9</w:t>
      </w:r>
      <w:r>
        <w:rPr>
          <w:rFonts w:hint="eastAsia" w:ascii="仿宋_GB2312" w:eastAsia="仿宋_GB2312" w:cs="DengXian-Regular"/>
          <w:sz w:val="32"/>
          <w:szCs w:val="32"/>
        </w:rPr>
        <w:t>万元，比上年减少340</w:t>
      </w:r>
      <w:r>
        <w:rPr>
          <w:rFonts w:hint="eastAsia" w:ascii="宋体" w:hAnsi="宋体" w:cs="宋体"/>
          <w:sz w:val="32"/>
          <w:szCs w:val="32"/>
        </w:rPr>
        <w:t>9.27</w:t>
      </w:r>
      <w:r>
        <w:rPr>
          <w:rFonts w:hint="eastAsia" w:ascii="仿宋_GB2312" w:eastAsia="仿宋_GB2312" w:cs="DengXian-Regular"/>
          <w:sz w:val="32"/>
          <w:szCs w:val="32"/>
        </w:rPr>
        <w:t>万元，降低74.87%，主要原因是政府性基金财政拨款减少；本年支出3041.27万元，比上年增加11</w:t>
      </w:r>
      <w:r>
        <w:rPr>
          <w:rFonts w:hint="eastAsia" w:ascii="宋体" w:hAnsi="宋体" w:cs="宋体"/>
          <w:sz w:val="32"/>
          <w:szCs w:val="32"/>
        </w:rPr>
        <w:t>99.25</w:t>
      </w:r>
      <w:r>
        <w:rPr>
          <w:rFonts w:hint="eastAsia" w:ascii="仿宋_GB2312" w:eastAsia="仿宋_GB2312" w:cs="DengXian-Regular"/>
          <w:sz w:val="32"/>
          <w:szCs w:val="32"/>
        </w:rPr>
        <w:t>万元，增长65.11%，主要是年初结转结余资金支出增加。</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r>
        <w:rPr>
          <w:rFonts w:ascii="仿宋_GB2312" w:eastAsia="仿宋_GB2312" w:cs="DengXian-Regular"/>
          <w:sz w:val="32"/>
          <w:szCs w:val="32"/>
        </w:rPr>
        <w:drawing>
          <wp:inline distT="0" distB="0" distL="0" distR="0">
            <wp:extent cx="4143375" cy="2486025"/>
            <wp:effectExtent l="57150" t="0" r="47625" b="66675"/>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w:t>
      </w:r>
      <w:r>
        <w:rPr>
          <w:rFonts w:hint="eastAsia" w:ascii="楷体" w:hAnsi="楷体" w:eastAsia="楷体" w:cs="DengXian-Bold"/>
          <w:b/>
          <w:bCs/>
          <w:sz w:val="32"/>
          <w:szCs w:val="32"/>
        </w:rPr>
        <w:t>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本部门2018年度财政拨款本年收入8135.22万元，完成年初预算的217.71%,比年初预算增加43</w:t>
      </w:r>
      <w:r>
        <w:rPr>
          <w:rFonts w:hint="eastAsia" w:ascii="宋体" w:hAnsi="宋体" w:cs="宋体"/>
          <w:sz w:val="32"/>
          <w:szCs w:val="32"/>
        </w:rPr>
        <w:t>98.52</w:t>
      </w:r>
      <w:r>
        <w:rPr>
          <w:rFonts w:hint="eastAsia" w:ascii="仿宋_GB2312" w:eastAsia="仿宋_GB2312" w:cs="DengXian-Regular"/>
          <w:sz w:val="32"/>
          <w:szCs w:val="32"/>
        </w:rPr>
        <w:t>万元，决算数大于预算数主要原因是</w:t>
      </w:r>
      <w:r>
        <w:rPr>
          <w:rFonts w:hint="eastAsia" w:ascii="仿宋" w:hAnsi="仿宋" w:eastAsia="仿宋" w:cs="DengXian-Regular"/>
          <w:sz w:val="32"/>
          <w:szCs w:val="32"/>
        </w:rPr>
        <w:t>木刀沟一期工程和老磁河综合治理项目拨款增加</w:t>
      </w:r>
      <w:r>
        <w:rPr>
          <w:rFonts w:hint="eastAsia" w:ascii="仿宋_GB2312" w:eastAsia="仿宋_GB2312" w:cs="DengXian-Regular"/>
          <w:sz w:val="32"/>
          <w:szCs w:val="32"/>
        </w:rPr>
        <w:t>；本年支出511</w:t>
      </w:r>
      <w:r>
        <w:rPr>
          <w:rFonts w:hint="eastAsia" w:ascii="宋体" w:hAnsi="宋体" w:cs="宋体"/>
          <w:sz w:val="32"/>
          <w:szCs w:val="32"/>
        </w:rPr>
        <w:t>9.66</w:t>
      </w:r>
      <w:r>
        <w:rPr>
          <w:rFonts w:hint="eastAsia" w:ascii="仿宋_GB2312" w:eastAsia="仿宋_GB2312" w:cs="DengXian-Regular"/>
          <w:sz w:val="32"/>
          <w:szCs w:val="32"/>
        </w:rPr>
        <w:t>万元，完成年初预算的137.01%,比年初预算增加1382.</w:t>
      </w:r>
      <w:r>
        <w:rPr>
          <w:rFonts w:hint="eastAsia" w:ascii="宋体" w:hAnsi="宋体" w:cs="宋体"/>
          <w:sz w:val="32"/>
          <w:szCs w:val="32"/>
        </w:rPr>
        <w:t>96</w:t>
      </w:r>
      <w:r>
        <w:rPr>
          <w:rFonts w:hint="eastAsia" w:ascii="仿宋_GB2312" w:eastAsia="仿宋_GB2312" w:cs="DengXian-Regular"/>
          <w:sz w:val="32"/>
          <w:szCs w:val="32"/>
        </w:rPr>
        <w:t>万元，决算数大于预算数主要原因是</w:t>
      </w:r>
      <w:r>
        <w:rPr>
          <w:rFonts w:hint="eastAsia" w:ascii="仿宋" w:hAnsi="仿宋" w:eastAsia="仿宋" w:cs="DengXian-Regular"/>
          <w:sz w:val="32"/>
          <w:szCs w:val="32"/>
        </w:rPr>
        <w:t>老磁河综合治理项目支出增加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其中，一般公共预算财政拨款本年收入6</w:t>
      </w:r>
      <w:r>
        <w:rPr>
          <w:rFonts w:hint="eastAsia" w:ascii="宋体" w:hAnsi="宋体" w:cs="宋体"/>
          <w:sz w:val="32"/>
          <w:szCs w:val="32"/>
        </w:rPr>
        <w:t>990.83</w:t>
      </w:r>
      <w:r>
        <w:rPr>
          <w:rFonts w:hint="eastAsia" w:ascii="仿宋_GB2312" w:eastAsia="仿宋_GB2312" w:cs="DengXian-Regular"/>
          <w:sz w:val="32"/>
          <w:szCs w:val="32"/>
        </w:rPr>
        <w:t>万元，完成年初预算187.12%，比年初预算增加3254.</w:t>
      </w:r>
      <w:r>
        <w:rPr>
          <w:rFonts w:hint="eastAsia" w:ascii="宋体" w:hAnsi="宋体" w:cs="宋体"/>
          <w:sz w:val="32"/>
          <w:szCs w:val="32"/>
        </w:rPr>
        <w:t>91</w:t>
      </w:r>
      <w:r>
        <w:rPr>
          <w:rFonts w:hint="eastAsia" w:ascii="仿宋_GB2312" w:eastAsia="仿宋_GB2312" w:cs="DengXian-Regular"/>
          <w:sz w:val="32"/>
          <w:szCs w:val="32"/>
        </w:rPr>
        <w:t>万元，主要是</w:t>
      </w:r>
      <w:r>
        <w:rPr>
          <w:rFonts w:hint="eastAsia" w:ascii="仿宋" w:hAnsi="仿宋" w:eastAsia="仿宋" w:cs="DengXian-Regular"/>
          <w:sz w:val="32"/>
          <w:szCs w:val="32"/>
        </w:rPr>
        <w:t>木刀沟一期工程拨款增加</w:t>
      </w:r>
      <w:r>
        <w:rPr>
          <w:rFonts w:hint="eastAsia" w:ascii="仿宋_GB2312" w:eastAsia="仿宋_GB2312" w:cs="DengXian-Regular"/>
          <w:sz w:val="32"/>
          <w:szCs w:val="32"/>
        </w:rPr>
        <w:t>；支出2078.3</w:t>
      </w:r>
      <w:r>
        <w:rPr>
          <w:rFonts w:hint="eastAsia" w:ascii="宋体" w:hAnsi="宋体" w:cs="宋体"/>
          <w:sz w:val="32"/>
          <w:szCs w:val="32"/>
        </w:rPr>
        <w:t>9</w:t>
      </w:r>
      <w:r>
        <w:rPr>
          <w:rFonts w:hint="eastAsia" w:ascii="仿宋_GB2312" w:eastAsia="仿宋_GB2312" w:cs="DengXian-Regular"/>
          <w:sz w:val="32"/>
          <w:szCs w:val="32"/>
        </w:rPr>
        <w:t>万元，完成年初预算55.63%，比年初预算减少1657.53万元，主要是2018水利发展项目未完工结转结余较多。政府性基金预算财政拨款本年收入1144.3</w:t>
      </w:r>
      <w:r>
        <w:rPr>
          <w:rFonts w:hint="eastAsia" w:ascii="宋体" w:hAnsi="宋体" w:cs="宋体"/>
          <w:sz w:val="32"/>
          <w:szCs w:val="32"/>
        </w:rPr>
        <w:t>9</w:t>
      </w:r>
      <w:r>
        <w:rPr>
          <w:rFonts w:hint="eastAsia" w:ascii="仿宋_GB2312" w:eastAsia="仿宋_GB2312" w:cs="DengXian-Regular"/>
          <w:sz w:val="32"/>
          <w:szCs w:val="32"/>
        </w:rPr>
        <w:t>万元，完成年初预算146716.67%，比年初预算增加1143.61万元，主要是</w:t>
      </w:r>
      <w:r>
        <w:rPr>
          <w:rFonts w:hint="eastAsia" w:ascii="仿宋" w:hAnsi="仿宋" w:eastAsia="仿宋" w:cs="DengXian-Regular"/>
          <w:sz w:val="32"/>
          <w:szCs w:val="32"/>
        </w:rPr>
        <w:t>木刀沟一期工程占地补偿和老磁河综合治理项目拨款增加</w:t>
      </w:r>
      <w:r>
        <w:rPr>
          <w:rFonts w:hint="eastAsia" w:ascii="仿宋_GB2312" w:eastAsia="仿宋_GB2312" w:cs="DengXian-Regular"/>
          <w:sz w:val="32"/>
          <w:szCs w:val="32"/>
        </w:rPr>
        <w:t>；支出3041.27万元，完成年初预算38</w:t>
      </w:r>
      <w:r>
        <w:rPr>
          <w:rFonts w:hint="eastAsia" w:ascii="宋体" w:hAnsi="宋体" w:cs="宋体"/>
          <w:sz w:val="32"/>
          <w:szCs w:val="32"/>
        </w:rPr>
        <w:t>9906.41</w:t>
      </w:r>
      <w:r>
        <w:rPr>
          <w:rFonts w:hint="eastAsia" w:ascii="仿宋_GB2312" w:eastAsia="仿宋_GB2312" w:cs="DengXian-Regular"/>
          <w:sz w:val="32"/>
          <w:szCs w:val="32"/>
        </w:rPr>
        <w:t>%，比年初预算增加3040.4</w:t>
      </w:r>
      <w:r>
        <w:rPr>
          <w:rFonts w:hint="eastAsia" w:ascii="宋体" w:hAnsi="宋体" w:cs="宋体"/>
          <w:sz w:val="32"/>
          <w:szCs w:val="32"/>
        </w:rPr>
        <w:t>9</w:t>
      </w:r>
      <w:r>
        <w:rPr>
          <w:rFonts w:hint="eastAsia" w:ascii="仿宋_GB2312" w:eastAsia="仿宋_GB2312" w:cs="DengXian-Regular"/>
          <w:sz w:val="32"/>
          <w:szCs w:val="32"/>
        </w:rPr>
        <w:t>万元，主要是年初结转结余资金支出增加。</w:t>
      </w:r>
    </w:p>
    <w:p>
      <w:pPr>
        <w:tabs>
          <w:tab w:val="left" w:pos="3540"/>
        </w:tabs>
        <w:adjustRightInd w:val="0"/>
        <w:snapToGrid w:val="0"/>
        <w:spacing w:after="0" w:line="580" w:lineRule="exact"/>
        <w:ind w:firstLine="640" w:firstLineChars="200"/>
        <w:rPr>
          <w:rFonts w:ascii="仿宋_GB2312" w:eastAsia="仿宋_GB2312" w:cs="DengXian-Regular"/>
          <w:sz w:val="32"/>
          <w:szCs w:val="32"/>
          <w:highlight w:val="yellow"/>
        </w:rPr>
      </w:pPr>
      <w:r>
        <w:rPr>
          <w:rFonts w:ascii="仿宋_GB2312" w:eastAsia="仿宋_GB2312" w:cs="DengXian-Regular"/>
          <w:sz w:val="32"/>
          <w:szCs w:val="32"/>
        </w:rPr>
        <w:tab/>
      </w:r>
    </w:p>
    <w:p>
      <w:pPr>
        <w:adjustRightInd w:val="0"/>
        <w:snapToGrid w:val="0"/>
        <w:spacing w:after="0" w:line="240" w:lineRule="auto"/>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r>
        <w:rPr>
          <w:rFonts w:ascii="仿宋_GB2312" w:eastAsia="仿宋_GB2312" w:cs="DengXian-Regular"/>
          <w:sz w:val="32"/>
          <w:szCs w:val="32"/>
        </w:rPr>
        <w:drawing>
          <wp:inline distT="0" distB="0" distL="0" distR="0">
            <wp:extent cx="5133975" cy="2552700"/>
            <wp:effectExtent l="57150" t="0" r="47625" b="76200"/>
            <wp:docPr id="1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 w:hAnsi="楷体" w:eastAsia="楷体" w:cs="DengXian-Bold"/>
          <w:b/>
          <w:bCs/>
          <w:sz w:val="32"/>
          <w:szCs w:val="32"/>
        </w:rPr>
        <w:t>财政拨款支出决算结构情况</w:t>
      </w:r>
      <w:r>
        <w:rPr>
          <w:rFonts w:hint="eastAsia" w:ascii="楷体_GB2312" w:eastAsia="楷体_GB2312" w:cs="DengXian-Bold"/>
          <w:b/>
          <w:bCs/>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年度财政拨款支出511</w:t>
      </w:r>
      <w:r>
        <w:rPr>
          <w:rFonts w:hint="eastAsia" w:ascii="宋体" w:hAnsi="宋体" w:cs="宋体"/>
          <w:sz w:val="32"/>
          <w:szCs w:val="32"/>
        </w:rPr>
        <w:t>9.66</w:t>
      </w:r>
      <w:r>
        <w:rPr>
          <w:rFonts w:hint="eastAsia" w:ascii="仿宋_GB2312" w:eastAsia="仿宋_GB2312" w:cs="DengXian-Regular"/>
          <w:sz w:val="32"/>
          <w:szCs w:val="32"/>
        </w:rPr>
        <w:t>万元，主要用于以下方面：城乡社区（类）支出3040.4</w:t>
      </w:r>
      <w:r>
        <w:rPr>
          <w:rFonts w:hint="eastAsia" w:ascii="宋体" w:hAnsi="宋体" w:cs="宋体"/>
          <w:sz w:val="32"/>
          <w:szCs w:val="32"/>
        </w:rPr>
        <w:t>9</w:t>
      </w:r>
      <w:r>
        <w:rPr>
          <w:rFonts w:hint="eastAsia" w:ascii="仿宋_GB2312" w:eastAsia="仿宋_GB2312" w:cs="DengXian-Regular"/>
          <w:sz w:val="32"/>
          <w:szCs w:val="32"/>
        </w:rPr>
        <w:t>万元，占5</w:t>
      </w:r>
      <w:r>
        <w:rPr>
          <w:rFonts w:hint="eastAsia" w:ascii="宋体" w:hAnsi="宋体" w:cs="宋体"/>
          <w:sz w:val="32"/>
          <w:szCs w:val="32"/>
        </w:rPr>
        <w:t>9.39</w:t>
      </w:r>
      <w:r>
        <w:rPr>
          <w:rFonts w:hint="eastAsia" w:ascii="仿宋_GB2312" w:eastAsia="仿宋_GB2312" w:cs="DengXian-Regular"/>
          <w:sz w:val="32"/>
          <w:szCs w:val="32"/>
        </w:rPr>
        <w:t>%；农林水（类）支出2072.44万元，占40.48%；社会保障和就业（类）支出 6.73万元，占0.13%。</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240" w:lineRule="auto"/>
        <w:ind w:left="420" w:leftChars="200"/>
        <w:rPr>
          <w:rFonts w:ascii="楷体_GB2312" w:eastAsia="楷体_GB2312" w:cs="DengXian-Bold"/>
          <w:b/>
          <w:bCs/>
          <w:sz w:val="32"/>
          <w:szCs w:val="32"/>
        </w:rPr>
      </w:pPr>
      <w:r>
        <w:rPr>
          <w:rFonts w:ascii="楷体_GB2312" w:eastAsia="楷体_GB2312" w:cs="DengXian-Bold"/>
          <w:b/>
          <w:bCs/>
          <w:sz w:val="32"/>
          <w:szCs w:val="32"/>
        </w:rPr>
        <w:drawing>
          <wp:inline distT="0" distB="0" distL="0" distR="0">
            <wp:extent cx="4629150" cy="2657475"/>
            <wp:effectExtent l="57150" t="0" r="57150" b="66675"/>
            <wp:docPr id="1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w:t>
      </w:r>
      <w:r>
        <w:rPr>
          <w:rFonts w:hint="eastAsia" w:ascii="楷体" w:hAnsi="楷体" w:eastAsia="楷体" w:cs="DengXian-Bold"/>
          <w:b/>
          <w:bCs/>
          <w:sz w:val="32"/>
          <w:szCs w:val="32"/>
        </w:rPr>
        <w:t>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年度一般公共预算财政拨款基本支出733.14万元，其中：人员经费 455.17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277.</w:t>
      </w:r>
      <w:r>
        <w:rPr>
          <w:rFonts w:hint="eastAsia" w:ascii="宋体" w:hAnsi="宋体" w:cs="宋体"/>
          <w:sz w:val="32"/>
          <w:szCs w:val="32"/>
        </w:rPr>
        <w:t>97</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“三公”经费支出共计2.</w:t>
      </w:r>
      <w:r>
        <w:rPr>
          <w:rFonts w:hint="eastAsia" w:ascii="宋体" w:hAnsi="宋体" w:cs="宋体"/>
          <w:sz w:val="32"/>
          <w:szCs w:val="32"/>
        </w:rPr>
        <w:t>92</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较年初预算减少0.08万元，降低2.66%，</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w:t>
      </w:r>
      <w:r>
        <w:rPr>
          <w:rFonts w:hint="eastAsia" w:ascii="仿宋" w:hAnsi="仿宋" w:eastAsia="仿宋" w:cs="DengXian-Bold"/>
          <w:b/>
          <w:bCs/>
          <w:sz w:val="32"/>
          <w:szCs w:val="32"/>
        </w:rPr>
        <w:t>因公出国（境）费支出</w:t>
      </w:r>
      <w:r>
        <w:rPr>
          <w:rFonts w:hint="eastAsia" w:ascii="仿宋" w:hAnsi="仿宋" w:eastAsia="仿宋" w:cs="宋体"/>
          <w:b/>
          <w:bCs/>
          <w:sz w:val="32"/>
          <w:szCs w:val="32"/>
        </w:rPr>
        <w:t>0</w:t>
      </w:r>
      <w:r>
        <w:rPr>
          <w:rFonts w:hint="eastAsia" w:ascii="仿宋" w:hAnsi="仿宋" w:eastAsia="仿宋" w:cs="DengXian-Bold"/>
          <w:b/>
          <w:bCs/>
          <w:sz w:val="32"/>
          <w:szCs w:val="32"/>
        </w:rPr>
        <w:t>万元</w:t>
      </w:r>
      <w:r>
        <w:rPr>
          <w:rFonts w:hint="eastAsia" w:ascii="楷体_GB2312" w:eastAsia="楷体_GB2312" w:cs="DengXian-Bold"/>
          <w:b/>
          <w:bCs/>
          <w:sz w:val="32"/>
          <w:szCs w:val="32"/>
        </w:rPr>
        <w:t>。</w:t>
      </w:r>
      <w:r>
        <w:rPr>
          <w:rFonts w:hint="eastAsia" w:ascii="仿宋_GB2312" w:eastAsia="仿宋_GB2312" w:cs="DengXian-Regular"/>
          <w:sz w:val="32"/>
          <w:szCs w:val="32"/>
        </w:rPr>
        <w:t>本部门2018年度因公出国（境）团组0个、共0人，</w:t>
      </w:r>
      <w:r>
        <w:rPr>
          <w:rFonts w:hint="eastAsia" w:ascii="仿宋" w:hAnsi="仿宋" w:eastAsia="仿宋" w:cs="宋体"/>
          <w:sz w:val="32"/>
          <w:szCs w:val="32"/>
        </w:rPr>
        <w:t>未发生</w:t>
      </w:r>
      <w:r>
        <w:rPr>
          <w:rFonts w:hint="eastAsia" w:ascii="仿宋" w:hAnsi="仿宋" w:eastAsia="仿宋" w:cs="DengXian-Regular"/>
          <w:sz w:val="32"/>
          <w:szCs w:val="32"/>
        </w:rPr>
        <w:t>因公出国</w:t>
      </w:r>
      <w:r>
        <w:rPr>
          <w:rFonts w:hint="eastAsia" w:ascii="仿宋_GB2312" w:eastAsia="仿宋_GB2312" w:cs="DengXian-Regular"/>
          <w:sz w:val="32"/>
          <w:szCs w:val="32"/>
        </w:rPr>
        <w:t>（境）的费用，</w:t>
      </w:r>
      <w:r>
        <w:rPr>
          <w:rFonts w:hint="eastAsia" w:ascii="仿宋" w:hAnsi="仿宋" w:eastAsia="仿宋" w:cs="DengXian-Regular"/>
          <w:sz w:val="32"/>
          <w:szCs w:val="32"/>
        </w:rPr>
        <w:t>与年初预算持平，无增减变化</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w:t>
      </w:r>
      <w:r>
        <w:rPr>
          <w:rFonts w:hint="eastAsia" w:ascii="仿宋" w:hAnsi="仿宋" w:eastAsia="仿宋" w:cs="DengXian-Bold"/>
          <w:b/>
          <w:bCs/>
          <w:sz w:val="32"/>
          <w:szCs w:val="32"/>
        </w:rPr>
        <w:t>公务用车购置及运行维护费支出</w:t>
      </w:r>
      <w:r>
        <w:rPr>
          <w:rFonts w:hint="eastAsia" w:ascii="仿宋" w:hAnsi="仿宋" w:eastAsia="仿宋" w:cs="宋体"/>
          <w:b/>
          <w:bCs/>
          <w:sz w:val="32"/>
          <w:szCs w:val="32"/>
        </w:rPr>
        <w:t>2.92</w:t>
      </w:r>
      <w:r>
        <w:rPr>
          <w:rFonts w:hint="eastAsia" w:ascii="仿宋" w:hAnsi="仿宋" w:eastAsia="仿宋" w:cs="DengXian-Bold"/>
          <w:b/>
          <w:bCs/>
          <w:sz w:val="32"/>
          <w:szCs w:val="32"/>
        </w:rPr>
        <w:t>万元</w:t>
      </w:r>
      <w:r>
        <w:rPr>
          <w:rFonts w:hint="eastAsia" w:ascii="楷体_GB2312" w:eastAsia="楷体_GB2312" w:cs="DengXian-Bold"/>
          <w:b/>
          <w:bCs/>
          <w:sz w:val="32"/>
          <w:szCs w:val="32"/>
        </w:rPr>
        <w:t>。</w:t>
      </w:r>
      <w:r>
        <w:rPr>
          <w:rFonts w:hint="eastAsia" w:ascii="仿宋_GB2312" w:eastAsia="仿宋_GB2312" w:cs="DengXian-Regular"/>
          <w:sz w:val="32"/>
          <w:szCs w:val="32"/>
        </w:rPr>
        <w:t>本部门2018年度公务用车购置及运行维护费较年初预算减少0.08万元，降低2.66%,主要是厉行节约,</w:t>
      </w:r>
      <w:r>
        <w:rPr>
          <w:rFonts w:hint="eastAsia" w:ascii="宋体" w:hAnsi="宋体" w:cs="宋体"/>
          <w:sz w:val="32"/>
          <w:szCs w:val="32"/>
        </w:rPr>
        <w:t>压减开支</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宋体" w:hAnsi="宋体" w:cs="宋体"/>
          <w:color w:val="000000" w:themeColor="text1"/>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w:t>
      </w:r>
      <w:r>
        <w:rPr>
          <w:rFonts w:hint="eastAsia" w:ascii="仿宋_GB2312" w:eastAsia="仿宋_GB2312" w:cs="DengXian-Regular"/>
          <w:color w:val="000000" w:themeColor="text1"/>
          <w:sz w:val="32"/>
          <w:szCs w:val="32"/>
        </w:rPr>
        <w:t>未发生‘公务用车购置’经费支出,</w:t>
      </w:r>
      <w:r>
        <w:rPr>
          <w:rFonts w:hint="eastAsia" w:ascii="仿宋" w:hAnsi="仿宋" w:eastAsia="仿宋" w:cs="宋体"/>
          <w:color w:val="000000" w:themeColor="text1"/>
          <w:sz w:val="32"/>
          <w:szCs w:val="32"/>
        </w:rPr>
        <w:t>与年初预算持平,</w:t>
      </w:r>
      <w:r>
        <w:rPr>
          <w:rFonts w:hint="eastAsia" w:ascii="仿宋" w:hAnsi="仿宋" w:eastAsia="仿宋" w:cs="DengXian-Regular"/>
          <w:sz w:val="32"/>
          <w:szCs w:val="32"/>
        </w:rPr>
        <w:t xml:space="preserve"> 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 w:hAnsi="仿宋" w:eastAsia="仿宋" w:cs="DengXian-Regular"/>
          <w:b/>
          <w:sz w:val="32"/>
          <w:szCs w:val="32"/>
        </w:rPr>
        <w:t>公务用车运行维护费</w:t>
      </w:r>
      <w:r>
        <w:rPr>
          <w:rFonts w:hint="eastAsia" w:ascii="仿宋_GB2312" w:eastAsia="仿宋_GB2312" w:cs="DengXian-Regular"/>
          <w:b/>
          <w:sz w:val="32"/>
          <w:szCs w:val="32"/>
        </w:rPr>
        <w:t>：</w:t>
      </w:r>
      <w:r>
        <w:rPr>
          <w:rFonts w:hint="eastAsia" w:ascii="仿宋_GB2312" w:eastAsia="仿宋_GB2312" w:cs="DengXian-Regular"/>
          <w:sz w:val="32"/>
          <w:szCs w:val="32"/>
        </w:rPr>
        <w:t>本部门2018年度单位公务用车保有量6辆。公车运行维护费2.</w:t>
      </w:r>
      <w:r>
        <w:rPr>
          <w:rFonts w:hint="eastAsia" w:ascii="宋体" w:hAnsi="宋体" w:cs="宋体"/>
          <w:sz w:val="32"/>
          <w:szCs w:val="32"/>
        </w:rPr>
        <w:t>92万元,</w:t>
      </w:r>
      <w:r>
        <w:rPr>
          <w:rFonts w:hint="eastAsia" w:ascii="仿宋_GB2312" w:eastAsia="仿宋_GB2312" w:cs="DengXian-Regular"/>
          <w:sz w:val="32"/>
          <w:szCs w:val="32"/>
        </w:rPr>
        <w:t>支出较年初预算减少0.08万元，降低2.66%,主要是厉行节约,</w:t>
      </w:r>
      <w:r>
        <w:rPr>
          <w:rFonts w:hint="eastAsia" w:ascii="仿宋" w:hAnsi="仿宋" w:eastAsia="仿宋" w:cs="宋体"/>
          <w:sz w:val="32"/>
          <w:szCs w:val="32"/>
        </w:rPr>
        <w:t>压减开支</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w:t>
      </w:r>
      <w:r>
        <w:rPr>
          <w:rFonts w:hint="eastAsia" w:ascii="仿宋" w:hAnsi="仿宋" w:eastAsia="仿宋" w:cs="DengXian-Bold"/>
          <w:b/>
          <w:bCs/>
          <w:sz w:val="32"/>
          <w:szCs w:val="32"/>
        </w:rPr>
        <w:t>公务接待费支出</w:t>
      </w:r>
      <w:r>
        <w:rPr>
          <w:rFonts w:hint="eastAsia" w:ascii="仿宋" w:hAnsi="仿宋" w:eastAsia="仿宋" w:cs="宋体"/>
          <w:b/>
          <w:bCs/>
          <w:sz w:val="32"/>
          <w:szCs w:val="32"/>
        </w:rPr>
        <w:t>0</w:t>
      </w:r>
      <w:r>
        <w:rPr>
          <w:rFonts w:hint="eastAsia" w:ascii="仿宋" w:hAnsi="仿宋" w:eastAsia="仿宋" w:cs="DengXian-Bold"/>
          <w:b/>
          <w:bCs/>
          <w:sz w:val="32"/>
          <w:szCs w:val="32"/>
        </w:rPr>
        <w:t>万元</w:t>
      </w:r>
      <w:r>
        <w:rPr>
          <w:rFonts w:hint="eastAsia" w:ascii="楷体_GB2312" w:eastAsia="楷体_GB2312" w:cs="DengXian-Bold"/>
          <w:b/>
          <w:bCs/>
          <w:sz w:val="32"/>
          <w:szCs w:val="32"/>
        </w:rPr>
        <w:t>。</w:t>
      </w:r>
      <w:r>
        <w:rPr>
          <w:rFonts w:hint="eastAsia" w:ascii="仿宋_GB2312" w:eastAsia="仿宋_GB2312" w:cs="DengXian-Regular"/>
          <w:sz w:val="32"/>
          <w:szCs w:val="32"/>
        </w:rPr>
        <w:t>本部门2018年度公务接待共0批次、0人次。</w:t>
      </w:r>
      <w:r>
        <w:rPr>
          <w:rFonts w:hint="eastAsia" w:ascii="仿宋_GB2312" w:eastAsia="仿宋_GB2312" w:cs="DengXian-Regular"/>
          <w:color w:val="000000" w:themeColor="text1"/>
          <w:sz w:val="32"/>
          <w:szCs w:val="32"/>
        </w:rPr>
        <w:t>未发生‘</w:t>
      </w:r>
      <w:r>
        <w:rPr>
          <w:rFonts w:hint="eastAsia" w:ascii="仿宋" w:hAnsi="仿宋" w:eastAsia="仿宋" w:cs="DengXian-Bold"/>
          <w:bCs/>
          <w:sz w:val="32"/>
          <w:szCs w:val="32"/>
        </w:rPr>
        <w:t>公务接待费</w:t>
      </w:r>
      <w:r>
        <w:rPr>
          <w:rFonts w:hint="eastAsia" w:ascii="仿宋_GB2312" w:eastAsia="仿宋_GB2312" w:cs="DengXian-Regular"/>
          <w:color w:val="000000" w:themeColor="text1"/>
          <w:sz w:val="32"/>
          <w:szCs w:val="32"/>
        </w:rPr>
        <w:t>’经费支出,</w:t>
      </w:r>
      <w:r>
        <w:rPr>
          <w:rFonts w:hint="eastAsia" w:ascii="仿宋" w:hAnsi="仿宋" w:eastAsia="仿宋" w:cs="宋体"/>
          <w:color w:val="000000" w:themeColor="text1"/>
          <w:sz w:val="32"/>
          <w:szCs w:val="32"/>
        </w:rPr>
        <w:t>与年初预算持平,</w:t>
      </w:r>
      <w:r>
        <w:rPr>
          <w:rFonts w:hint="eastAsia" w:ascii="仿宋" w:hAnsi="仿宋" w:eastAsia="仿宋" w:cs="DengXian-Regular"/>
          <w:sz w:val="32"/>
          <w:szCs w:val="32"/>
        </w:rPr>
        <w:t xml:space="preserve"> 无增减变化</w:t>
      </w:r>
      <w:r>
        <w:rPr>
          <w:rFonts w:hint="eastAsia" w:ascii="宋体" w:hAnsi="宋体" w:cs="宋体"/>
          <w:color w:val="000000" w:themeColor="text1"/>
          <w:sz w:val="32"/>
          <w:szCs w:val="32"/>
        </w:rPr>
        <w:t>。</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w:t>
      </w:r>
      <w:r>
        <w:rPr>
          <w:rFonts w:hint="eastAsia" w:ascii="仿宋" w:hAnsi="仿宋" w:eastAsia="仿宋" w:cs="DengXian-Regular"/>
          <w:sz w:val="32"/>
          <w:szCs w:val="32"/>
        </w:rPr>
        <w:t>涉及地下水超采、木刀沟占地补偿、老磁河综合治理</w:t>
      </w:r>
      <w:r>
        <w:rPr>
          <w:rFonts w:hint="eastAsia" w:ascii="仿宋_GB2312" w:eastAsia="仿宋_GB2312" w:cs="DengXian-Regular"/>
          <w:sz w:val="32"/>
          <w:szCs w:val="32"/>
        </w:rPr>
        <w:t>等</w:t>
      </w:r>
      <w:r>
        <w:rPr>
          <w:rFonts w:hint="eastAsia" w:ascii="宋体" w:hAnsi="宋体" w:cs="宋体"/>
          <w:sz w:val="32"/>
          <w:szCs w:val="32"/>
        </w:rPr>
        <w:t>13</w:t>
      </w:r>
      <w:r>
        <w:rPr>
          <w:rFonts w:hint="eastAsia" w:ascii="仿宋_GB2312" w:eastAsia="仿宋_GB2312" w:cs="DengXian-Regular"/>
          <w:sz w:val="32"/>
          <w:szCs w:val="32"/>
        </w:rPr>
        <w:t>个项目，涉及资金4386.52万元。从评价情况看，评价结果为良好的项目有13个。</w:t>
      </w:r>
    </w:p>
    <w:p>
      <w:pPr>
        <w:adjustRightInd w:val="0"/>
        <w:snapToGrid w:val="0"/>
        <w:spacing w:after="0" w:line="58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_GB2312" w:eastAsia="仿宋_GB2312" w:cs="DengXian-Regular"/>
          <w:sz w:val="32"/>
          <w:szCs w:val="32"/>
        </w:rPr>
        <w:t>本单位</w:t>
      </w:r>
      <w:r>
        <w:rPr>
          <w:rFonts w:hint="eastAsia" w:ascii="仿宋" w:hAnsi="仿宋" w:eastAsia="仿宋" w:cs="宋体"/>
          <w:sz w:val="32"/>
          <w:szCs w:val="32"/>
        </w:rPr>
        <w:t>中小河流治理</w:t>
      </w:r>
      <w:r>
        <w:rPr>
          <w:rFonts w:hint="eastAsia" w:ascii="仿宋_GB2312" w:eastAsia="仿宋_GB2312" w:cs="DengXian-Regular"/>
          <w:sz w:val="32"/>
          <w:szCs w:val="32"/>
        </w:rPr>
        <w:t>项目绩效自评：根据年初设定的绩效目标，</w:t>
      </w:r>
      <w:r>
        <w:rPr>
          <w:rFonts w:hint="eastAsia" w:ascii="仿宋" w:hAnsi="仿宋" w:eastAsia="仿宋" w:cs="宋体"/>
          <w:sz w:val="32"/>
          <w:szCs w:val="32"/>
        </w:rPr>
        <w:t>中小河流治理</w:t>
      </w:r>
      <w:r>
        <w:rPr>
          <w:rFonts w:hint="eastAsia" w:ascii="仿宋_GB2312" w:eastAsia="仿宋_GB2312" w:cs="DengXian-Regular"/>
          <w:sz w:val="32"/>
          <w:szCs w:val="32"/>
        </w:rPr>
        <w:t>项目绩效自评结果为良好。项目全年预算数为2</w:t>
      </w:r>
      <w:r>
        <w:rPr>
          <w:rFonts w:hint="eastAsia" w:ascii="宋体" w:hAnsi="宋体" w:cs="宋体"/>
          <w:sz w:val="32"/>
          <w:szCs w:val="32"/>
        </w:rPr>
        <w:t>976</w:t>
      </w:r>
      <w:r>
        <w:rPr>
          <w:rFonts w:hint="eastAsia" w:ascii="仿宋_GB2312" w:eastAsia="仿宋_GB2312" w:cs="DengXian-Regular"/>
          <w:sz w:val="32"/>
          <w:szCs w:val="32"/>
        </w:rPr>
        <w:t>万元，执行数为2080万元，完成预算的70%。主要产出和效果是</w:t>
      </w:r>
      <w:r>
        <w:rPr>
          <w:rFonts w:hint="eastAsia" w:ascii="宋体" w:hAnsi="宋体" w:cs="宋体"/>
          <w:sz w:val="32"/>
          <w:szCs w:val="32"/>
        </w:rPr>
        <w:t>:</w:t>
      </w:r>
      <w:r>
        <w:rPr>
          <w:rFonts w:hint="eastAsia" w:ascii="仿宋" w:hAnsi="仿宋" w:eastAsia="仿宋" w:cs="宋体"/>
          <w:sz w:val="32"/>
          <w:szCs w:val="32"/>
        </w:rPr>
        <w:t>完成中小河流治理长度25.7公里，截止到2018年底完成建设任务的70%，中小河流每公里财政投入80万元；中小河流治理保护人口7万人。未发现其它问题。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本部门2018年度机关运行经费支出277.</w:t>
      </w:r>
      <w:r>
        <w:rPr>
          <w:rFonts w:hint="eastAsia" w:ascii="宋体" w:hAnsi="宋体" w:cs="宋体"/>
          <w:sz w:val="32"/>
          <w:szCs w:val="32"/>
        </w:rPr>
        <w:t>97</w:t>
      </w:r>
      <w:r>
        <w:rPr>
          <w:rFonts w:hint="eastAsia" w:ascii="仿宋_GB2312" w:eastAsia="仿宋_GB2312" w:cs="DengXian-Regular"/>
          <w:sz w:val="32"/>
          <w:szCs w:val="32"/>
        </w:rPr>
        <w:t>万元，比年初预算数增加272.45万元，增长4</w:t>
      </w:r>
      <w:r>
        <w:rPr>
          <w:rFonts w:hint="eastAsia" w:ascii="宋体" w:hAnsi="宋体" w:cs="宋体"/>
          <w:sz w:val="32"/>
          <w:szCs w:val="32"/>
        </w:rPr>
        <w:t>935.69</w:t>
      </w:r>
      <w:r>
        <w:rPr>
          <w:rFonts w:hint="eastAsia" w:ascii="仿宋_GB2312" w:eastAsia="仿宋_GB2312" w:cs="DengXian-Regular"/>
          <w:sz w:val="32"/>
          <w:szCs w:val="32"/>
        </w:rPr>
        <w:t>%。主要原因是费改税改革，</w:t>
      </w:r>
      <w:r>
        <w:rPr>
          <w:rFonts w:hint="eastAsia" w:ascii="仿宋" w:hAnsi="仿宋" w:eastAsia="仿宋" w:cs="DengXian-Regular"/>
          <w:sz w:val="32"/>
          <w:szCs w:val="32"/>
        </w:rPr>
        <w:t>取消了水资源费的征收</w:t>
      </w:r>
      <w:r>
        <w:rPr>
          <w:rFonts w:hint="eastAsia" w:ascii="仿宋" w:hAnsi="仿宋" w:eastAsia="仿宋" w:cs="宋体"/>
          <w:sz w:val="32"/>
          <w:szCs w:val="32"/>
        </w:rPr>
        <w:t>，对预算进行了调整</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本部门2018年度政府采购支出总额308</w:t>
      </w:r>
      <w:r>
        <w:rPr>
          <w:rFonts w:hint="eastAsia" w:ascii="宋体" w:hAnsi="宋体" w:cs="宋体"/>
          <w:sz w:val="32"/>
          <w:szCs w:val="32"/>
        </w:rPr>
        <w:t>9.14</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55.7</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2863</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170.44</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2863</w:t>
      </w:r>
      <w:r>
        <w:rPr>
          <w:rFonts w:ascii="仿宋_GB2312" w:hAnsi="仿宋_GB2312" w:eastAsia="仿宋_GB2312" w:cs="仿宋_GB2312"/>
          <w:color w:val="000000"/>
          <w:kern w:val="0"/>
          <w:sz w:val="32"/>
          <w:szCs w:val="32"/>
        </w:rPr>
        <w:t>万元，占政府采购支出总额的</w:t>
      </w:r>
      <w:r>
        <w:rPr>
          <w:rFonts w:hint="eastAsia" w:ascii="宋体" w:hAnsi="宋体" w:cs="宋体"/>
          <w:color w:val="000000"/>
          <w:kern w:val="0"/>
          <w:sz w:val="32"/>
          <w:szCs w:val="32"/>
        </w:rPr>
        <w:t>92.68</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226.14</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7.32</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截至2018年12月31日，本部门共有车辆6辆，比上年减少1辆，主要是</w:t>
      </w:r>
      <w:r>
        <w:rPr>
          <w:rFonts w:hint="eastAsia" w:ascii="仿宋" w:hAnsi="仿宋" w:eastAsia="仿宋" w:cs="宋体"/>
          <w:sz w:val="32"/>
          <w:szCs w:val="32"/>
        </w:rPr>
        <w:t>划转老干部局</w:t>
      </w:r>
      <w:r>
        <w:rPr>
          <w:rFonts w:hint="eastAsia" w:ascii="仿宋" w:hAnsi="仿宋" w:eastAsia="仿宋" w:cs="DengXian-Regular"/>
          <w:sz w:val="32"/>
          <w:szCs w:val="32"/>
        </w:rPr>
        <w:t>汽车一辆</w:t>
      </w:r>
      <w:r>
        <w:rPr>
          <w:rFonts w:hint="eastAsia" w:ascii="仿宋_GB2312" w:eastAsia="仿宋_GB2312" w:cs="DengXian-Regular"/>
          <w:sz w:val="32"/>
          <w:szCs w:val="32"/>
        </w:rPr>
        <w:t>。其中，副部（省）级及以上领导用车0辆，主要领导干部用车0辆，机要通信用车1辆，应急保障用车0辆，执法执勤用车0辆，特种专业技术用车0辆，离退休干部用车0辆，其他用车5辆，其他用车主要是</w:t>
      </w:r>
      <w:r>
        <w:rPr>
          <w:rFonts w:hint="eastAsia" w:ascii="仿宋" w:hAnsi="仿宋" w:eastAsia="仿宋" w:cs="宋体"/>
          <w:sz w:val="32"/>
          <w:szCs w:val="32"/>
        </w:rPr>
        <w:t>用于水厂抄表及河道巡查</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万元以上通用设备0台（套），比上年增加0套，主要是</w:t>
      </w:r>
      <w:r>
        <w:rPr>
          <w:rFonts w:hint="eastAsia" w:ascii="仿宋" w:hAnsi="仿宋" w:eastAsia="仿宋" w:cs="宋体"/>
          <w:sz w:val="32"/>
          <w:szCs w:val="32"/>
        </w:rPr>
        <w:t>本部门无</w:t>
      </w:r>
      <w:r>
        <w:rPr>
          <w:rFonts w:hint="eastAsia" w:ascii="仿宋" w:hAnsi="仿宋" w:eastAsia="仿宋" w:cs="DengXian-Regular"/>
          <w:sz w:val="32"/>
          <w:szCs w:val="32"/>
        </w:rPr>
        <w:t>价值</w:t>
      </w:r>
      <w:r>
        <w:rPr>
          <w:rFonts w:hint="eastAsia" w:ascii="仿宋" w:hAnsi="仿宋" w:eastAsia="仿宋" w:cs="TimesNewRomanPSMT"/>
          <w:sz w:val="32"/>
          <w:szCs w:val="32"/>
        </w:rPr>
        <w:t>50</w:t>
      </w:r>
      <w:r>
        <w:rPr>
          <w:rFonts w:hint="eastAsia" w:ascii="仿宋" w:hAnsi="仿宋" w:eastAsia="仿宋" w:cs="DengXian-Regular"/>
          <w:sz w:val="32"/>
          <w:szCs w:val="32"/>
        </w:rPr>
        <w:t>万元以上的通用设备</w:t>
      </w:r>
      <w:r>
        <w:rPr>
          <w:rFonts w:hint="eastAsia" w:ascii="仿宋_GB2312"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万元以上专用设备0台（套）比上年增加0套,主要是</w:t>
      </w:r>
      <w:r>
        <w:rPr>
          <w:rFonts w:hint="eastAsia" w:ascii="仿宋" w:hAnsi="仿宋" w:eastAsia="仿宋" w:cs="宋体"/>
          <w:sz w:val="32"/>
          <w:szCs w:val="32"/>
        </w:rPr>
        <w:t>本部门无</w:t>
      </w:r>
      <w:r>
        <w:rPr>
          <w:rFonts w:hint="eastAsia" w:ascii="仿宋" w:hAnsi="仿宋" w:eastAsia="仿宋" w:cs="DengXian-Regular"/>
          <w:sz w:val="32"/>
          <w:szCs w:val="32"/>
        </w:rPr>
        <w:t>价值</w:t>
      </w:r>
      <w:r>
        <w:rPr>
          <w:rFonts w:hint="eastAsia" w:ascii="仿宋" w:hAnsi="仿宋" w:eastAsia="仿宋" w:cs="TimesNewRomanPSMT"/>
          <w:sz w:val="32"/>
          <w:szCs w:val="32"/>
        </w:rPr>
        <w:t>100</w:t>
      </w:r>
      <w:r>
        <w:rPr>
          <w:rFonts w:hint="eastAsia" w:ascii="仿宋" w:hAnsi="仿宋" w:eastAsia="仿宋" w:cs="DengXian-Regular"/>
          <w:sz w:val="32"/>
          <w:szCs w:val="32"/>
        </w:rPr>
        <w:t>万元以上专用设备</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1、本部门2018年度无国有资本经营预算财政拨款支出，故国有资本经营预算财政拨款支出决算表以空表列示。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473DB5D-4B95-4135-867E-715B5407487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CCC91B27-D0B7-48B8-83CC-D28464F05872}"/>
  </w:font>
  <w:font w:name="楷体">
    <w:panose1 w:val="02010609060101010101"/>
    <w:charset w:val="86"/>
    <w:family w:val="modern"/>
    <w:pitch w:val="default"/>
    <w:sig w:usb0="800002BF" w:usb1="38CF7CFA" w:usb2="00000016" w:usb3="00000000" w:csb0="00040001" w:csb1="00000000"/>
    <w:embedRegular r:id="rId3" w:fontKey="{408B62E6-2899-4BF4-AAE0-112A92DBB224}"/>
  </w:font>
  <w:font w:name="楷体_GB2312">
    <w:panose1 w:val="02010609030101010101"/>
    <w:charset w:val="86"/>
    <w:family w:val="modern"/>
    <w:pitch w:val="default"/>
    <w:sig w:usb0="00000001" w:usb1="080E0000" w:usb2="00000000" w:usb3="00000000" w:csb0="00040000" w:csb1="00000000"/>
    <w:embedRegular r:id="rId4" w:fontKey="{9C92DA7F-BCD2-495F-9DEE-5AD4F75B05DC}"/>
  </w:font>
  <w:font w:name="仿宋_GB2312">
    <w:panose1 w:val="02010609030101010101"/>
    <w:charset w:val="86"/>
    <w:family w:val="modern"/>
    <w:pitch w:val="default"/>
    <w:sig w:usb0="00000001" w:usb1="080E0000" w:usb2="00000000" w:usb3="00000000" w:csb0="00040000" w:csb1="00000000"/>
    <w:embedRegular r:id="rId5" w:fontKey="{F9A8AAF8-E6E8-44D1-B965-2D02B51EF6FA}"/>
  </w:font>
  <w:font w:name="ArialUnicodeMS">
    <w:altName w:val="Malgun Gothic"/>
    <w:panose1 w:val="00000000000000000000"/>
    <w:charset w:val="81"/>
    <w:family w:val="auto"/>
    <w:pitch w:val="default"/>
    <w:sig w:usb0="00000000" w:usb1="00000000" w:usb2="00000010" w:usb3="00000000" w:csb0="00080001" w:csb1="00000000"/>
    <w:embedRegular r:id="rId6" w:fontKey="{00CE9ED0-C036-46E4-B368-B4FDDC18990F}"/>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embedRegular r:id="rId7" w:fontKey="{71CCFF26-FC5D-495C-8930-C3AEA8998A73}"/>
  </w:font>
  <w:font w:name="MS-UIGothic,Bold">
    <w:altName w:val="Malgun Gothic"/>
    <w:panose1 w:val="00000000000000000000"/>
    <w:charset w:val="81"/>
    <w:family w:val="auto"/>
    <w:pitch w:val="default"/>
    <w:sig w:usb0="00000000" w:usb1="00000000" w:usb2="00000010" w:usb3="00000000" w:csb0="00080000" w:csb1="00000000"/>
    <w:embedRegular r:id="rId8" w:fontKey="{0FE2461E-5F7E-4D49-93EB-1EB0A740DFE3}"/>
  </w:font>
  <w:font w:name="Arial">
    <w:panose1 w:val="020B0604020202020204"/>
    <w:charset w:val="00"/>
    <w:family w:val="swiss"/>
    <w:pitch w:val="default"/>
    <w:sig w:usb0="E0002EFF" w:usb1="C000785B" w:usb2="00000009" w:usb3="00000000" w:csb0="400001FF" w:csb1="FFFF0000"/>
    <w:embedRegular r:id="rId9" w:fontKey="{F5AB1E00-92FE-435F-B372-EB0C863406B6}"/>
  </w:font>
  <w:font w:name="DengXian-Regular">
    <w:altName w:val="宋体"/>
    <w:panose1 w:val="00000000000000000000"/>
    <w:charset w:val="86"/>
    <w:family w:val="auto"/>
    <w:pitch w:val="default"/>
    <w:sig w:usb0="00000000" w:usb1="00000000" w:usb2="00000010" w:usb3="00000000" w:csb0="00040001" w:csb1="00000000"/>
    <w:embedRegular r:id="rId10" w:fontKey="{17E9E7F1-A8E3-4E78-9FEB-40E192359A38}"/>
  </w:font>
  <w:font w:name="DengXian-Bold">
    <w:altName w:val="宋体"/>
    <w:panose1 w:val="00000000000000000000"/>
    <w:charset w:val="86"/>
    <w:family w:val="auto"/>
    <w:pitch w:val="default"/>
    <w:sig w:usb0="00000000" w:usb1="00000000" w:usb2="00000010" w:usb3="00000000" w:csb0="00040001" w:csb1="00000000"/>
    <w:embedRegular r:id="rId11" w:fontKey="{1ACF3B43-889E-4C21-BAE1-05D948E9BA6A}"/>
  </w:font>
  <w:font w:name="TimesNewRomanPSMT">
    <w:altName w:val="Arial"/>
    <w:panose1 w:val="00000000000000000000"/>
    <w:charset w:val="00"/>
    <w:family w:val="swiss"/>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0D8"/>
    <w:rsid w:val="000838C3"/>
    <w:rsid w:val="00086B3A"/>
    <w:rsid w:val="000A5992"/>
    <w:rsid w:val="000A5FBC"/>
    <w:rsid w:val="000B2446"/>
    <w:rsid w:val="000B32CB"/>
    <w:rsid w:val="000B4660"/>
    <w:rsid w:val="000D7C65"/>
    <w:rsid w:val="000E2F81"/>
    <w:rsid w:val="000E4659"/>
    <w:rsid w:val="00115CD9"/>
    <w:rsid w:val="00117946"/>
    <w:rsid w:val="00117E2C"/>
    <w:rsid w:val="00130F0C"/>
    <w:rsid w:val="00146B1E"/>
    <w:rsid w:val="00146C47"/>
    <w:rsid w:val="00152FB8"/>
    <w:rsid w:val="00176658"/>
    <w:rsid w:val="00181173"/>
    <w:rsid w:val="0018239E"/>
    <w:rsid w:val="001A071C"/>
    <w:rsid w:val="001B3410"/>
    <w:rsid w:val="001C030D"/>
    <w:rsid w:val="001C4A84"/>
    <w:rsid w:val="001C5068"/>
    <w:rsid w:val="001E5902"/>
    <w:rsid w:val="001E7A08"/>
    <w:rsid w:val="002073FE"/>
    <w:rsid w:val="00221B5E"/>
    <w:rsid w:val="00224E91"/>
    <w:rsid w:val="00233705"/>
    <w:rsid w:val="00261916"/>
    <w:rsid w:val="00261ECE"/>
    <w:rsid w:val="00275CA2"/>
    <w:rsid w:val="00280543"/>
    <w:rsid w:val="00281E62"/>
    <w:rsid w:val="002A65A5"/>
    <w:rsid w:val="002C04C4"/>
    <w:rsid w:val="002D08B0"/>
    <w:rsid w:val="002D1AE3"/>
    <w:rsid w:val="002E6C69"/>
    <w:rsid w:val="002F2ECE"/>
    <w:rsid w:val="00314DE3"/>
    <w:rsid w:val="00341C8F"/>
    <w:rsid w:val="0035463A"/>
    <w:rsid w:val="003704B5"/>
    <w:rsid w:val="003771E7"/>
    <w:rsid w:val="003879D4"/>
    <w:rsid w:val="00391D9D"/>
    <w:rsid w:val="00391E1D"/>
    <w:rsid w:val="003A34FB"/>
    <w:rsid w:val="003B6C51"/>
    <w:rsid w:val="003C1413"/>
    <w:rsid w:val="003C549F"/>
    <w:rsid w:val="003C7631"/>
    <w:rsid w:val="003D5A16"/>
    <w:rsid w:val="003E7DB3"/>
    <w:rsid w:val="003F7EC9"/>
    <w:rsid w:val="00431175"/>
    <w:rsid w:val="00446913"/>
    <w:rsid w:val="00453CF8"/>
    <w:rsid w:val="0046673D"/>
    <w:rsid w:val="00467CCA"/>
    <w:rsid w:val="004B5AE6"/>
    <w:rsid w:val="004B6E37"/>
    <w:rsid w:val="004C32BA"/>
    <w:rsid w:val="004C7664"/>
    <w:rsid w:val="00501E24"/>
    <w:rsid w:val="00502871"/>
    <w:rsid w:val="00513053"/>
    <w:rsid w:val="005207DC"/>
    <w:rsid w:val="00531947"/>
    <w:rsid w:val="00560282"/>
    <w:rsid w:val="005705A2"/>
    <w:rsid w:val="00575922"/>
    <w:rsid w:val="0057753E"/>
    <w:rsid w:val="00597297"/>
    <w:rsid w:val="005A6C90"/>
    <w:rsid w:val="005E3FB0"/>
    <w:rsid w:val="005F15D8"/>
    <w:rsid w:val="005F4B66"/>
    <w:rsid w:val="005F5208"/>
    <w:rsid w:val="00620AD1"/>
    <w:rsid w:val="00641318"/>
    <w:rsid w:val="0064405D"/>
    <w:rsid w:val="0067248B"/>
    <w:rsid w:val="00685302"/>
    <w:rsid w:val="00695557"/>
    <w:rsid w:val="006A6307"/>
    <w:rsid w:val="006D4EA7"/>
    <w:rsid w:val="006F2B6D"/>
    <w:rsid w:val="0070012A"/>
    <w:rsid w:val="0070664B"/>
    <w:rsid w:val="007071B8"/>
    <w:rsid w:val="00723771"/>
    <w:rsid w:val="00724B25"/>
    <w:rsid w:val="00724D12"/>
    <w:rsid w:val="007414DE"/>
    <w:rsid w:val="0074209C"/>
    <w:rsid w:val="0076543E"/>
    <w:rsid w:val="007905A9"/>
    <w:rsid w:val="007A33CB"/>
    <w:rsid w:val="007B4AF5"/>
    <w:rsid w:val="007C17FE"/>
    <w:rsid w:val="007E5500"/>
    <w:rsid w:val="007F055B"/>
    <w:rsid w:val="0080644C"/>
    <w:rsid w:val="0080659F"/>
    <w:rsid w:val="00811C2F"/>
    <w:rsid w:val="00814212"/>
    <w:rsid w:val="00816428"/>
    <w:rsid w:val="00824B63"/>
    <w:rsid w:val="00833D46"/>
    <w:rsid w:val="00840A97"/>
    <w:rsid w:val="008545B4"/>
    <w:rsid w:val="00875609"/>
    <w:rsid w:val="008A7179"/>
    <w:rsid w:val="008C0149"/>
    <w:rsid w:val="008C689C"/>
    <w:rsid w:val="008D2B26"/>
    <w:rsid w:val="008D5DED"/>
    <w:rsid w:val="008D6F61"/>
    <w:rsid w:val="008E25CA"/>
    <w:rsid w:val="008F34FC"/>
    <w:rsid w:val="009049B1"/>
    <w:rsid w:val="00933C54"/>
    <w:rsid w:val="00935058"/>
    <w:rsid w:val="00944CD7"/>
    <w:rsid w:val="00954259"/>
    <w:rsid w:val="009831B2"/>
    <w:rsid w:val="00996A72"/>
    <w:rsid w:val="009A1ABE"/>
    <w:rsid w:val="009D3402"/>
    <w:rsid w:val="009E21A4"/>
    <w:rsid w:val="009E24C7"/>
    <w:rsid w:val="009E5807"/>
    <w:rsid w:val="009F22C6"/>
    <w:rsid w:val="00A01A8C"/>
    <w:rsid w:val="00A07E50"/>
    <w:rsid w:val="00A15397"/>
    <w:rsid w:val="00A30C1E"/>
    <w:rsid w:val="00A35CE0"/>
    <w:rsid w:val="00A4462E"/>
    <w:rsid w:val="00A44AA4"/>
    <w:rsid w:val="00A50B12"/>
    <w:rsid w:val="00A61623"/>
    <w:rsid w:val="00A7193F"/>
    <w:rsid w:val="00A752B9"/>
    <w:rsid w:val="00A77DAB"/>
    <w:rsid w:val="00A84687"/>
    <w:rsid w:val="00A8683A"/>
    <w:rsid w:val="00A91CD2"/>
    <w:rsid w:val="00AB0A0E"/>
    <w:rsid w:val="00AD3B6E"/>
    <w:rsid w:val="00AD7926"/>
    <w:rsid w:val="00B1702F"/>
    <w:rsid w:val="00B1751F"/>
    <w:rsid w:val="00B4375F"/>
    <w:rsid w:val="00B46FDA"/>
    <w:rsid w:val="00B545D5"/>
    <w:rsid w:val="00B56722"/>
    <w:rsid w:val="00B6077A"/>
    <w:rsid w:val="00B626AF"/>
    <w:rsid w:val="00B66D1A"/>
    <w:rsid w:val="00B73F96"/>
    <w:rsid w:val="00B74D39"/>
    <w:rsid w:val="00B91DA4"/>
    <w:rsid w:val="00BA21AB"/>
    <w:rsid w:val="00BA6853"/>
    <w:rsid w:val="00BB3295"/>
    <w:rsid w:val="00BC78F1"/>
    <w:rsid w:val="00BE0079"/>
    <w:rsid w:val="00C03255"/>
    <w:rsid w:val="00C12630"/>
    <w:rsid w:val="00C34562"/>
    <w:rsid w:val="00C3774E"/>
    <w:rsid w:val="00C547BC"/>
    <w:rsid w:val="00C55419"/>
    <w:rsid w:val="00C5639F"/>
    <w:rsid w:val="00C57456"/>
    <w:rsid w:val="00C64141"/>
    <w:rsid w:val="00C65387"/>
    <w:rsid w:val="00C66BB5"/>
    <w:rsid w:val="00C7555A"/>
    <w:rsid w:val="00C87FAB"/>
    <w:rsid w:val="00C91FF7"/>
    <w:rsid w:val="00C94E53"/>
    <w:rsid w:val="00C953D0"/>
    <w:rsid w:val="00CA14C7"/>
    <w:rsid w:val="00CA3635"/>
    <w:rsid w:val="00CD301C"/>
    <w:rsid w:val="00CF1304"/>
    <w:rsid w:val="00D0048E"/>
    <w:rsid w:val="00D100F0"/>
    <w:rsid w:val="00D23E7A"/>
    <w:rsid w:val="00D61063"/>
    <w:rsid w:val="00D67F07"/>
    <w:rsid w:val="00DA1858"/>
    <w:rsid w:val="00DA4C0D"/>
    <w:rsid w:val="00DB35AF"/>
    <w:rsid w:val="00DC78E5"/>
    <w:rsid w:val="00DD3320"/>
    <w:rsid w:val="00DD72D7"/>
    <w:rsid w:val="00DF5B88"/>
    <w:rsid w:val="00DF6476"/>
    <w:rsid w:val="00DF76F5"/>
    <w:rsid w:val="00E00E71"/>
    <w:rsid w:val="00E0589E"/>
    <w:rsid w:val="00E241FA"/>
    <w:rsid w:val="00E2595E"/>
    <w:rsid w:val="00E35374"/>
    <w:rsid w:val="00E44C21"/>
    <w:rsid w:val="00E50C19"/>
    <w:rsid w:val="00E64655"/>
    <w:rsid w:val="00E73081"/>
    <w:rsid w:val="00E856C9"/>
    <w:rsid w:val="00E8744D"/>
    <w:rsid w:val="00EB6A8B"/>
    <w:rsid w:val="00EE2274"/>
    <w:rsid w:val="00EF38C6"/>
    <w:rsid w:val="00F10976"/>
    <w:rsid w:val="00F410C2"/>
    <w:rsid w:val="00F679C7"/>
    <w:rsid w:val="00F7711A"/>
    <w:rsid w:val="00F912B3"/>
    <w:rsid w:val="00FA0D58"/>
    <w:rsid w:val="00FA56F4"/>
    <w:rsid w:val="00FB4EDA"/>
    <w:rsid w:val="00FD3BD5"/>
    <w:rsid w:val="00FE3DC8"/>
    <w:rsid w:val="04073F84"/>
    <w:rsid w:val="0B60750A"/>
    <w:rsid w:val="10686488"/>
    <w:rsid w:val="10DF728A"/>
    <w:rsid w:val="1264200E"/>
    <w:rsid w:val="141C5B77"/>
    <w:rsid w:val="18D8339D"/>
    <w:rsid w:val="1A21388F"/>
    <w:rsid w:val="1A570D2F"/>
    <w:rsid w:val="28FB0B8D"/>
    <w:rsid w:val="2A9870FC"/>
    <w:rsid w:val="2D2B7942"/>
    <w:rsid w:val="2D46481D"/>
    <w:rsid w:val="2E733B28"/>
    <w:rsid w:val="31852B5A"/>
    <w:rsid w:val="32D01238"/>
    <w:rsid w:val="3DFC59A8"/>
    <w:rsid w:val="3ECF245E"/>
    <w:rsid w:val="3FB96314"/>
    <w:rsid w:val="48170A97"/>
    <w:rsid w:val="53A44FAF"/>
    <w:rsid w:val="594329EC"/>
    <w:rsid w:val="5BEE1540"/>
    <w:rsid w:val="5DE61A5D"/>
    <w:rsid w:val="5EB16356"/>
    <w:rsid w:val="63C04243"/>
    <w:rsid w:val="649C01C7"/>
    <w:rsid w:val="64EE1D17"/>
    <w:rsid w:val="699A3F60"/>
    <w:rsid w:val="72902E62"/>
    <w:rsid w:val="73C61104"/>
    <w:rsid w:val="751C6F69"/>
    <w:rsid w:val="776452EA"/>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3.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4.jpeg"/><Relationship Id="rId14" Type="http://schemas.openxmlformats.org/officeDocument/2006/relationships/chart" Target="charts/chart5.xml"/><Relationship Id="rId13" Type="http://schemas.openxmlformats.org/officeDocument/2006/relationships/chart" Target="charts/chart4.xml"/><Relationship Id="rId12" Type="http://schemas.openxmlformats.org/officeDocument/2006/relationships/chart" Target="charts/chart3.xml"/><Relationship Id="rId11" Type="http://schemas.openxmlformats.org/officeDocument/2006/relationships/chart" Target="charts/chart2.xml"/><Relationship Id="rId10" Type="http://schemas.openxmlformats.org/officeDocument/2006/relationships/image" Target="media/image3.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oleObject" Target="file:///H:\&#37096;&#38376;&#20915;&#31639;&#20844;&#24320;&#21046;&#22270;&#27169;&#26495;&#65288;&#20462;&#25913;&#29256;&#6528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37096;&#38376;&#20915;&#31639;&#20844;&#24320;&#21046;&#22270;&#27169;&#26495;&#65288;&#20462;&#25913;&#29256;&#65289;.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H:\&#37096;&#38376;&#20915;&#31639;&#20844;&#24320;&#21046;&#22270;&#27169;&#26495;&#65288;&#20462;&#25913;&#29256;&#65289;.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H:\&#37096;&#38376;&#20915;&#31639;&#20844;&#24320;&#21046;&#22270;&#27169;&#26495;&#65288;&#20462;&#25913;&#29256;&#65289;.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H:\&#37096;&#38376;&#20915;&#31639;&#20844;&#24320;&#21046;&#22270;&#27169;&#26495;&#65288;&#20462;&#25913;&#29256;&#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201"/>
          <c:y val="0.850746268656717"/>
        </c:manualLayout>
      </c:layout>
      <c:overlay val="0"/>
    </c:title>
    <c:autoTitleDeleted val="0"/>
    <c:plotArea>
      <c:layout>
        <c:manualLayout>
          <c:layoutTarget val="inner"/>
          <c:xMode val="edge"/>
          <c:yMode val="edge"/>
          <c:x val="0.0943148809218805"/>
          <c:y val="0.0575245818153331"/>
          <c:w val="0.811370238156239"/>
          <c:h val="0.765547851294711"/>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8135.22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1"/>
        </c:manualLayout>
      </c:layout>
      <c:overlay val="0"/>
    </c:title>
    <c:autoTitleDeleted val="0"/>
    <c:plotArea>
      <c:layout>
        <c:manualLayout>
          <c:layoutTarget val="inner"/>
          <c:xMode val="edge"/>
          <c:yMode val="edge"/>
          <c:x val="0.101627059597234"/>
          <c:y val="0.103243458204088"/>
          <c:w val="0.808785007968815"/>
          <c:h val="0.655154696572023"/>
        </c:manualLayout>
      </c:layout>
      <c:pieChart>
        <c:varyColors val="1"/>
        <c:ser>
          <c:idx val="0"/>
          <c:order val="0"/>
          <c:explosion val="0"/>
          <c:dPt>
            <c:idx val="0"/>
            <c:bubble3D val="0"/>
          </c:dPt>
          <c:dPt>
            <c:idx val="1"/>
            <c:bubble3D val="0"/>
          </c:dPt>
          <c:dPt>
            <c:idx val="2"/>
            <c:bubble3D val="0"/>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733.14</c:v>
                </c:pt>
                <c:pt idx="1">
                  <c:v>4386.52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1"/>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8135.22</c:v>
                </c:pt>
                <c:pt idx="1">
                  <c:v>5119.66</c:v>
                </c:pt>
              </c:numCache>
            </c:numRef>
          </c:val>
        </c:ser>
        <c:ser>
          <c:idx val="1"/>
          <c:order val="1"/>
          <c:tx>
            <c:strRef>
              <c:f>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6481.51</c:v>
                </c:pt>
                <c:pt idx="1">
                  <c:v>4066.17</c:v>
                </c:pt>
              </c:numCache>
            </c:numRef>
          </c:val>
        </c:ser>
        <c:dLbls>
          <c:showLegendKey val="0"/>
          <c:showVal val="1"/>
          <c:showCatName val="0"/>
          <c:showSerName val="0"/>
          <c:showPercent val="0"/>
          <c:showBubbleSize val="0"/>
        </c:dLbls>
        <c:gapWidth val="75"/>
        <c:axId val="187862016"/>
        <c:axId val="188116992"/>
      </c:barChart>
      <c:catAx>
        <c:axId val="18786201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8116992"/>
        <c:crosses val="autoZero"/>
        <c:auto val="1"/>
        <c:lblAlgn val="ctr"/>
        <c:lblOffset val="100"/>
        <c:noMultiLvlLbl val="0"/>
      </c:catAx>
      <c:valAx>
        <c:axId val="18811699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7862016"/>
        <c:crosses val="autoZero"/>
        <c:crossBetween val="between"/>
      </c:valAx>
    </c:plotArea>
    <c:legend>
      <c:legendPos val="b"/>
      <c:layout>
        <c:manualLayout>
          <c:xMode val="edge"/>
          <c:yMode val="edge"/>
          <c:x val="0.426340551181102"/>
          <c:y val="0.75683529974089"/>
          <c:w val="0.208429790026247"/>
          <c:h val="0.07703051495559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7"/>
          <c:y val="0.921675774134796"/>
        </c:manualLayout>
      </c:layout>
      <c:overlay val="0"/>
    </c:title>
    <c:autoTitleDeleted val="0"/>
    <c:plotArea>
      <c:layout>
        <c:manualLayout>
          <c:layoutTarget val="inner"/>
          <c:xMode val="edge"/>
          <c:yMode val="edge"/>
          <c:x val="0.100155074365704"/>
          <c:y val="0.0231156048675734"/>
          <c:w val="0.869289370078741"/>
          <c:h val="0.768818002863284"/>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3736.7</c:v>
                </c:pt>
                <c:pt idx="1">
                  <c:v>3736.7</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8135.22</c:v>
                </c:pt>
                <c:pt idx="1">
                  <c:v>5119.66</c:v>
                </c:pt>
              </c:numCache>
            </c:numRef>
          </c:val>
        </c:ser>
        <c:dLbls>
          <c:showLegendKey val="0"/>
          <c:showVal val="1"/>
          <c:showCatName val="0"/>
          <c:showSerName val="0"/>
          <c:showPercent val="0"/>
          <c:showBubbleSize val="0"/>
        </c:dLbls>
        <c:gapWidth val="75"/>
        <c:axId val="188259712"/>
        <c:axId val="188282752"/>
      </c:barChart>
      <c:catAx>
        <c:axId val="18825971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8282752"/>
        <c:crosses val="autoZero"/>
        <c:auto val="1"/>
        <c:lblAlgn val="ctr"/>
        <c:lblOffset val="100"/>
        <c:noMultiLvlLbl val="0"/>
      </c:catAx>
      <c:valAx>
        <c:axId val="18828275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8259712"/>
        <c:crosses val="autoZero"/>
        <c:crossBetween val="between"/>
      </c:valAx>
    </c:plotArea>
    <c:legend>
      <c:legendPos val="b"/>
      <c:layout>
        <c:manualLayout>
          <c:xMode val="edge"/>
          <c:yMode val="edge"/>
          <c:x val="0.346718285214352"/>
          <c:y val="0.848750340633651"/>
          <c:w val="0.339896544181979"/>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6"/>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Lbls>
            <c:dLbl>
              <c:idx val="0"/>
              <c:delete val="1"/>
            </c:dLbl>
            <c:dLbl>
              <c:idx val="1"/>
              <c:delete val="1"/>
            </c:dLbl>
            <c:dLbl>
              <c:idx val="2"/>
              <c:delete val="1"/>
            </c:dLbl>
            <c:dLbl>
              <c:idx val="3"/>
              <c:delete val="1"/>
            </c:dLbl>
            <c:dLbl>
              <c:idx val="4"/>
              <c:delete val="1"/>
            </c:dLbl>
            <c:dLbl>
              <c:idx val="5"/>
              <c:layout>
                <c:manualLayout>
                  <c:x val="0.0418765864143525"/>
                  <c:y val="0.020310633213859"/>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6"/>
              <c:delete val="1"/>
            </c:dLbl>
            <c:dLbl>
              <c:idx val="7"/>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支出决算结构!$A$5:$A$14</c:f>
              <c:strCache>
                <c:ptCount val="10"/>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strCache>
            </c:strRef>
          </c:cat>
          <c:val>
            <c:numRef>
              <c:f>支出决算结构!$B$5:$B$14</c:f>
              <c:numCache>
                <c:formatCode>General</c:formatCode>
                <c:ptCount val="10"/>
                <c:pt idx="5">
                  <c:v>6.73</c:v>
                </c:pt>
                <c:pt idx="8">
                  <c:v>3040.49</c:v>
                </c:pt>
                <c:pt idx="9">
                  <c:v>2072.44</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39"/>
    <customShpInfo spid="_x0000_s1038"/>
    <customShpInfo spid="_x0000_s1037"/>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3BA5A4B-5A79-442F-A344-B5AE5213D33D}">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2094</Words>
  <Characters>11939</Characters>
  <Lines>99</Lines>
  <Paragraphs>28</Paragraphs>
  <TotalTime>2</TotalTime>
  <ScaleCrop>false</ScaleCrop>
  <LinksUpToDate>false</LinksUpToDate>
  <CharactersWithSpaces>14005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古德纽斯</cp:lastModifiedBy>
  <cp:lastPrinted>2019-08-02T01:01:00Z</cp:lastPrinted>
  <dcterms:modified xsi:type="dcterms:W3CDTF">2023-08-28T08:21:22Z</dcterms:modified>
  <dc:subject>石家庄市xxx部门</dc:subject>
  <dc:title>2017年度部门决算</dc:title>
  <cp:revision>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EA0A7E413660428D9CEACD1D0FCBB640</vt:lpwstr>
  </property>
</Properties>
</file>