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无极县里城道乡人民政府2018年度部门决算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bookmarkStart w:id="0" w:name="_GoBack"/>
      <w:bookmarkEnd w:id="0"/>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里城道乡</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left="640" w:firstLine="640" w:firstLineChars="200"/>
        <w:rPr>
          <w:rFonts w:eastAsia="仿宋_GB2312"/>
          <w:sz w:val="32"/>
          <w:szCs w:val="32"/>
        </w:rPr>
      </w:pPr>
      <w:r>
        <w:rPr>
          <w:rFonts w:hint="eastAsia" w:eastAsia="仿宋_GB2312"/>
          <w:sz w:val="32"/>
          <w:szCs w:val="32"/>
        </w:rPr>
        <w:t>一、财政拨款收入</w:t>
      </w:r>
    </w:p>
    <w:p>
      <w:pPr>
        <w:widowControl/>
        <w:spacing w:line="580" w:lineRule="exact"/>
        <w:ind w:left="640" w:firstLine="640" w:firstLineChars="200"/>
        <w:rPr>
          <w:rFonts w:eastAsia="仿宋_GB2312"/>
          <w:sz w:val="32"/>
          <w:szCs w:val="32"/>
        </w:rPr>
      </w:pPr>
      <w:r>
        <w:rPr>
          <w:rFonts w:hint="eastAsia" w:eastAsia="仿宋_GB2312"/>
          <w:sz w:val="32"/>
          <w:szCs w:val="32"/>
        </w:rPr>
        <w:t>二、事业收入</w:t>
      </w:r>
    </w:p>
    <w:p>
      <w:pPr>
        <w:widowControl/>
        <w:spacing w:line="580" w:lineRule="exact"/>
        <w:ind w:left="640" w:firstLine="640" w:firstLineChars="200"/>
        <w:rPr>
          <w:rFonts w:eastAsia="仿宋_GB2312"/>
          <w:sz w:val="32"/>
          <w:szCs w:val="32"/>
        </w:rPr>
      </w:pPr>
      <w:r>
        <w:rPr>
          <w:rFonts w:hint="eastAsia" w:eastAsia="仿宋_GB2312"/>
          <w:sz w:val="32"/>
          <w:szCs w:val="32"/>
        </w:rPr>
        <w:t>三、其他收入</w:t>
      </w:r>
    </w:p>
    <w:p>
      <w:pPr>
        <w:widowControl/>
        <w:spacing w:line="580" w:lineRule="exact"/>
        <w:ind w:left="640" w:firstLine="640" w:firstLineChars="200"/>
        <w:rPr>
          <w:rFonts w:eastAsia="仿宋_GB2312"/>
          <w:sz w:val="32"/>
          <w:szCs w:val="32"/>
        </w:rPr>
      </w:pPr>
      <w:r>
        <w:rPr>
          <w:rFonts w:hint="eastAsia" w:eastAsia="仿宋_GB2312"/>
          <w:sz w:val="32"/>
          <w:szCs w:val="32"/>
        </w:rPr>
        <w:t>四、用事业基金弥补收支差额</w:t>
      </w:r>
    </w:p>
    <w:p>
      <w:pPr>
        <w:widowControl/>
        <w:spacing w:line="580" w:lineRule="exact"/>
        <w:ind w:left="640" w:firstLine="640" w:firstLineChars="200"/>
        <w:rPr>
          <w:rFonts w:eastAsia="仿宋_GB2312"/>
          <w:sz w:val="32"/>
          <w:szCs w:val="32"/>
        </w:rPr>
      </w:pPr>
      <w:r>
        <w:rPr>
          <w:rFonts w:hint="eastAsia" w:eastAsia="仿宋_GB2312"/>
          <w:sz w:val="32"/>
          <w:szCs w:val="32"/>
        </w:rPr>
        <w:t>五、年初结转和结余</w:t>
      </w:r>
    </w:p>
    <w:p>
      <w:pPr>
        <w:widowControl/>
        <w:spacing w:line="580" w:lineRule="exact"/>
        <w:ind w:left="640" w:firstLine="640" w:firstLineChars="200"/>
        <w:rPr>
          <w:rFonts w:eastAsia="仿宋_GB2312"/>
          <w:sz w:val="32"/>
          <w:szCs w:val="32"/>
        </w:rPr>
      </w:pPr>
      <w:r>
        <w:rPr>
          <w:rFonts w:hint="eastAsia" w:eastAsia="仿宋_GB2312"/>
          <w:sz w:val="32"/>
          <w:szCs w:val="32"/>
        </w:rPr>
        <w:t>六、结余分配</w:t>
      </w:r>
    </w:p>
    <w:p>
      <w:pPr>
        <w:widowControl/>
        <w:spacing w:line="580" w:lineRule="exact"/>
        <w:ind w:left="640" w:firstLine="640" w:firstLineChars="200"/>
        <w:rPr>
          <w:rFonts w:eastAsia="仿宋_GB2312"/>
          <w:sz w:val="32"/>
          <w:szCs w:val="32"/>
        </w:rPr>
      </w:pPr>
      <w:r>
        <w:rPr>
          <w:rFonts w:hint="eastAsia" w:eastAsia="仿宋_GB2312"/>
          <w:sz w:val="32"/>
          <w:szCs w:val="32"/>
        </w:rPr>
        <w:t>七、年末结转和结余</w:t>
      </w:r>
    </w:p>
    <w:p>
      <w:pPr>
        <w:widowControl/>
        <w:spacing w:line="580" w:lineRule="exact"/>
        <w:ind w:left="640" w:firstLine="640" w:firstLineChars="200"/>
        <w:rPr>
          <w:rFonts w:eastAsia="仿宋_GB2312"/>
          <w:sz w:val="32"/>
          <w:szCs w:val="32"/>
        </w:rPr>
      </w:pPr>
      <w:r>
        <w:rPr>
          <w:rFonts w:hint="eastAsia" w:eastAsia="仿宋_GB2312"/>
          <w:sz w:val="32"/>
          <w:szCs w:val="32"/>
        </w:rPr>
        <w:t>八、基本支出</w:t>
      </w:r>
    </w:p>
    <w:p>
      <w:pPr>
        <w:widowControl/>
        <w:spacing w:line="580" w:lineRule="exact"/>
        <w:ind w:left="640" w:firstLine="640" w:firstLineChars="200"/>
        <w:rPr>
          <w:rFonts w:eastAsia="仿宋_GB2312"/>
          <w:sz w:val="32"/>
          <w:szCs w:val="32"/>
        </w:rPr>
      </w:pPr>
      <w:r>
        <w:rPr>
          <w:rFonts w:hint="eastAsia" w:eastAsia="仿宋_GB2312"/>
          <w:sz w:val="32"/>
          <w:szCs w:val="32"/>
        </w:rPr>
        <w:t>九、项目支出</w:t>
      </w:r>
    </w:p>
    <w:p>
      <w:pPr>
        <w:widowControl/>
        <w:spacing w:line="580" w:lineRule="exact"/>
        <w:ind w:left="640" w:firstLine="640" w:firstLineChars="200"/>
        <w:rPr>
          <w:rFonts w:eastAsia="仿宋_GB2312"/>
          <w:sz w:val="32"/>
          <w:szCs w:val="32"/>
        </w:rPr>
      </w:pPr>
      <w:r>
        <w:rPr>
          <w:rFonts w:hint="eastAsia" w:eastAsia="仿宋_GB2312"/>
          <w:sz w:val="32"/>
          <w:szCs w:val="32"/>
        </w:rPr>
        <w:t>十、基本建设支出</w:t>
      </w:r>
    </w:p>
    <w:p>
      <w:pPr>
        <w:widowControl/>
        <w:spacing w:line="580" w:lineRule="exact"/>
        <w:ind w:left="640" w:firstLine="640" w:firstLineChars="200"/>
        <w:rPr>
          <w:rFonts w:eastAsia="仿宋_GB2312"/>
          <w:sz w:val="32"/>
          <w:szCs w:val="32"/>
        </w:rPr>
      </w:pPr>
      <w:r>
        <w:rPr>
          <w:rFonts w:hint="eastAsia" w:eastAsia="仿宋_GB2312"/>
          <w:sz w:val="32"/>
          <w:szCs w:val="32"/>
        </w:rPr>
        <w:t>十一、其他资本性支出</w:t>
      </w:r>
    </w:p>
    <w:p>
      <w:pPr>
        <w:widowControl/>
        <w:spacing w:line="580" w:lineRule="exact"/>
        <w:ind w:left="640" w:firstLine="640" w:firstLineChars="200"/>
        <w:rPr>
          <w:rFonts w:eastAsia="仿宋_GB2312"/>
          <w:sz w:val="32"/>
          <w:szCs w:val="32"/>
        </w:rPr>
      </w:pPr>
      <w:r>
        <w:rPr>
          <w:rFonts w:hint="eastAsia" w:eastAsia="仿宋_GB2312"/>
          <w:sz w:val="32"/>
          <w:szCs w:val="32"/>
        </w:rPr>
        <w:t>十二、“三公”经费</w:t>
      </w:r>
    </w:p>
    <w:p>
      <w:pPr>
        <w:widowControl/>
        <w:spacing w:line="580" w:lineRule="exact"/>
        <w:ind w:left="640" w:firstLine="640" w:firstLineChars="200"/>
        <w:rPr>
          <w:rFonts w:eastAsia="仿宋_GB2312"/>
          <w:sz w:val="32"/>
          <w:szCs w:val="32"/>
        </w:rPr>
      </w:pPr>
      <w:r>
        <w:rPr>
          <w:rFonts w:hint="eastAsia" w:eastAsia="仿宋_GB2312"/>
          <w:sz w:val="32"/>
          <w:szCs w:val="32"/>
        </w:rPr>
        <w:t>十三、其他交通费用</w:t>
      </w:r>
    </w:p>
    <w:p>
      <w:pPr>
        <w:widowControl/>
        <w:spacing w:line="580" w:lineRule="exact"/>
        <w:ind w:left="640" w:firstLine="640" w:firstLineChars="200"/>
        <w:rPr>
          <w:rFonts w:eastAsia="仿宋_GB2312"/>
          <w:sz w:val="32"/>
          <w:szCs w:val="32"/>
        </w:rPr>
      </w:pPr>
      <w:r>
        <w:rPr>
          <w:rFonts w:hint="eastAsia" w:eastAsia="仿宋_GB2312"/>
          <w:sz w:val="32"/>
          <w:szCs w:val="32"/>
        </w:rPr>
        <w:t>十四、公务用车购置</w:t>
      </w:r>
    </w:p>
    <w:p>
      <w:pPr>
        <w:widowControl/>
        <w:spacing w:line="580" w:lineRule="exact"/>
        <w:ind w:left="640" w:firstLine="640" w:firstLineChars="200"/>
        <w:rPr>
          <w:rFonts w:eastAsia="仿宋_GB2312"/>
          <w:sz w:val="32"/>
          <w:szCs w:val="32"/>
        </w:rPr>
      </w:pPr>
      <w:r>
        <w:rPr>
          <w:rFonts w:hint="eastAsia" w:eastAsia="仿宋_GB2312"/>
          <w:sz w:val="32"/>
          <w:szCs w:val="32"/>
        </w:rPr>
        <w:t>十五、其他交通工具购置</w:t>
      </w:r>
    </w:p>
    <w:p>
      <w:pPr>
        <w:widowControl/>
        <w:spacing w:line="580" w:lineRule="exact"/>
        <w:ind w:left="640" w:firstLine="640" w:firstLineChars="200"/>
        <w:rPr>
          <w:rFonts w:eastAsia="仿宋_GB2312"/>
          <w:sz w:val="32"/>
          <w:szCs w:val="32"/>
        </w:rPr>
      </w:pPr>
      <w:r>
        <w:rPr>
          <w:rFonts w:hint="eastAsia" w:eastAsia="仿宋_GB2312"/>
          <w:sz w:val="32"/>
          <w:szCs w:val="32"/>
        </w:rPr>
        <w:t>十六、机关运行经费</w:t>
      </w:r>
    </w:p>
    <w:p>
      <w:pPr>
        <w:widowControl/>
        <w:spacing w:line="580" w:lineRule="exact"/>
        <w:ind w:left="640" w:firstLine="640" w:firstLineChars="200"/>
        <w:rPr>
          <w:rFonts w:eastAsia="仿宋_GB2312"/>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一、部门职责</w:t>
      </w:r>
    </w:p>
    <w:p>
      <w:pPr>
        <w:widowControl/>
        <w:spacing w:line="580" w:lineRule="exact"/>
        <w:ind w:left="640" w:firstLine="640" w:firstLineChars="200"/>
        <w:rPr>
          <w:rFonts w:eastAsia="仿宋_GB2312"/>
          <w:sz w:val="32"/>
          <w:szCs w:val="32"/>
        </w:rPr>
      </w:pPr>
      <w:r>
        <w:rPr>
          <w:rFonts w:hint="eastAsia" w:eastAsia="仿宋_GB2312"/>
          <w:sz w:val="32"/>
          <w:szCs w:val="32"/>
        </w:rPr>
        <w:t>宣传、贯彻、执行党的路线方针政策和国家的法律、法规,执行本级人民代表大会的决议和上级国家行政机关的决定和命令,其主要职能为:</w:t>
      </w:r>
    </w:p>
    <w:p>
      <w:pPr>
        <w:widowControl/>
        <w:spacing w:line="580" w:lineRule="exact"/>
        <w:ind w:left="640" w:firstLine="640" w:firstLineChars="200"/>
        <w:rPr>
          <w:rFonts w:eastAsia="仿宋_GB2312"/>
          <w:sz w:val="32"/>
          <w:szCs w:val="32"/>
        </w:rPr>
      </w:pPr>
      <w:r>
        <w:rPr>
          <w:rFonts w:hint="eastAsia" w:eastAsia="仿宋_GB2312"/>
          <w:sz w:val="32"/>
          <w:szCs w:val="32"/>
        </w:rPr>
        <w:t>1.促进经济发展</w:t>
      </w:r>
    </w:p>
    <w:p>
      <w:pPr>
        <w:widowControl/>
        <w:spacing w:line="580" w:lineRule="exact"/>
        <w:ind w:left="640" w:firstLine="640" w:firstLineChars="200"/>
        <w:rPr>
          <w:rFonts w:eastAsia="仿宋_GB2312"/>
          <w:sz w:val="32"/>
          <w:szCs w:val="32"/>
        </w:rPr>
      </w:pPr>
      <w:r>
        <w:rPr>
          <w:rFonts w:hint="eastAsia"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widowControl/>
        <w:spacing w:line="580" w:lineRule="exact"/>
        <w:ind w:left="640" w:firstLine="640" w:firstLineChars="200"/>
        <w:rPr>
          <w:rFonts w:eastAsia="仿宋_GB2312"/>
          <w:sz w:val="32"/>
          <w:szCs w:val="32"/>
        </w:rPr>
      </w:pPr>
      <w:r>
        <w:rPr>
          <w:rFonts w:hint="eastAsia" w:eastAsia="仿宋_GB2312"/>
          <w:sz w:val="32"/>
          <w:szCs w:val="32"/>
        </w:rPr>
        <w:t>2.加强社会管理</w:t>
      </w:r>
    </w:p>
    <w:p>
      <w:pPr>
        <w:widowControl/>
        <w:spacing w:line="580" w:lineRule="exact"/>
        <w:ind w:left="640" w:firstLine="640" w:firstLineChars="200"/>
        <w:rPr>
          <w:rFonts w:eastAsia="仿宋_GB2312"/>
          <w:sz w:val="32"/>
          <w:szCs w:val="32"/>
        </w:rPr>
      </w:pPr>
      <w:r>
        <w:rPr>
          <w:rFonts w:hint="eastAsia"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widowControl/>
        <w:spacing w:line="580" w:lineRule="exact"/>
        <w:ind w:left="640" w:firstLine="640" w:firstLineChars="200"/>
        <w:rPr>
          <w:rFonts w:eastAsia="仿宋_GB2312"/>
          <w:sz w:val="32"/>
          <w:szCs w:val="32"/>
        </w:rPr>
      </w:pPr>
      <w:r>
        <w:rPr>
          <w:rFonts w:hint="eastAsia" w:eastAsia="仿宋_GB2312"/>
          <w:sz w:val="32"/>
          <w:szCs w:val="32"/>
        </w:rPr>
        <w:t>3.提供公共服务</w:t>
      </w:r>
    </w:p>
    <w:p>
      <w:pPr>
        <w:widowControl/>
        <w:spacing w:line="580" w:lineRule="exact"/>
        <w:ind w:left="640" w:firstLine="640" w:firstLineChars="200"/>
        <w:rPr>
          <w:rFonts w:eastAsia="仿宋_GB2312"/>
          <w:sz w:val="32"/>
          <w:szCs w:val="32"/>
        </w:rPr>
      </w:pPr>
      <w:r>
        <w:rPr>
          <w:rFonts w:hint="eastAsia"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widowControl/>
        <w:spacing w:line="580" w:lineRule="exact"/>
        <w:ind w:left="640" w:firstLine="640" w:firstLineChars="200"/>
        <w:rPr>
          <w:rFonts w:eastAsia="仿宋_GB2312"/>
          <w:sz w:val="32"/>
          <w:szCs w:val="32"/>
        </w:rPr>
      </w:pPr>
      <w:r>
        <w:rPr>
          <w:rFonts w:hint="eastAsia" w:eastAsia="仿宋_GB2312"/>
          <w:sz w:val="32"/>
          <w:szCs w:val="32"/>
        </w:rPr>
        <w:t>4.维护农村稳定</w:t>
      </w:r>
    </w:p>
    <w:p>
      <w:pPr>
        <w:widowControl/>
        <w:spacing w:line="580" w:lineRule="exact"/>
        <w:ind w:left="640" w:firstLine="640" w:firstLineChars="200"/>
        <w:rPr>
          <w:rFonts w:eastAsia="仿宋_GB2312"/>
          <w:sz w:val="32"/>
          <w:szCs w:val="32"/>
        </w:rPr>
      </w:pPr>
      <w:r>
        <w:rPr>
          <w:rFonts w:hint="eastAsia" w:eastAsia="仿宋_GB2312"/>
          <w:sz w:val="32"/>
          <w:szCs w:val="32"/>
        </w:rPr>
        <w:t>主要包括:（1）做好社会治安</w:t>
      </w:r>
      <w:r>
        <w:rPr>
          <w:rFonts w:hint="eastAsia" w:eastAsia="仿宋_GB2312"/>
          <w:sz w:val="32"/>
          <w:szCs w:val="32"/>
          <w:lang w:eastAsia="zh-CN"/>
        </w:rPr>
        <w:t>综合治理</w:t>
      </w:r>
      <w:r>
        <w:rPr>
          <w:rFonts w:hint="eastAsia"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
        <w:numPr>
          <w:ilvl w:val="0"/>
          <w:numId w:val="1"/>
        </w:numPr>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398"/>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无极县里城道乡人民政府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rPr>
          <w:rFonts w:ascii="黑体" w:eastAsia="黑体" w:cs="MS-UIGothic,Bold" w:hAnsiTheme="minorHAnsi"/>
          <w:bCs/>
          <w:kern w:val="0"/>
          <w:sz w:val="52"/>
          <w:szCs w:val="52"/>
        </w:rPr>
      </w:pPr>
    </w:p>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1085.67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795.38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74.73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221.84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1085.67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1101.95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16.29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1101.95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1101.95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74" w:type="dxa"/>
        <w:jc w:val="center"/>
        <w:tblLayout w:type="fixed"/>
        <w:tblCellMar>
          <w:top w:w="0" w:type="dxa"/>
          <w:left w:w="0" w:type="dxa"/>
          <w:bottom w:w="0" w:type="dxa"/>
          <w:right w:w="0" w:type="dxa"/>
        </w:tblCellMar>
      </w:tblPr>
      <w:tblGrid>
        <w:gridCol w:w="338"/>
        <w:gridCol w:w="180"/>
        <w:gridCol w:w="525"/>
        <w:gridCol w:w="1329"/>
        <w:gridCol w:w="537"/>
        <w:gridCol w:w="262"/>
        <w:gridCol w:w="129"/>
        <w:gridCol w:w="693"/>
        <w:gridCol w:w="234"/>
        <w:gridCol w:w="589"/>
        <w:gridCol w:w="340"/>
        <w:gridCol w:w="482"/>
        <w:gridCol w:w="446"/>
        <w:gridCol w:w="376"/>
        <w:gridCol w:w="552"/>
        <w:gridCol w:w="928"/>
        <w:gridCol w:w="934"/>
      </w:tblGrid>
      <w:tr>
        <w:tblPrEx>
          <w:tblCellMar>
            <w:top w:w="0" w:type="dxa"/>
            <w:left w:w="0" w:type="dxa"/>
            <w:bottom w:w="0" w:type="dxa"/>
            <w:right w:w="0" w:type="dxa"/>
          </w:tblCellMar>
        </w:tblPrEx>
        <w:trPr>
          <w:trHeight w:val="770" w:hRule="atLeast"/>
          <w:jc w:val="center"/>
        </w:trPr>
        <w:tc>
          <w:tcPr>
            <w:tcW w:w="8874"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2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1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909"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2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1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7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8"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9"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8"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8"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8"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34"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29"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8"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9"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8"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8"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8"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34"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1085.67</w:t>
            </w:r>
          </w:p>
        </w:tc>
        <w:tc>
          <w:tcPr>
            <w:tcW w:w="92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1085.67</w:t>
            </w:r>
          </w:p>
        </w:tc>
        <w:tc>
          <w:tcPr>
            <w:tcW w:w="92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34"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一般公共服务支出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779.10</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779.10</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jc w:val="both"/>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jc w:val="both"/>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政府办公厅（室）及相关机构事务</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779.10</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779.10</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2010301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行政运行</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716.08</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716.08</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2010302</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一般行政管理事务</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11.51</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11.51</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jc w:val="center"/>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2010399</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line="251" w:lineRule="exact"/>
              <w:ind w:left="241"/>
              <w:jc w:val="left"/>
              <w:rPr>
                <w:color w:val="000000"/>
                <w:szCs w:val="21"/>
              </w:rPr>
            </w:pPr>
            <w:r>
              <w:rPr>
                <w:sz w:val="20"/>
              </w:rPr>
              <w:t>其他政府办公厅（室）及相关机构事务支出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51.51</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51.51</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line="251" w:lineRule="exact"/>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jc w:val="both"/>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社会保障和就业支出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20899</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其他社会保障和就业支出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2089901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其他社会保障和就业支出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节能环保支出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21103</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污染防治</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2110301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sz w:val="22"/>
              </w:rPr>
            </w:pPr>
            <w:r>
              <w:rPr>
                <w:sz w:val="22"/>
              </w:rPr>
              <w:t>大气</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74.73</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74.73</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212</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城乡社区支出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221.84</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221.84</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21208</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18" w:line="240" w:lineRule="auto"/>
              <w:ind w:left="40"/>
              <w:jc w:val="left"/>
              <w:rPr>
                <w:sz w:val="22"/>
              </w:rPr>
            </w:pPr>
            <w:r>
              <w:rPr>
                <w:sz w:val="16"/>
              </w:rPr>
              <w:t>国有土地使用权出让收入及对应专项债务收入安排的支出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0.36</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0.36</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18" w:line="240" w:lineRule="auto"/>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2120809</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sz w:val="22"/>
              </w:rPr>
            </w:pPr>
            <w:r>
              <w:rPr>
                <w:sz w:val="22"/>
              </w:rPr>
              <w:t>支付破产或改制企业职工安置费</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0.36</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0.36</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21210</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5" w:line="240" w:lineRule="auto"/>
              <w:ind w:left="40"/>
              <w:jc w:val="left"/>
              <w:rPr>
                <w:sz w:val="22"/>
              </w:rPr>
            </w:pPr>
            <w:r>
              <w:rPr>
                <w:sz w:val="18"/>
              </w:rPr>
              <w:t>国有土地收益基金及对应专项债务收入安排的支出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221.48</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221.48</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5" w:line="240" w:lineRule="auto"/>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r>
      <w:tr>
        <w:tblPrEx>
          <w:tblCellMar>
            <w:top w:w="0" w:type="dxa"/>
            <w:left w:w="0" w:type="dxa"/>
            <w:bottom w:w="0" w:type="dxa"/>
            <w:right w:w="0" w:type="dxa"/>
          </w:tblCellMar>
        </w:tblPrEx>
        <w:trPr>
          <w:trHeight w:val="371" w:hRule="atLeast"/>
          <w:jc w:val="center"/>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sz w:val="22"/>
              </w:rPr>
            </w:pPr>
            <w:r>
              <w:rPr>
                <w:sz w:val="22"/>
              </w:rPr>
              <w:t>2121001</w:t>
            </w:r>
          </w:p>
        </w:tc>
        <w:tc>
          <w:tcPr>
            <w:tcW w:w="1329"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sz w:val="22"/>
              </w:rPr>
            </w:pPr>
            <w:r>
              <w:rPr>
                <w:sz w:val="22"/>
              </w:rPr>
              <w:t>征地和拆迁补偿支出</w:t>
            </w:r>
          </w:p>
        </w:tc>
        <w:tc>
          <w:tcPr>
            <w:tcW w:w="9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221.48</w:t>
            </w:r>
          </w:p>
        </w:tc>
        <w:tc>
          <w:tcPr>
            <w:tcW w:w="9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sz w:val="22"/>
              </w:rPr>
            </w:pPr>
            <w:r>
              <w:rPr>
                <w:sz w:val="22"/>
              </w:rPr>
              <w:t>221.48</w:t>
            </w:r>
          </w:p>
        </w:tc>
        <w:tc>
          <w:tcPr>
            <w:tcW w:w="9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c>
          <w:tcPr>
            <w:tcW w:w="9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jc w:val="center"/>
              <w:rPr>
                <w:color w:val="000000"/>
                <w:szCs w:val="21"/>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jc w:val="left"/>
              <w:rPr>
                <w:color w:val="000000"/>
                <w:szCs w:val="21"/>
              </w:rPr>
            </w:pPr>
          </w:p>
        </w:tc>
      </w:tr>
      <w:tr>
        <w:tblPrEx>
          <w:tblCellMar>
            <w:top w:w="0" w:type="dxa"/>
            <w:left w:w="0" w:type="dxa"/>
            <w:bottom w:w="0" w:type="dxa"/>
            <w:right w:w="0" w:type="dxa"/>
          </w:tblCellMar>
        </w:tblPrEx>
        <w:trPr>
          <w:trHeight w:val="481" w:hRule="atLeast"/>
          <w:jc w:val="center"/>
        </w:trPr>
        <w:tc>
          <w:tcPr>
            <w:tcW w:w="8874"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795.38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677.81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政府办公厅（室）及相关机构事务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795.38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677.81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732.36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677.81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54.55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11.51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2010399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line="251" w:lineRule="exact"/>
              <w:ind w:left="241"/>
              <w:jc w:val="left"/>
              <w:rPr>
                <w:color w:val="000000"/>
                <w:szCs w:val="21"/>
              </w:rPr>
            </w:pPr>
            <w:r>
              <w:rPr>
                <w:sz w:val="20"/>
              </w:rPr>
              <w:t>其他政府办公厅（室）及相关机构事务支出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51.51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51.51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其他社会保障和就业支出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2089901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其他社会保障和就业支出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10.00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节能环保支出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21103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污染防治</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2110301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大气</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城乡社区支出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221.84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221.84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18" w:line="240" w:lineRule="auto"/>
              <w:ind w:left="40"/>
              <w:jc w:val="left"/>
              <w:rPr>
                <w:color w:val="000000"/>
                <w:szCs w:val="21"/>
              </w:rPr>
            </w:pPr>
            <w:r>
              <w:rPr>
                <w:sz w:val="16"/>
              </w:rPr>
              <w:t>国有土地使用权出让收入及对应专项债务收入安排的支出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2120809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支付破产或改制企业职工安置费</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spacing w:before="5" w:line="240" w:lineRule="auto"/>
              <w:ind w:left="40"/>
              <w:jc w:val="left"/>
              <w:rPr>
                <w:color w:val="000000"/>
                <w:szCs w:val="21"/>
              </w:rPr>
            </w:pPr>
            <w:r>
              <w:rPr>
                <w:sz w:val="18"/>
              </w:rPr>
              <w:t>国有土地收益基金及对应专项债务收入安排的支出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221.48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221.48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pStyle w:val="33"/>
              <w:ind w:left="40"/>
              <w:jc w:val="left"/>
              <w:rPr>
                <w:color w:val="000000"/>
                <w:szCs w:val="21"/>
              </w:rPr>
            </w:pPr>
            <w:r>
              <w:rPr>
                <w:sz w:val="22"/>
              </w:rPr>
              <w:t>2121001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left="258"/>
              <w:jc w:val="left"/>
              <w:rPr>
                <w:color w:val="000000"/>
                <w:szCs w:val="21"/>
              </w:rPr>
            </w:pPr>
            <w:r>
              <w:rPr>
                <w:sz w:val="22"/>
              </w:rPr>
              <w:t>征地和拆迁补偿支出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221.48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pStyle w:val="33"/>
              <w:ind w:right="1"/>
              <w:rPr>
                <w:color w:val="000000"/>
                <w:szCs w:val="21"/>
              </w:rPr>
            </w:pPr>
            <w:r>
              <w:rPr>
                <w:sz w:val="22"/>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221.48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863.83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795.38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795.38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74.73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74.73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221.84</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1085.67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1101.95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880.11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16.29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16.29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1101.95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1101.95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880.11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221.84</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880.11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677.81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677.81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677.81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677.81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51.51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color w:val="000000"/>
                <w:szCs w:val="21"/>
              </w:rPr>
              <w:t>74.73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74.73</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356.21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205.55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262.05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15.07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18.89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30.50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69.12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0.38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8.04</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0.18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6.15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2.40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13.00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5.63</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2.33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19.05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7.77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9.00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108.02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57.42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0.13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1.48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4.84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45.77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76.39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2.23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21.89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464.23</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213.59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0.63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0.50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0.50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0.13</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221.84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221.84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221.84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城乡社区支出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21208</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2120809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支付破产或改制企业职工安置费</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21210</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国有土地收益基金及对应专项债务收入安排的支出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2121001</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征地和拆迁补偿支出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城乡社区支出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221.84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21208</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2120809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支付破产或改制企业职工安置费</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0.36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21210</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国有土地收益基金及对应专项债务收入安排的支出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2121001</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征地和拆迁补偿支出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221.48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9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219.05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219.05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219.05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218.69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218.69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r>
              <w:rPr>
                <w:rFonts w:hint="eastAsia" w:ascii="宋体" w:hAnsi="宋体" w:cs="宋体"/>
                <w:color w:val="000000"/>
                <w:szCs w:val="21"/>
              </w:rPr>
              <w:t>218.69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tbl>
            <w:tblPr>
              <w:tblStyle w:val="12"/>
              <w:tblW w:w="8940" w:type="dxa"/>
              <w:tblInd w:w="0" w:type="dxa"/>
              <w:tblLayout w:type="fixed"/>
              <w:tblCellMar>
                <w:top w:w="0" w:type="dxa"/>
                <w:left w:w="0" w:type="dxa"/>
                <w:bottom w:w="0" w:type="dxa"/>
                <w:right w:w="0" w:type="dxa"/>
              </w:tblCellMar>
            </w:tblPr>
            <w:tblGrid>
              <w:gridCol w:w="8940"/>
            </w:tblGrid>
            <w:tr>
              <w:tblPrEx>
                <w:tblCellMar>
                  <w:top w:w="0" w:type="dxa"/>
                  <w:left w:w="0" w:type="dxa"/>
                  <w:bottom w:w="0" w:type="dxa"/>
                  <w:right w:w="0" w:type="dxa"/>
                </w:tblCellMar>
              </w:tblPrEx>
              <w:trPr>
                <w:trHeight w:val="398" w:hRule="atLeast"/>
              </w:trPr>
              <w:tc>
                <w:tcPr>
                  <w:tcW w:w="89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注：1.本表反映部门本年度纳入部门预算范围的政府采购预算及支出情况。</w:t>
                  </w:r>
                </w:p>
              </w:tc>
            </w:tr>
          </w:tbl>
          <w:p>
            <w:pPr>
              <w:widowControl/>
              <w:adjustRightInd w:val="0"/>
              <w:snapToGrid w:val="0"/>
              <w:spacing w:after="0" w:line="240" w:lineRule="auto"/>
              <w:jc w:val="left"/>
              <w:textAlignment w:val="center"/>
              <w:rPr>
                <w:rFonts w:ascii="宋体" w:hAnsi="宋体" w:cs="宋体"/>
                <w:color w:val="000000"/>
                <w:szCs w:val="21"/>
              </w:rPr>
            </w:pPr>
          </w:p>
        </w:tc>
      </w:tr>
    </w:tbl>
    <w:p>
      <w:pPr>
        <w:widowControl/>
        <w:spacing w:after="0" w:line="560" w:lineRule="exact"/>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本部门2018年度收支总计（含结转和结余）1101.95万元。与2017年度决算相比，收支各增加573.77万元，增长108.63%，主要原因是正常拨款项目增加。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本部门2018年度本年收入合计1085.67万元，其中：财政拨款收入1085.67万元，占100%。图所示：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0528" behindDoc="0" locked="0" layoutInCell="1" allowOverlap="1">
            <wp:simplePos x="0" y="0"/>
            <wp:positionH relativeFrom="column">
              <wp:posOffset>-83820</wp:posOffset>
            </wp:positionH>
            <wp:positionV relativeFrom="paragraph">
              <wp:posOffset>323215</wp:posOffset>
            </wp:positionV>
            <wp:extent cx="5586095" cy="2586355"/>
            <wp:effectExtent l="47625" t="4445" r="62230" b="114300"/>
            <wp:wrapSquare wrapText="bothSides"/>
            <wp:docPr id="1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640" w:firstLineChars="200"/>
        <w:rPr>
          <w:rFonts w:ascii="黑体" w:eastAsia="黑体" w:hAnsiTheme="majorHAnsi" w:cstheme="majorBidi"/>
          <w:sz w:val="32"/>
          <w:szCs w:val="32"/>
        </w:rPr>
      </w:pPr>
      <w:r>
        <w:rPr>
          <w:rFonts w:hint="eastAsia" w:ascii="黑体" w:eastAsia="黑体" w:hAnsiTheme="majorHAnsi" w:cstheme="majorBidi"/>
          <w:sz w:val="32"/>
          <w:szCs w:val="32"/>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本部门2018年度本年支出合计1101.95万元，其中：基本支出677.81万元，占61.51%；项目支出424.14万元，占38.49%。如图所示：</w:t>
      </w:r>
    </w:p>
    <w:p>
      <w:pPr>
        <w:adjustRightInd w:val="0"/>
        <w:snapToGrid w:val="0"/>
        <w:spacing w:after="0" w:line="580" w:lineRule="exact"/>
        <w:rPr>
          <w:rFonts w:ascii="仿宋_GB2312" w:eastAsia="仿宋_GB2312" w:cs="DengXian-Regular"/>
          <w:sz w:val="32"/>
          <w:szCs w:val="32"/>
        </w:rPr>
      </w:pPr>
      <w:r>
        <w:drawing>
          <wp:anchor distT="0" distB="0" distL="114300" distR="114300" simplePos="0" relativeHeight="251671552" behindDoc="0" locked="0" layoutInCell="1" allowOverlap="1">
            <wp:simplePos x="0" y="0"/>
            <wp:positionH relativeFrom="column">
              <wp:posOffset>502285</wp:posOffset>
            </wp:positionH>
            <wp:positionV relativeFrom="paragraph">
              <wp:posOffset>223520</wp:posOffset>
            </wp:positionV>
            <wp:extent cx="4219575" cy="2686050"/>
            <wp:effectExtent l="47625" t="4445" r="57150" b="109855"/>
            <wp:wrapSquare wrapText="bothSides"/>
            <wp:docPr id="2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1260" w:firstLineChars="600"/>
        <w:rPr>
          <w:rFonts w:ascii="仿宋_GB2312" w:eastAsia="仿宋_GB2312" w:cs="DengXian-Regular"/>
          <w:sz w:val="32"/>
          <w:szCs w:val="32"/>
        </w:rPr>
      </w:pPr>
      <w:r>
        <w:drawing>
          <wp:inline distT="0" distB="0" distL="114300" distR="114300">
            <wp:extent cx="4219575" cy="2686050"/>
            <wp:effectExtent l="47625" t="4445" r="57150" b="109855"/>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本部门2018年度财政拨款本年收入1085.67万元,比2017年度增加541.20万元，增长99.4%，主要是正常拨款项目增加；本年支出1101.95万元，增加573.77万元，增长108.63%，主要是正常拨款的项目增加。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863.83万元，比上年增加319.36万元，增长58.65%；主要是正常拨款项目增加；本年支出880.11万元，比上年增加351.92万元，增长66.63%，主要是正常拨款项目增加。政府性基金预算财政拨款本年收入221.84万元，比上年增加221.84万元，增长100%，主要原因是本部门2018年度有相关收入情况，上年度没有；本年支出221.84万元，比上年增加221.84万元，增长100%，主要是本部门2018年度有相关支出情况，上年度没有。</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515620</wp:posOffset>
            </wp:positionH>
            <wp:positionV relativeFrom="paragraph">
              <wp:posOffset>139700</wp:posOffset>
            </wp:positionV>
            <wp:extent cx="4572000" cy="3067050"/>
            <wp:effectExtent l="47625" t="4445" r="47625" b="109855"/>
            <wp:wrapSquare wrapText="bothSides"/>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1085.67万元，完成年初预算的213.22%,比年初预算增加576.5万元，决算数大于预算数主要原因是人员经费和日常公用经费及项目支出预估过少；本年支出1101.95万元，完成年初预算的216.42%,比年初预算增加592.78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863.83万元，完成年初预算169.65%，比年初预算增加354.66万元，主要是人员经费和日常公用经费及项目支出预估过少；支出880.11万元，完成年初预算142.15%，比年初预算增加370.94万元，主要是人员经费和日常公用经费及项目支出预估过少。政府性基金预算财政拨款本年收入221.84万元，完成年初预算100%，比年初预算增加221.84万元，主要是本部门2018年度有相关收入情况，上年度没有；支出221.84万元，完成年初预算100%，比年初预算增加221.84万元，主要是本部门2018年度有相关支出情况，上年度没有。</w:t>
      </w:r>
    </w:p>
    <w:p>
      <w:pPr>
        <w:adjustRightInd w:val="0"/>
        <w:snapToGrid w:val="0"/>
        <w:spacing w:after="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73600" behindDoc="0" locked="0" layoutInCell="1" allowOverlap="1">
            <wp:simplePos x="0" y="0"/>
            <wp:positionH relativeFrom="column">
              <wp:posOffset>483870</wp:posOffset>
            </wp:positionH>
            <wp:positionV relativeFrom="paragraph">
              <wp:posOffset>323850</wp:posOffset>
            </wp:positionV>
            <wp:extent cx="4572000" cy="3571875"/>
            <wp:effectExtent l="47625" t="4445" r="47625" b="100330"/>
            <wp:wrapSquare wrapText="bothSides"/>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年度财政拨款支出1101.95万元，主要用于以下方面：一般公共服务（类）支出795.38万元，占72.18%；城乡社区支出221.84万元，占20.13%；社会保障和就业（类）支出10万元，占0.91%；节能环保支出74.73万元，占6.78%。</w:t>
      </w: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74624" behindDoc="0" locked="0" layoutInCell="1" allowOverlap="1">
            <wp:simplePos x="0" y="0"/>
            <wp:positionH relativeFrom="column">
              <wp:posOffset>439420</wp:posOffset>
            </wp:positionH>
            <wp:positionV relativeFrom="paragraph">
              <wp:posOffset>173355</wp:posOffset>
            </wp:positionV>
            <wp:extent cx="4572000" cy="3486150"/>
            <wp:effectExtent l="57150" t="0" r="57150" b="76200"/>
            <wp:wrapSquare wrapText="bothSides"/>
            <wp:docPr id="2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677.82万元，其中：人员经费464.23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213.59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本部门2018年度“三公”经费支出共计0.63万元，出国出境经费0万元，公务用车运行维护费0.5万元，公务接待费0.13万元。较年初预算减少3.37万元，降低84.25%，主要是认真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本部门2018年度因公出国（境）团组0个。因公出国（境）费支出较年初预算无增减变化，本部门2018年度未发生“因公出国（境）费支出”经费支出。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（二）公务用车购置及运行维护费支出0.5万元。</w:t>
      </w:r>
      <w:r>
        <w:rPr>
          <w:rFonts w:hint="eastAsia" w:ascii="仿宋_GB2312" w:eastAsia="仿宋_GB2312" w:cs="DengXian-Regular"/>
          <w:sz w:val="32"/>
          <w:szCs w:val="32"/>
        </w:rPr>
        <w:t>本部门2018年度公务用车购置及运行维护费较年初预算减少2.5万元，降低83.33%,主要是响应上级要求，减少“三公”经费支出。其中：</w:t>
      </w:r>
    </w:p>
    <w:p>
      <w:pPr>
        <w:adjustRightInd w:val="0"/>
        <w:snapToGrid w:val="0"/>
        <w:spacing w:after="0" w:line="580" w:lineRule="exact"/>
        <w:ind w:firstLine="964" w:firstLineChars="3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本部门2018年度公务用车购置量0辆，发生“公务用车购置”经费支出0万元。公务用车购置费支出较年初预算无增减变化，本部门2018年度未发生“公务用车购置”经费支出。</w:t>
      </w:r>
    </w:p>
    <w:p>
      <w:pPr>
        <w:adjustRightInd w:val="0"/>
        <w:snapToGrid w:val="0"/>
        <w:spacing w:after="0" w:line="580" w:lineRule="exact"/>
        <w:ind w:firstLine="964" w:firstLineChars="3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本部门2018年度单位公务用车保有量1辆。公车运行维护费0.5万元，支出较年初预算减少2.5万元，降低83.33%,主要是响应上级要求，减少“三公”经费支出。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（三）公务接待费支出0.13万元。</w:t>
      </w:r>
      <w:r>
        <w:rPr>
          <w:rFonts w:hint="eastAsia" w:ascii="仿宋_GB2312" w:eastAsia="仿宋_GB2312" w:cs="DengXian-Regular"/>
          <w:sz w:val="32"/>
          <w:szCs w:val="32"/>
        </w:rPr>
        <w:t>本部门2018年度公务接待共3批次、20人次。公务接待费0.13万元，支出较年初预减少0.87万元，降低87%,主要是响应上级要求，减少“三公”经费支出。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numPr>
          <w:ilvl w:val="0"/>
          <w:numId w:val="3"/>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祁村村西道路硬化项目、里城道乡生活垃圾及泥污资源化处理项目征地补偿、2018年度第三批次1号地块补偿项目、里城道乡志愿兵、进藏兵、城镇兵政策落实资金项目等4个项目，涉及资金259.01万元。从评价情况看，评价结果为优秀的项目有4个。</w:t>
      </w:r>
    </w:p>
    <w:p>
      <w:pPr>
        <w:numPr>
          <w:ilvl w:val="0"/>
          <w:numId w:val="3"/>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预算项目绩效自评选例。</w:t>
      </w:r>
    </w:p>
    <w:p>
      <w:pPr>
        <w:adjustRightInd w:val="0"/>
        <w:snapToGrid w:val="0"/>
        <w:spacing w:after="0" w:line="580" w:lineRule="exact"/>
        <w:ind w:left="420" w:leftChars="200" w:firstLine="640" w:firstLineChars="200"/>
        <w:rPr>
          <w:rFonts w:ascii="仿宋_GB2312" w:eastAsia="仿宋_GB2312" w:cs="DengXian-Regular"/>
          <w:sz w:val="32"/>
          <w:szCs w:val="32"/>
        </w:rPr>
      </w:pPr>
      <w:r>
        <w:rPr>
          <w:rFonts w:hint="eastAsia" w:ascii="仿宋_GB2312" w:eastAsia="仿宋_GB2312" w:cs="DengXian-Regular"/>
          <w:sz w:val="32"/>
          <w:szCs w:val="32"/>
        </w:rPr>
        <w:t>本单位建制镇配套资金及单位修缮项目绩效自评：根据年初设定的绩效目标，建制镇配套资金及单位修缮项目绩效自评结果为优秀。项目全年预算数为118.8万元，执行数为424.14万元，完成预算的357.02%。主要产出和效果是本部门2018年度保障项目资金充足，项目绩效目标圆满完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本部门2018年度机关运行经费支出213.59万元，比年初预算数增加166.59万元，增长354.45%。主要原因是本部门2018年度机关运行经费支出预估过少，工作业务量增加，支出增加。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政府采购货物支出0万元、政府采购工程支出0万元、政府采购服务支出0万元。授予中小企业合同金0万元，占政府采购支出总额的0%，其中授予小微企业合同金额0万元，占政府采购支出总额的0%。本部门2018年度无相关政府采购支出情况。</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3辆，比上年增加1辆，主要是上年因移交处置手续正在办理未统计。其中，副部（省）级及以上领导用车0辆，主要领导干部用车0辆，机要通信用车0辆，应急保障用车0辆，执法执勤用车0辆，特种专业技术用车1辆，离退休干部用车0辆，其他用车2辆，其他用车主要是洒水车和公务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-1397635</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83499EE-A131-44BA-B302-A15EBAF3B15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DFF48B4-6989-4858-85BE-94EBA7F58FF4}"/>
  </w:font>
  <w:font w:name="Cambria">
    <w:panose1 w:val="02040503050406030204"/>
    <w:charset w:val="00"/>
    <w:family w:val="roman"/>
    <w:pitch w:val="default"/>
    <w:sig w:usb0="E00006FF" w:usb1="420024FF" w:usb2="02000000" w:usb3="00000000" w:csb0="2000019F" w:csb1="00000000"/>
    <w:embedRegular r:id="rId3" w:fontKey="{3D191945-BDFB-4019-A6ED-32470972EA0E}"/>
  </w:font>
  <w:font w:name="楷体">
    <w:panose1 w:val="02010609060101010101"/>
    <w:charset w:val="86"/>
    <w:family w:val="modern"/>
    <w:pitch w:val="default"/>
    <w:sig w:usb0="800002BF" w:usb1="38CF7CFA" w:usb2="00000016" w:usb3="00000000" w:csb0="00040001" w:csb1="00000000"/>
    <w:embedRegular r:id="rId4" w:fontKey="{59C56850-6D84-46B6-A03D-09321B123B50}"/>
  </w:font>
  <w:font w:name="楷体_GB2312">
    <w:panose1 w:val="02010609030101010101"/>
    <w:charset w:val="86"/>
    <w:family w:val="modern"/>
    <w:pitch w:val="default"/>
    <w:sig w:usb0="00000001" w:usb1="080E0000" w:usb2="00000000" w:usb3="00000000" w:csb0="00040000" w:csb1="00000000"/>
    <w:embedRegular r:id="rId5" w:fontKey="{6E32CEFF-D5A2-46C9-8E1F-AC927DEDE49A}"/>
  </w:font>
  <w:font w:name="仿宋_GB2312">
    <w:panose1 w:val="02010609030101010101"/>
    <w:charset w:val="86"/>
    <w:family w:val="modern"/>
    <w:pitch w:val="default"/>
    <w:sig w:usb0="00000001" w:usb1="080E0000" w:usb2="00000000" w:usb3="00000000" w:csb0="00040000" w:csb1="00000000"/>
    <w:embedRegular r:id="rId6" w:fontKey="{49F3ADFC-8226-49FD-BB21-31ABA38922FA}"/>
  </w:font>
  <w:font w:name="ArialUnicodeMS">
    <w:altName w:val="Malgun Gothic"/>
    <w:panose1 w:val="00000000000000000000"/>
    <w:charset w:val="81"/>
    <w:family w:val="auto"/>
    <w:pitch w:val="default"/>
    <w:sig w:usb0="00000000" w:usb1="00000000" w:usb2="00000010" w:usb3="00000000" w:csb0="00080001" w:csb1="00000000"/>
    <w:embedRegular r:id="rId7" w:fontKey="{DE0A5B34-3A6D-405F-AD47-3C3717637A96}"/>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25EE46EC-D236-42F8-9E5F-362F162B0F84}"/>
  </w:font>
  <w:font w:name="Arial">
    <w:panose1 w:val="020B0604020202020204"/>
    <w:charset w:val="00"/>
    <w:family w:val="swiss"/>
    <w:pitch w:val="default"/>
    <w:sig w:usb0="E0002EFF" w:usb1="C000785B" w:usb2="00000009" w:usb3="00000000" w:csb0="400001FF" w:csb1="FFFF0000"/>
    <w:embedRegular r:id="rId9" w:fontKey="{00DDCD17-5CBF-4DF8-8028-887AA90B1DCC}"/>
  </w:font>
  <w:font w:name="DengXian-Regular">
    <w:altName w:val="宋体"/>
    <w:panose1 w:val="00000000000000000000"/>
    <w:charset w:val="86"/>
    <w:family w:val="auto"/>
    <w:pitch w:val="default"/>
    <w:sig w:usb0="00000000" w:usb1="00000000" w:usb2="00000010" w:usb3="00000000" w:csb0="00040001" w:csb1="00000000"/>
    <w:embedRegular r:id="rId10" w:fontKey="{A5B76ABA-F672-45B6-B633-4E8254CA0116}"/>
  </w:font>
  <w:font w:name="DengXian-Bold">
    <w:altName w:val="宋体"/>
    <w:panose1 w:val="00000000000000000000"/>
    <w:charset w:val="86"/>
    <w:family w:val="auto"/>
    <w:pitch w:val="default"/>
    <w:sig w:usb0="00000000" w:usb1="00000000" w:usb2="00000010" w:usb3="00000000" w:csb0="00040001" w:csb1="00000000"/>
    <w:embedRegular r:id="rId11" w:fontKey="{FEC9CFEE-1FDA-471F-90A3-E6FAB20A5FC7}"/>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541D73"/>
    <w:multiLevelType w:val="singleLevel"/>
    <w:tmpl w:val="81541D73"/>
    <w:lvl w:ilvl="0" w:tentative="0">
      <w:start w:val="2"/>
      <w:numFmt w:val="chineseCounting"/>
      <w:suff w:val="nothing"/>
      <w:lvlText w:val="%1、"/>
      <w:lvlJc w:val="left"/>
      <w:rPr>
        <w:rFonts w:hint="eastAsia"/>
      </w:rPr>
    </w:lvl>
  </w:abstractNum>
  <w:abstractNum w:abstractNumId="1">
    <w:nsid w:val="941B05B1"/>
    <w:multiLevelType w:val="singleLevel"/>
    <w:tmpl w:val="941B05B1"/>
    <w:lvl w:ilvl="0" w:tentative="0">
      <w:start w:val="2"/>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022B5"/>
    <w:rsid w:val="00117946"/>
    <w:rsid w:val="00117E2C"/>
    <w:rsid w:val="00146C47"/>
    <w:rsid w:val="00152FB8"/>
    <w:rsid w:val="00176658"/>
    <w:rsid w:val="0018239E"/>
    <w:rsid w:val="001B3410"/>
    <w:rsid w:val="001C030D"/>
    <w:rsid w:val="001C4A84"/>
    <w:rsid w:val="001E5902"/>
    <w:rsid w:val="00212459"/>
    <w:rsid w:val="00221B5E"/>
    <w:rsid w:val="00224E91"/>
    <w:rsid w:val="00233705"/>
    <w:rsid w:val="00275CA2"/>
    <w:rsid w:val="002A65A5"/>
    <w:rsid w:val="002C04C4"/>
    <w:rsid w:val="002D08B0"/>
    <w:rsid w:val="002D1AE3"/>
    <w:rsid w:val="002F2ECE"/>
    <w:rsid w:val="00341C8F"/>
    <w:rsid w:val="0035463A"/>
    <w:rsid w:val="00364499"/>
    <w:rsid w:val="00391D9D"/>
    <w:rsid w:val="00391E1D"/>
    <w:rsid w:val="003B6C51"/>
    <w:rsid w:val="003C1413"/>
    <w:rsid w:val="003C549F"/>
    <w:rsid w:val="003D5A16"/>
    <w:rsid w:val="003E7DB3"/>
    <w:rsid w:val="003F7EC9"/>
    <w:rsid w:val="00431175"/>
    <w:rsid w:val="004B6E37"/>
    <w:rsid w:val="004C32BA"/>
    <w:rsid w:val="00502871"/>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727F1"/>
    <w:rsid w:val="008C0149"/>
    <w:rsid w:val="008C689C"/>
    <w:rsid w:val="008C7AC2"/>
    <w:rsid w:val="008D5DED"/>
    <w:rsid w:val="008E25CA"/>
    <w:rsid w:val="008F34FC"/>
    <w:rsid w:val="00935058"/>
    <w:rsid w:val="00944CD7"/>
    <w:rsid w:val="009831B2"/>
    <w:rsid w:val="009A1ABE"/>
    <w:rsid w:val="009E21A4"/>
    <w:rsid w:val="009F22C6"/>
    <w:rsid w:val="009F2C72"/>
    <w:rsid w:val="00A07E50"/>
    <w:rsid w:val="00A15397"/>
    <w:rsid w:val="00A35CE0"/>
    <w:rsid w:val="00A4462E"/>
    <w:rsid w:val="00A44AA4"/>
    <w:rsid w:val="00A61623"/>
    <w:rsid w:val="00A84687"/>
    <w:rsid w:val="00AB0A0E"/>
    <w:rsid w:val="00AD3B6E"/>
    <w:rsid w:val="00B1751F"/>
    <w:rsid w:val="00B56722"/>
    <w:rsid w:val="00B74D39"/>
    <w:rsid w:val="00B855F4"/>
    <w:rsid w:val="00B91DA4"/>
    <w:rsid w:val="00C12630"/>
    <w:rsid w:val="00C34562"/>
    <w:rsid w:val="00C3774E"/>
    <w:rsid w:val="00C57456"/>
    <w:rsid w:val="00C63FA1"/>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8744D"/>
    <w:rsid w:val="00EB6A8B"/>
    <w:rsid w:val="00EB7A93"/>
    <w:rsid w:val="00EF38C6"/>
    <w:rsid w:val="00F679C7"/>
    <w:rsid w:val="00F7711A"/>
    <w:rsid w:val="00FA0D58"/>
    <w:rsid w:val="00FA56F4"/>
    <w:rsid w:val="00FB4EDA"/>
    <w:rsid w:val="00FD3BD5"/>
    <w:rsid w:val="00FE3DC8"/>
    <w:rsid w:val="04073F84"/>
    <w:rsid w:val="049A4F4F"/>
    <w:rsid w:val="091972B4"/>
    <w:rsid w:val="09AE04BF"/>
    <w:rsid w:val="0B60750A"/>
    <w:rsid w:val="10686488"/>
    <w:rsid w:val="10DF728A"/>
    <w:rsid w:val="12337D8B"/>
    <w:rsid w:val="1264200E"/>
    <w:rsid w:val="141C5B77"/>
    <w:rsid w:val="16E6787B"/>
    <w:rsid w:val="18D8339D"/>
    <w:rsid w:val="1A21388F"/>
    <w:rsid w:val="1A570D2F"/>
    <w:rsid w:val="253F5A53"/>
    <w:rsid w:val="27874249"/>
    <w:rsid w:val="28FB0B8D"/>
    <w:rsid w:val="2A9870FC"/>
    <w:rsid w:val="2D2B7942"/>
    <w:rsid w:val="2D46481D"/>
    <w:rsid w:val="2E733B28"/>
    <w:rsid w:val="31852B5A"/>
    <w:rsid w:val="32D01238"/>
    <w:rsid w:val="3A6556B9"/>
    <w:rsid w:val="3DFC59A8"/>
    <w:rsid w:val="3ECF245E"/>
    <w:rsid w:val="3FB96314"/>
    <w:rsid w:val="436D72FF"/>
    <w:rsid w:val="4E615109"/>
    <w:rsid w:val="502C7B5A"/>
    <w:rsid w:val="53A44FAF"/>
    <w:rsid w:val="571A6EBF"/>
    <w:rsid w:val="594329EC"/>
    <w:rsid w:val="5BEE1540"/>
    <w:rsid w:val="5DE61A5D"/>
    <w:rsid w:val="63C04243"/>
    <w:rsid w:val="649C01C7"/>
    <w:rsid w:val="699A3F60"/>
    <w:rsid w:val="6F1134AE"/>
    <w:rsid w:val="72902E62"/>
    <w:rsid w:val="73C61104"/>
    <w:rsid w:val="776452EA"/>
    <w:rsid w:val="7DC663B9"/>
    <w:rsid w:val="7F204AAC"/>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Table Paragraph"/>
    <w:basedOn w:val="1"/>
    <w:qFormat/>
    <w:uiPriority w:val="1"/>
    <w:pPr>
      <w:spacing w:line="258" w:lineRule="exact"/>
      <w:jc w:val="right"/>
    </w:pPr>
    <w:rPr>
      <w:rFonts w:ascii="宋体" w:hAnsi="宋体" w:cs="宋体"/>
      <w:lang w:val="zh-CN" w:bidi="zh-CN"/>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21525;&#28113;\2018&#20915;&#3163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3"/>
              <c:layout>
                <c:manualLayout>
                  <c:x val="0.0863862647614778"/>
                  <c:y val="0.21034507003322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82903262475844"/>
                      <c:h val="0.236926098698748"/>
                    </c:manualLayout>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1085.67</c:v>
                </c:pt>
                <c:pt idx="1">
                  <c:v>0</c:v>
                </c:pt>
                <c:pt idx="3">
                  <c:v>0</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rgbClr val="0000FF">
          <a:alpha val="0"/>
        </a:srgb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strCache>
            </c:strRef>
          </c:cat>
          <c:val>
            <c:numRef>
              <c:f>'[部门决算公开制图模板（修改版）(1).xlsx]支出情况说明'!$B$5:$B$7</c:f>
              <c:numCache>
                <c:formatCode>General</c:formatCode>
                <c:ptCount val="3"/>
                <c:pt idx="0">
                  <c:v>677.81</c:v>
                </c:pt>
                <c:pt idx="1">
                  <c:v>424.14</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strCache>
            </c:strRef>
          </c:cat>
          <c:val>
            <c:numRef>
              <c:f>'[部门决算公开制图模板（修改版）(1).xlsx]支出情况说明'!$B$5:$B$7</c:f>
              <c:numCache>
                <c:formatCode>General</c:formatCode>
                <c:ptCount val="3"/>
                <c:pt idx="0">
                  <c:v>677.81</c:v>
                </c:pt>
                <c:pt idx="1">
                  <c:v>424.14</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11821741032371"/>
          <c:y val="0.031055900621118"/>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1085.67</c:v>
                </c:pt>
                <c:pt idx="1">
                  <c:v>1101.95</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544.47</c:v>
                </c:pt>
                <c:pt idx="1">
                  <c:v>528.19</c:v>
                </c:pt>
              </c:numCache>
            </c:numRef>
          </c:val>
        </c:ser>
        <c:dLbls>
          <c:showLegendKey val="0"/>
          <c:showVal val="1"/>
          <c:showCatName val="0"/>
          <c:showSerName val="0"/>
          <c:showPercent val="0"/>
          <c:showBubbleSize val="0"/>
        </c:dLbls>
        <c:gapWidth val="75"/>
        <c:axId val="185492224"/>
        <c:axId val="185494528"/>
      </c:barChart>
      <c:catAx>
        <c:axId val="18549222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494528"/>
        <c:crosses val="autoZero"/>
        <c:auto val="1"/>
        <c:lblAlgn val="ctr"/>
        <c:lblOffset val="100"/>
        <c:noMultiLvlLbl val="0"/>
      </c:catAx>
      <c:valAx>
        <c:axId val="1854945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492224"/>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0913888888888889"/>
          <c:y val="0.0533333333333333"/>
          <c:w val="0.869289370078741"/>
          <c:h val="0.768818002863279"/>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509.17</c:v>
                </c:pt>
                <c:pt idx="1">
                  <c:v>509.17</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1085.67</c:v>
                </c:pt>
                <c:pt idx="1">
                  <c:v>1101.95</c:v>
                </c:pt>
              </c:numCache>
            </c:numRef>
          </c:val>
        </c:ser>
        <c:dLbls>
          <c:showLegendKey val="0"/>
          <c:showVal val="1"/>
          <c:showCatName val="0"/>
          <c:showSerName val="0"/>
          <c:showPercent val="0"/>
          <c:showBubbleSize val="0"/>
        </c:dLbls>
        <c:gapWidth val="75"/>
        <c:axId val="187933056"/>
        <c:axId val="187936128"/>
      </c:barChart>
      <c:catAx>
        <c:axId val="18793305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7936128"/>
        <c:crosses val="autoZero"/>
        <c:auto val="1"/>
        <c:lblAlgn val="ctr"/>
        <c:lblOffset val="100"/>
        <c:noMultiLvlLbl val="0"/>
      </c:catAx>
      <c:valAx>
        <c:axId val="1879361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7933056"/>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6"/>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795.38</c:v>
                </c:pt>
                <c:pt idx="5">
                  <c:v>10</c:v>
                </c:pt>
                <c:pt idx="7">
                  <c:v>74.73</c:v>
                </c:pt>
                <c:pt idx="8">
                  <c:v>221.84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128AC7-18FD-4ADC-9441-8B8BA7E44256}">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40</Pages>
  <Words>1993</Words>
  <Characters>11366</Characters>
  <Lines>94</Lines>
  <Paragraphs>26</Paragraphs>
  <TotalTime>47</TotalTime>
  <ScaleCrop>false</ScaleCrop>
  <LinksUpToDate>false</LinksUpToDate>
  <CharactersWithSpaces>13333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2023-08-28T07:26:35Z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42BE235A849D48AABAC8CDEF77225860</vt:lpwstr>
  </property>
</Properties>
</file>