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7"/>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color w:val="FDEFBE"/>
                      <w:sz w:val="96"/>
                      <w:szCs w:val="96"/>
                    </w:rPr>
                  </w:pPr>
                  <w:r>
                    <w:rPr>
                      <w:rFonts w:hint="eastAsia" w:hAnsi="宋体" w:asciiTheme="minorEastAsia" w:eastAsiaTheme="minorEastAsia"/>
                      <w:color w:val="FDEFBE"/>
                      <w:sz w:val="96"/>
                      <w:szCs w:val="96"/>
                    </w:rPr>
                    <w:t>无极县里城道乡人民政府2018年度部门决算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headerReference r:id="rId5" w:type="default"/>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spacing w:beforeLines="200" w:after="0" w:line="1000" w:lineRule="exact"/>
        <w:jc w:val="center"/>
        <w:rPr>
          <w:rFonts w:ascii="黑体" w:eastAsia="黑体"/>
          <w:sz w:val="48"/>
          <w:szCs w:val="48"/>
        </w:rPr>
      </w:pPr>
      <w:r>
        <w:rPr>
          <w:rFonts w:hint="eastAsia" w:ascii="黑体" w:eastAsia="黑体"/>
          <w:sz w:val="48"/>
          <w:szCs w:val="48"/>
        </w:rPr>
        <w:t>目录</w:t>
      </w:r>
    </w:p>
    <w:p>
      <w:pPr>
        <w:widowControl/>
        <w:spacing w:line="580" w:lineRule="exact"/>
        <w:ind w:firstLine="640" w:firstLineChars="200"/>
        <w:rPr>
          <w:rFonts w:eastAsia="黑体"/>
          <w:sz w:val="32"/>
          <w:szCs w:val="32"/>
        </w:rPr>
      </w:pPr>
      <w:bookmarkStart w:id="0" w:name="_GoBack"/>
      <w:bookmarkEnd w:id="0"/>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第三部分</w:t>
      </w:r>
      <w:r>
        <w:rPr>
          <w:rFonts w:hint="eastAsia" w:eastAsia="黑体"/>
          <w:sz w:val="32"/>
          <w:szCs w:val="32"/>
        </w:rPr>
        <w:t>里城道乡</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left="640" w:firstLine="640" w:firstLineChars="200"/>
        <w:rPr>
          <w:rFonts w:eastAsia="仿宋_GB2312"/>
          <w:sz w:val="32"/>
          <w:szCs w:val="32"/>
        </w:rPr>
      </w:pPr>
      <w:r>
        <w:rPr>
          <w:rFonts w:hint="eastAsia" w:eastAsia="仿宋_GB2312"/>
          <w:sz w:val="32"/>
          <w:szCs w:val="32"/>
        </w:rPr>
        <w:t>一、财政拨款收入</w:t>
      </w:r>
    </w:p>
    <w:p>
      <w:pPr>
        <w:widowControl/>
        <w:spacing w:line="580" w:lineRule="exact"/>
        <w:ind w:left="640" w:firstLine="640" w:firstLineChars="200"/>
        <w:rPr>
          <w:rFonts w:eastAsia="仿宋_GB2312"/>
          <w:sz w:val="32"/>
          <w:szCs w:val="32"/>
        </w:rPr>
      </w:pPr>
      <w:r>
        <w:rPr>
          <w:rFonts w:hint="eastAsia" w:eastAsia="仿宋_GB2312"/>
          <w:sz w:val="32"/>
          <w:szCs w:val="32"/>
        </w:rPr>
        <w:t>二、事业收入</w:t>
      </w:r>
    </w:p>
    <w:p>
      <w:pPr>
        <w:widowControl/>
        <w:spacing w:line="580" w:lineRule="exact"/>
        <w:ind w:left="640" w:firstLine="640" w:firstLineChars="200"/>
        <w:rPr>
          <w:rFonts w:eastAsia="仿宋_GB2312"/>
          <w:sz w:val="32"/>
          <w:szCs w:val="32"/>
        </w:rPr>
      </w:pPr>
      <w:r>
        <w:rPr>
          <w:rFonts w:hint="eastAsia" w:eastAsia="仿宋_GB2312"/>
          <w:sz w:val="32"/>
          <w:szCs w:val="32"/>
        </w:rPr>
        <w:t>三、其他收入</w:t>
      </w:r>
    </w:p>
    <w:p>
      <w:pPr>
        <w:widowControl/>
        <w:spacing w:line="580" w:lineRule="exact"/>
        <w:ind w:left="640" w:firstLine="640" w:firstLineChars="200"/>
        <w:rPr>
          <w:rFonts w:eastAsia="仿宋_GB2312"/>
          <w:sz w:val="32"/>
          <w:szCs w:val="32"/>
        </w:rPr>
      </w:pPr>
      <w:r>
        <w:rPr>
          <w:rFonts w:hint="eastAsia" w:eastAsia="仿宋_GB2312"/>
          <w:sz w:val="32"/>
          <w:szCs w:val="32"/>
        </w:rPr>
        <w:t>四、用事业基金弥补收支差额</w:t>
      </w:r>
    </w:p>
    <w:p>
      <w:pPr>
        <w:widowControl/>
        <w:spacing w:line="580" w:lineRule="exact"/>
        <w:ind w:left="640" w:firstLine="640" w:firstLineChars="200"/>
        <w:rPr>
          <w:rFonts w:eastAsia="仿宋_GB2312"/>
          <w:sz w:val="32"/>
          <w:szCs w:val="32"/>
        </w:rPr>
      </w:pPr>
      <w:r>
        <w:rPr>
          <w:rFonts w:hint="eastAsia" w:eastAsia="仿宋_GB2312"/>
          <w:sz w:val="32"/>
          <w:szCs w:val="32"/>
        </w:rPr>
        <w:t>五、年初结转和结余</w:t>
      </w:r>
    </w:p>
    <w:p>
      <w:pPr>
        <w:widowControl/>
        <w:spacing w:line="580" w:lineRule="exact"/>
        <w:ind w:left="640" w:firstLine="640" w:firstLineChars="200"/>
        <w:rPr>
          <w:rFonts w:eastAsia="仿宋_GB2312"/>
          <w:sz w:val="32"/>
          <w:szCs w:val="32"/>
        </w:rPr>
      </w:pPr>
      <w:r>
        <w:rPr>
          <w:rFonts w:hint="eastAsia" w:eastAsia="仿宋_GB2312"/>
          <w:sz w:val="32"/>
          <w:szCs w:val="32"/>
        </w:rPr>
        <w:t>六、结余分配</w:t>
      </w:r>
    </w:p>
    <w:p>
      <w:pPr>
        <w:widowControl/>
        <w:spacing w:line="580" w:lineRule="exact"/>
        <w:ind w:left="640" w:firstLine="640" w:firstLineChars="200"/>
        <w:rPr>
          <w:rFonts w:eastAsia="仿宋_GB2312"/>
          <w:sz w:val="32"/>
          <w:szCs w:val="32"/>
        </w:rPr>
      </w:pPr>
      <w:r>
        <w:rPr>
          <w:rFonts w:hint="eastAsia" w:eastAsia="仿宋_GB2312"/>
          <w:sz w:val="32"/>
          <w:szCs w:val="32"/>
        </w:rPr>
        <w:t>七、年末结转和结余</w:t>
      </w:r>
    </w:p>
    <w:p>
      <w:pPr>
        <w:widowControl/>
        <w:spacing w:line="580" w:lineRule="exact"/>
        <w:ind w:left="640" w:firstLine="640" w:firstLineChars="200"/>
        <w:rPr>
          <w:rFonts w:eastAsia="仿宋_GB2312"/>
          <w:sz w:val="32"/>
          <w:szCs w:val="32"/>
        </w:rPr>
      </w:pPr>
      <w:r>
        <w:rPr>
          <w:rFonts w:hint="eastAsia" w:eastAsia="仿宋_GB2312"/>
          <w:sz w:val="32"/>
          <w:szCs w:val="32"/>
        </w:rPr>
        <w:t>八、基本支出</w:t>
      </w:r>
    </w:p>
    <w:p>
      <w:pPr>
        <w:widowControl/>
        <w:spacing w:line="580" w:lineRule="exact"/>
        <w:ind w:left="640" w:firstLine="640" w:firstLineChars="200"/>
        <w:rPr>
          <w:rFonts w:eastAsia="仿宋_GB2312"/>
          <w:sz w:val="32"/>
          <w:szCs w:val="32"/>
        </w:rPr>
      </w:pPr>
      <w:r>
        <w:rPr>
          <w:rFonts w:hint="eastAsia" w:eastAsia="仿宋_GB2312"/>
          <w:sz w:val="32"/>
          <w:szCs w:val="32"/>
        </w:rPr>
        <w:t>九、项目支出</w:t>
      </w:r>
    </w:p>
    <w:p>
      <w:pPr>
        <w:widowControl/>
        <w:spacing w:line="580" w:lineRule="exact"/>
        <w:ind w:left="640" w:firstLine="640" w:firstLineChars="200"/>
        <w:rPr>
          <w:rFonts w:eastAsia="仿宋_GB2312"/>
          <w:sz w:val="32"/>
          <w:szCs w:val="32"/>
        </w:rPr>
      </w:pPr>
      <w:r>
        <w:rPr>
          <w:rFonts w:hint="eastAsia" w:eastAsia="仿宋_GB2312"/>
          <w:sz w:val="32"/>
          <w:szCs w:val="32"/>
        </w:rPr>
        <w:t>十、基本建设支出</w:t>
      </w:r>
    </w:p>
    <w:p>
      <w:pPr>
        <w:widowControl/>
        <w:spacing w:line="580" w:lineRule="exact"/>
        <w:ind w:left="640" w:firstLine="640" w:firstLineChars="200"/>
        <w:rPr>
          <w:rFonts w:eastAsia="仿宋_GB2312"/>
          <w:sz w:val="32"/>
          <w:szCs w:val="32"/>
        </w:rPr>
      </w:pPr>
      <w:r>
        <w:rPr>
          <w:rFonts w:hint="eastAsia" w:eastAsia="仿宋_GB2312"/>
          <w:sz w:val="32"/>
          <w:szCs w:val="32"/>
        </w:rPr>
        <w:t>十一、其他资本性支出</w:t>
      </w:r>
    </w:p>
    <w:p>
      <w:pPr>
        <w:widowControl/>
        <w:spacing w:line="580" w:lineRule="exact"/>
        <w:ind w:left="640" w:firstLine="640" w:firstLineChars="200"/>
        <w:rPr>
          <w:rFonts w:eastAsia="仿宋_GB2312"/>
          <w:sz w:val="32"/>
          <w:szCs w:val="32"/>
        </w:rPr>
      </w:pPr>
      <w:r>
        <w:rPr>
          <w:rFonts w:hint="eastAsia" w:eastAsia="仿宋_GB2312"/>
          <w:sz w:val="32"/>
          <w:szCs w:val="32"/>
        </w:rPr>
        <w:t>十二、“三公”经费</w:t>
      </w:r>
    </w:p>
    <w:p>
      <w:pPr>
        <w:widowControl/>
        <w:spacing w:line="580" w:lineRule="exact"/>
        <w:ind w:left="640" w:firstLine="640" w:firstLineChars="200"/>
        <w:rPr>
          <w:rFonts w:eastAsia="仿宋_GB2312"/>
          <w:sz w:val="32"/>
          <w:szCs w:val="32"/>
        </w:rPr>
      </w:pPr>
      <w:r>
        <w:rPr>
          <w:rFonts w:hint="eastAsia" w:eastAsia="仿宋_GB2312"/>
          <w:sz w:val="32"/>
          <w:szCs w:val="32"/>
        </w:rPr>
        <w:t>十三、其他交通费用</w:t>
      </w:r>
    </w:p>
    <w:p>
      <w:pPr>
        <w:widowControl/>
        <w:spacing w:line="580" w:lineRule="exact"/>
        <w:ind w:left="640" w:firstLine="640" w:firstLineChars="200"/>
        <w:rPr>
          <w:rFonts w:eastAsia="仿宋_GB2312"/>
          <w:sz w:val="32"/>
          <w:szCs w:val="32"/>
        </w:rPr>
      </w:pPr>
      <w:r>
        <w:rPr>
          <w:rFonts w:hint="eastAsia" w:eastAsia="仿宋_GB2312"/>
          <w:sz w:val="32"/>
          <w:szCs w:val="32"/>
        </w:rPr>
        <w:t>十四、公务用车购置</w:t>
      </w:r>
    </w:p>
    <w:p>
      <w:pPr>
        <w:widowControl/>
        <w:spacing w:line="580" w:lineRule="exact"/>
        <w:ind w:left="640" w:firstLine="640" w:firstLineChars="200"/>
        <w:rPr>
          <w:rFonts w:eastAsia="仿宋_GB2312"/>
          <w:sz w:val="32"/>
          <w:szCs w:val="32"/>
        </w:rPr>
      </w:pPr>
      <w:r>
        <w:rPr>
          <w:rFonts w:hint="eastAsia" w:eastAsia="仿宋_GB2312"/>
          <w:sz w:val="32"/>
          <w:szCs w:val="32"/>
        </w:rPr>
        <w:t>十五、其他交通工具购置</w:t>
      </w:r>
    </w:p>
    <w:p>
      <w:pPr>
        <w:widowControl/>
        <w:spacing w:line="580" w:lineRule="exact"/>
        <w:ind w:left="640" w:firstLine="640" w:firstLineChars="200"/>
        <w:rPr>
          <w:rFonts w:eastAsia="仿宋_GB2312"/>
          <w:sz w:val="32"/>
          <w:szCs w:val="32"/>
        </w:rPr>
      </w:pPr>
      <w:r>
        <w:rPr>
          <w:rFonts w:hint="eastAsia" w:eastAsia="仿宋_GB2312"/>
          <w:sz w:val="32"/>
          <w:szCs w:val="32"/>
        </w:rPr>
        <w:t>十六、机关运行经费</w:t>
      </w:r>
    </w:p>
    <w:p>
      <w:pPr>
        <w:widowControl/>
        <w:spacing w:line="580" w:lineRule="exact"/>
        <w:ind w:left="640" w:firstLine="640" w:firstLineChars="200"/>
        <w:rPr>
          <w:rFonts w:eastAsia="仿宋_GB2312"/>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8"/>
                    <a:stretch>
                      <a:fillRect/>
                    </a:stretch>
                  </pic:blipFill>
                  <pic:spPr>
                    <a:xfrm>
                      <a:off x="0" y="0"/>
                      <a:ext cx="7585710" cy="10727055"/>
                    </a:xfrm>
                    <a:prstGeom prst="rect">
                      <a:avLst/>
                    </a:prstGeom>
                  </pic:spPr>
                </pic:pic>
              </a:graphicData>
            </a:graphic>
          </wp:anchor>
        </w:drawing>
      </w:r>
      <w:r>
        <w:rPr>
          <w:sz w:val="72"/>
        </w:rPr>
        <w:pict>
          <v:shape id="_x0000_s1030" o:spid="_x0000_s1030" o:spt="202" type="#_x0000_t202" style="position:absolute;left:0pt;margin-left:-97.3pt;margin-top:259.1pt;height:81.7pt;width:613.65pt;z-index:251669504;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3"/>
        <w:spacing w:before="0" w:after="0" w:line="560" w:lineRule="exact"/>
        <w:ind w:firstLine="643" w:firstLineChars="200"/>
        <w:rPr>
          <w:rFonts w:ascii="宋体" w:hAnsi="宋体" w:eastAsia="宋体" w:cs="宋体"/>
          <w:kern w:val="0"/>
        </w:rPr>
      </w:pPr>
      <w:r>
        <w:rPr>
          <w:rFonts w:hint="eastAsia" w:ascii="宋体" w:hAnsi="宋体" w:eastAsia="宋体" w:cs="宋体"/>
          <w:kern w:val="0"/>
        </w:rPr>
        <w:t>一、部门职责</w:t>
      </w:r>
    </w:p>
    <w:p>
      <w:pPr>
        <w:widowControl/>
        <w:spacing w:line="580" w:lineRule="exact"/>
        <w:ind w:left="640" w:firstLine="640" w:firstLineChars="200"/>
        <w:rPr>
          <w:rFonts w:eastAsia="仿宋_GB2312"/>
          <w:sz w:val="32"/>
          <w:szCs w:val="32"/>
        </w:rPr>
      </w:pPr>
      <w:r>
        <w:rPr>
          <w:rFonts w:hint="eastAsia" w:eastAsia="仿宋_GB2312"/>
          <w:sz w:val="32"/>
          <w:szCs w:val="32"/>
        </w:rPr>
        <w:t>宣传、贯彻、执行党的路线方针政策和国家的法律、法规,执行本级人民代表大会的决议和上级国家行政机关的决定和命令,其主要职能为:</w:t>
      </w:r>
    </w:p>
    <w:p>
      <w:pPr>
        <w:widowControl/>
        <w:spacing w:line="580" w:lineRule="exact"/>
        <w:ind w:left="640" w:firstLine="640" w:firstLineChars="200"/>
        <w:rPr>
          <w:rFonts w:eastAsia="仿宋_GB2312"/>
          <w:sz w:val="32"/>
          <w:szCs w:val="32"/>
        </w:rPr>
      </w:pPr>
      <w:r>
        <w:rPr>
          <w:rFonts w:hint="eastAsia" w:eastAsia="仿宋_GB2312"/>
          <w:sz w:val="32"/>
          <w:szCs w:val="32"/>
        </w:rPr>
        <w:t>1.促进经济发展</w:t>
      </w:r>
    </w:p>
    <w:p>
      <w:pPr>
        <w:widowControl/>
        <w:spacing w:line="580" w:lineRule="exact"/>
        <w:ind w:left="640" w:firstLine="640" w:firstLineChars="200"/>
        <w:rPr>
          <w:rFonts w:eastAsia="仿宋_GB2312"/>
          <w:sz w:val="32"/>
          <w:szCs w:val="32"/>
        </w:rPr>
      </w:pPr>
      <w:r>
        <w:rPr>
          <w:rFonts w:hint="eastAsia" w:eastAsia="仿宋_GB2312"/>
          <w:sz w:val="32"/>
          <w:szCs w:val="32"/>
        </w:rPr>
        <w:t>主要包括:（1）搞好本乡镇产业发展规划,引导农民立足自身资源和区位条件,发展优势,大力发展区域特色经济。为农民提供政策、信息等服务,促进农民脱贫致富。（2）加强工业经济管理,为招商引资营造良好环境(投资环境、社会环境)大力发展第二、第三产业,加快城镇化进程;（3）配合民政、商务和供销社等部门,培育和发展农村经济合作组织(各种协会及中介组织);配合农口部门做好农业技术推广和服务工作</w:t>
      </w:r>
    </w:p>
    <w:p>
      <w:pPr>
        <w:widowControl/>
        <w:spacing w:line="580" w:lineRule="exact"/>
        <w:ind w:left="640" w:firstLine="640" w:firstLineChars="200"/>
        <w:rPr>
          <w:rFonts w:eastAsia="仿宋_GB2312"/>
          <w:sz w:val="32"/>
          <w:szCs w:val="32"/>
        </w:rPr>
      </w:pPr>
      <w:r>
        <w:rPr>
          <w:rFonts w:hint="eastAsia" w:eastAsia="仿宋_GB2312"/>
          <w:sz w:val="32"/>
          <w:szCs w:val="32"/>
        </w:rPr>
        <w:t>2.加强社会管理</w:t>
      </w:r>
    </w:p>
    <w:p>
      <w:pPr>
        <w:widowControl/>
        <w:spacing w:line="580" w:lineRule="exact"/>
        <w:ind w:left="640" w:firstLine="640" w:firstLineChars="200"/>
        <w:rPr>
          <w:rFonts w:eastAsia="仿宋_GB2312"/>
          <w:sz w:val="32"/>
          <w:szCs w:val="32"/>
        </w:rPr>
      </w:pPr>
      <w:r>
        <w:rPr>
          <w:rFonts w:hint="eastAsia" w:eastAsia="仿宋_GB2312"/>
          <w:sz w:val="32"/>
          <w:szCs w:val="32"/>
        </w:rPr>
        <w:t>主要包括:（1）加强乡村财政资金监督管理、农村合同管理及农民减负工作;做好乡镇统计、审计等工作。（2）做好人口和计划生育管理工作及计划生育协会工作。加强流动人口生育管理和计划生育技术服务站等工作。（3）推进农村民主政治建设和村民自治,加强农村基层组织建设,为实现公民在选举、决策、管理等方面的民主权利创造条件。（4）加强农村精神文明建设和生态文明村建设,制定构建和谐社会的具体措施,并抓好组织实施。（5）配合城建、国土资源部门做好镇村建设规划、保护耕地工作。（6）配合安全生产监督管理部门做好安全生产监督管理工作。（7）配合武装部做好征兵工作及民兵工作。（8）配合环保部门做好保护环境,改善生态环境工作,提高资源利用率</w:t>
      </w:r>
    </w:p>
    <w:p>
      <w:pPr>
        <w:widowControl/>
        <w:spacing w:line="580" w:lineRule="exact"/>
        <w:ind w:left="640" w:firstLine="640" w:firstLineChars="200"/>
        <w:rPr>
          <w:rFonts w:eastAsia="仿宋_GB2312"/>
          <w:sz w:val="32"/>
          <w:szCs w:val="32"/>
        </w:rPr>
      </w:pPr>
      <w:r>
        <w:rPr>
          <w:rFonts w:hint="eastAsia" w:eastAsia="仿宋_GB2312"/>
          <w:sz w:val="32"/>
          <w:szCs w:val="32"/>
        </w:rPr>
        <w:t>3.提供公共服务</w:t>
      </w:r>
    </w:p>
    <w:p>
      <w:pPr>
        <w:widowControl/>
        <w:spacing w:line="580" w:lineRule="exact"/>
        <w:ind w:left="640" w:firstLine="640" w:firstLineChars="200"/>
        <w:rPr>
          <w:rFonts w:eastAsia="仿宋_GB2312"/>
          <w:sz w:val="32"/>
          <w:szCs w:val="32"/>
        </w:rPr>
      </w:pPr>
      <w:r>
        <w:rPr>
          <w:rFonts w:hint="eastAsia" w:eastAsia="仿宋_GB2312"/>
          <w:sz w:val="32"/>
          <w:szCs w:val="32"/>
        </w:rPr>
        <w:t>主要包括:（1）量力组织乡村公共基础设施建设。（2）配合教育、科技、文体、卫生等部门搞好九年义务教育,普及推广科学技术,丰富农村文化生活,开展全民健身运动,推行和完善新型合作医疗制度,提高参保率;（3）配合农口部门(农、林、牧、水)做好农业技术服务和技术推广工作,动物防疫工作;加强农田水利基本建设,增强农业抗御自然灾害的能力。（4）配合广播电视、电力、电信等部门,做好普及有线电视、电网改造工作,扩大通讯网络在农村的覆盖面。（5）配合民政、残联部门做好农村扶贫和低保工作以及特困户救助和残疾人服务工作。配合劳动部门做好农村劳动力职业培训、劳动就业和社会保障工作。</w:t>
      </w:r>
    </w:p>
    <w:p>
      <w:pPr>
        <w:widowControl/>
        <w:spacing w:line="580" w:lineRule="exact"/>
        <w:ind w:left="640" w:firstLine="640" w:firstLineChars="200"/>
        <w:rPr>
          <w:rFonts w:eastAsia="仿宋_GB2312"/>
          <w:sz w:val="32"/>
          <w:szCs w:val="32"/>
        </w:rPr>
      </w:pPr>
      <w:r>
        <w:rPr>
          <w:rFonts w:hint="eastAsia" w:eastAsia="仿宋_GB2312"/>
          <w:sz w:val="32"/>
          <w:szCs w:val="32"/>
        </w:rPr>
        <w:t>4.维护农村稳定</w:t>
      </w:r>
    </w:p>
    <w:p>
      <w:pPr>
        <w:widowControl/>
        <w:spacing w:line="580" w:lineRule="exact"/>
        <w:ind w:left="640" w:firstLine="640" w:firstLineChars="200"/>
        <w:rPr>
          <w:rFonts w:eastAsia="仿宋_GB2312"/>
          <w:sz w:val="32"/>
          <w:szCs w:val="32"/>
        </w:rPr>
      </w:pPr>
      <w:r>
        <w:rPr>
          <w:rFonts w:hint="eastAsia" w:eastAsia="仿宋_GB2312"/>
          <w:sz w:val="32"/>
          <w:szCs w:val="32"/>
        </w:rPr>
        <w:t>主要包括:（1）做好社会治安</w:t>
      </w:r>
      <w:r>
        <w:rPr>
          <w:rFonts w:hint="eastAsia" w:eastAsia="仿宋_GB2312"/>
          <w:sz w:val="32"/>
          <w:szCs w:val="32"/>
          <w:lang w:eastAsia="zh-CN"/>
        </w:rPr>
        <w:t>综合治理</w:t>
      </w:r>
      <w:r>
        <w:rPr>
          <w:rFonts w:hint="eastAsia" w:eastAsia="仿宋_GB2312"/>
          <w:sz w:val="32"/>
          <w:szCs w:val="32"/>
        </w:rPr>
        <w:t>工作;（2）宣传贯彻国家法律法规和政策,增强农民法律意识,教育农民知法、懂法、守法;（3）做好司法、宗教工作,打击邪教;（4）做好群众来信来访、法律咨询、搞好农村矛盾纠纷排查调处;（5）妥善处理突发性、群体性事件,维护社会稳定;（6）协助司法机关打击各类刑事犯罪活动。</w:t>
      </w:r>
    </w:p>
    <w:p>
      <w:pPr>
        <w:pStyle w:val="2"/>
        <w:numPr>
          <w:ilvl w:val="0"/>
          <w:numId w:val="1"/>
        </w:numPr>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机构设置</w:t>
      </w:r>
    </w:p>
    <w:p>
      <w:pPr>
        <w:spacing w:after="0"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年度本部门决算汇编范围的独立核算单位（以下简称“单位”）共1个，具体情况如下：</w:t>
      </w:r>
    </w:p>
    <w:tbl>
      <w:tblPr>
        <w:tblStyle w:val="13"/>
        <w:tblpPr w:leftFromText="180" w:rightFromText="180" w:vertAnchor="text" w:horzAnchor="page" w:tblpXSpec="center" w:tblpY="398"/>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无极县里城道乡人民政府</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rPr>
          <w:rFonts w:ascii="黑体" w:eastAsia="黑体" w:cs="MS-UIGothic,Bold" w:hAnsiTheme="minorHAnsi"/>
          <w:bCs/>
          <w:kern w:val="0"/>
          <w:sz w:val="52"/>
          <w:szCs w:val="52"/>
        </w:rPr>
      </w:pPr>
    </w:p>
    <w:p>
      <w:pPr>
        <w:widowControl/>
        <w:spacing w:line="560" w:lineRule="exact"/>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8"/>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29" o:spid="_x0000_s1029" o:spt="202" type="#_x0000_t202" style="position:absolute;left:0pt;margin-left:-74.2pt;margin-top:120.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1085.67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795.38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74.73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221.84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1085.67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1101.95</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16.29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1101.95</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1101.95</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74" w:type="dxa"/>
        <w:jc w:val="center"/>
        <w:tblLayout w:type="fixed"/>
        <w:tblCellMar>
          <w:top w:w="0" w:type="dxa"/>
          <w:left w:w="0" w:type="dxa"/>
          <w:bottom w:w="0" w:type="dxa"/>
          <w:right w:w="0" w:type="dxa"/>
        </w:tblCellMar>
      </w:tblPr>
      <w:tblGrid>
        <w:gridCol w:w="338"/>
        <w:gridCol w:w="180"/>
        <w:gridCol w:w="525"/>
        <w:gridCol w:w="1329"/>
        <w:gridCol w:w="537"/>
        <w:gridCol w:w="262"/>
        <w:gridCol w:w="129"/>
        <w:gridCol w:w="693"/>
        <w:gridCol w:w="234"/>
        <w:gridCol w:w="589"/>
        <w:gridCol w:w="340"/>
        <w:gridCol w:w="482"/>
        <w:gridCol w:w="446"/>
        <w:gridCol w:w="376"/>
        <w:gridCol w:w="552"/>
        <w:gridCol w:w="928"/>
        <w:gridCol w:w="934"/>
      </w:tblGrid>
      <w:tr>
        <w:tblPrEx>
          <w:tblCellMar>
            <w:top w:w="0" w:type="dxa"/>
            <w:left w:w="0" w:type="dxa"/>
            <w:bottom w:w="0" w:type="dxa"/>
            <w:right w:w="0" w:type="dxa"/>
          </w:tblCellMar>
        </w:tblPrEx>
        <w:trPr>
          <w:trHeight w:val="770" w:hRule="atLeast"/>
          <w:jc w:val="center"/>
        </w:trPr>
        <w:tc>
          <w:tcPr>
            <w:tcW w:w="8874"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2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2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2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2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2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1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909"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26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2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2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2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2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1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7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8"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7"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9"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8"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8"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8"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34"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4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29"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8"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7"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9"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8"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8"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8"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34"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7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7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8"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1085.67</w:t>
            </w:r>
          </w:p>
        </w:tc>
        <w:tc>
          <w:tcPr>
            <w:tcW w:w="927"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1085.67</w:t>
            </w:r>
          </w:p>
        </w:tc>
        <w:tc>
          <w:tcPr>
            <w:tcW w:w="92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8"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8"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8"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34"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4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201</w:t>
            </w:r>
          </w:p>
        </w:tc>
        <w:tc>
          <w:tcPr>
            <w:tcW w:w="1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一般公共服务支出</w:t>
            </w:r>
          </w:p>
        </w:tc>
        <w:tc>
          <w:tcPr>
            <w:tcW w:w="92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779.10</w:t>
            </w:r>
          </w:p>
        </w:tc>
        <w:tc>
          <w:tcPr>
            <w:tcW w:w="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779.10</w:t>
            </w:r>
          </w:p>
        </w:tc>
        <w:tc>
          <w:tcPr>
            <w:tcW w:w="9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jc w:val="both"/>
              <w:rPr>
                <w:color w:val="000000"/>
                <w:szCs w:val="21"/>
              </w:rPr>
            </w:pPr>
          </w:p>
        </w:tc>
        <w:tc>
          <w:tcPr>
            <w:tcW w:w="928"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jc w:val="both"/>
              <w:rPr>
                <w:color w:val="000000"/>
                <w:szCs w:val="21"/>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r>
      <w:tr>
        <w:tblPrEx>
          <w:tblCellMar>
            <w:top w:w="0" w:type="dxa"/>
            <w:left w:w="0" w:type="dxa"/>
            <w:bottom w:w="0" w:type="dxa"/>
            <w:right w:w="0" w:type="dxa"/>
          </w:tblCellMar>
        </w:tblPrEx>
        <w:trPr>
          <w:trHeight w:val="371" w:hRule="atLeast"/>
          <w:jc w:val="center"/>
        </w:trPr>
        <w:tc>
          <w:tcPr>
            <w:tcW w:w="104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20103</w:t>
            </w:r>
          </w:p>
        </w:tc>
        <w:tc>
          <w:tcPr>
            <w:tcW w:w="1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政府办公厅（室）及相关机构事务</w:t>
            </w:r>
          </w:p>
        </w:tc>
        <w:tc>
          <w:tcPr>
            <w:tcW w:w="92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779.10</w:t>
            </w:r>
          </w:p>
        </w:tc>
        <w:tc>
          <w:tcPr>
            <w:tcW w:w="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779.10</w:t>
            </w:r>
          </w:p>
        </w:tc>
        <w:tc>
          <w:tcPr>
            <w:tcW w:w="9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28"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p>
        </w:tc>
      </w:tr>
      <w:tr>
        <w:tblPrEx>
          <w:tblCellMar>
            <w:top w:w="0" w:type="dxa"/>
            <w:left w:w="0" w:type="dxa"/>
            <w:bottom w:w="0" w:type="dxa"/>
            <w:right w:w="0" w:type="dxa"/>
          </w:tblCellMar>
        </w:tblPrEx>
        <w:trPr>
          <w:trHeight w:val="371" w:hRule="atLeast"/>
          <w:jc w:val="center"/>
        </w:trPr>
        <w:tc>
          <w:tcPr>
            <w:tcW w:w="104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2010301</w:t>
            </w:r>
          </w:p>
        </w:tc>
        <w:tc>
          <w:tcPr>
            <w:tcW w:w="1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258"/>
              <w:jc w:val="left"/>
              <w:rPr>
                <w:color w:val="000000"/>
                <w:szCs w:val="21"/>
              </w:rPr>
            </w:pPr>
            <w:r>
              <w:rPr>
                <w:sz w:val="22"/>
              </w:rPr>
              <w:t>行政运行</w:t>
            </w:r>
          </w:p>
        </w:tc>
        <w:tc>
          <w:tcPr>
            <w:tcW w:w="92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716.08</w:t>
            </w:r>
          </w:p>
        </w:tc>
        <w:tc>
          <w:tcPr>
            <w:tcW w:w="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716.08</w:t>
            </w:r>
          </w:p>
        </w:tc>
        <w:tc>
          <w:tcPr>
            <w:tcW w:w="9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28"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p>
        </w:tc>
      </w:tr>
      <w:tr>
        <w:tblPrEx>
          <w:tblCellMar>
            <w:top w:w="0" w:type="dxa"/>
            <w:left w:w="0" w:type="dxa"/>
            <w:bottom w:w="0" w:type="dxa"/>
            <w:right w:w="0" w:type="dxa"/>
          </w:tblCellMar>
        </w:tblPrEx>
        <w:trPr>
          <w:trHeight w:val="371" w:hRule="atLeast"/>
          <w:jc w:val="center"/>
        </w:trPr>
        <w:tc>
          <w:tcPr>
            <w:tcW w:w="104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2010302</w:t>
            </w:r>
          </w:p>
        </w:tc>
        <w:tc>
          <w:tcPr>
            <w:tcW w:w="1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258"/>
              <w:jc w:val="left"/>
              <w:rPr>
                <w:color w:val="000000"/>
                <w:szCs w:val="21"/>
              </w:rPr>
            </w:pPr>
            <w:r>
              <w:rPr>
                <w:sz w:val="22"/>
              </w:rPr>
              <w:t>一般行政管理事务</w:t>
            </w:r>
          </w:p>
        </w:tc>
        <w:tc>
          <w:tcPr>
            <w:tcW w:w="92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11.51</w:t>
            </w:r>
          </w:p>
        </w:tc>
        <w:tc>
          <w:tcPr>
            <w:tcW w:w="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11.51</w:t>
            </w:r>
          </w:p>
        </w:tc>
        <w:tc>
          <w:tcPr>
            <w:tcW w:w="9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jc w:val="center"/>
              <w:rPr>
                <w:color w:val="000000"/>
                <w:szCs w:val="21"/>
              </w:rPr>
            </w:pPr>
          </w:p>
        </w:tc>
        <w:tc>
          <w:tcPr>
            <w:tcW w:w="928"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p>
        </w:tc>
      </w:tr>
      <w:tr>
        <w:tblPrEx>
          <w:tblCellMar>
            <w:top w:w="0" w:type="dxa"/>
            <w:left w:w="0" w:type="dxa"/>
            <w:bottom w:w="0" w:type="dxa"/>
            <w:right w:w="0" w:type="dxa"/>
          </w:tblCellMar>
        </w:tblPrEx>
        <w:trPr>
          <w:trHeight w:val="371" w:hRule="atLeast"/>
          <w:jc w:val="center"/>
        </w:trPr>
        <w:tc>
          <w:tcPr>
            <w:tcW w:w="104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2010399</w:t>
            </w:r>
          </w:p>
        </w:tc>
        <w:tc>
          <w:tcPr>
            <w:tcW w:w="1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spacing w:line="251" w:lineRule="exact"/>
              <w:ind w:left="241"/>
              <w:jc w:val="left"/>
              <w:rPr>
                <w:color w:val="000000"/>
                <w:szCs w:val="21"/>
              </w:rPr>
            </w:pPr>
            <w:r>
              <w:rPr>
                <w:sz w:val="20"/>
              </w:rPr>
              <w:t>其他政府办公厅（室）及相关机构事务支出</w:t>
            </w:r>
          </w:p>
        </w:tc>
        <w:tc>
          <w:tcPr>
            <w:tcW w:w="92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51.51</w:t>
            </w:r>
          </w:p>
        </w:tc>
        <w:tc>
          <w:tcPr>
            <w:tcW w:w="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51.51</w:t>
            </w:r>
          </w:p>
        </w:tc>
        <w:tc>
          <w:tcPr>
            <w:tcW w:w="9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spacing w:line="251" w:lineRule="exact"/>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jc w:val="both"/>
              <w:rPr>
                <w:color w:val="000000"/>
                <w:szCs w:val="21"/>
              </w:rPr>
            </w:pPr>
          </w:p>
        </w:tc>
        <w:tc>
          <w:tcPr>
            <w:tcW w:w="928"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p>
        </w:tc>
      </w:tr>
      <w:tr>
        <w:tblPrEx>
          <w:tblCellMar>
            <w:top w:w="0" w:type="dxa"/>
            <w:left w:w="0" w:type="dxa"/>
            <w:bottom w:w="0" w:type="dxa"/>
            <w:right w:w="0" w:type="dxa"/>
          </w:tblCellMar>
        </w:tblPrEx>
        <w:trPr>
          <w:trHeight w:val="371" w:hRule="atLeast"/>
          <w:jc w:val="center"/>
        </w:trPr>
        <w:tc>
          <w:tcPr>
            <w:tcW w:w="104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208</w:t>
            </w:r>
          </w:p>
        </w:tc>
        <w:tc>
          <w:tcPr>
            <w:tcW w:w="1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社会保障和就业支出</w:t>
            </w:r>
          </w:p>
        </w:tc>
        <w:tc>
          <w:tcPr>
            <w:tcW w:w="92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10.00</w:t>
            </w:r>
          </w:p>
        </w:tc>
        <w:tc>
          <w:tcPr>
            <w:tcW w:w="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10.00</w:t>
            </w:r>
          </w:p>
        </w:tc>
        <w:tc>
          <w:tcPr>
            <w:tcW w:w="9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28"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p>
        </w:tc>
      </w:tr>
      <w:tr>
        <w:tblPrEx>
          <w:tblCellMar>
            <w:top w:w="0" w:type="dxa"/>
            <w:left w:w="0" w:type="dxa"/>
            <w:bottom w:w="0" w:type="dxa"/>
            <w:right w:w="0" w:type="dxa"/>
          </w:tblCellMar>
        </w:tblPrEx>
        <w:trPr>
          <w:trHeight w:val="371" w:hRule="atLeast"/>
          <w:jc w:val="center"/>
        </w:trPr>
        <w:tc>
          <w:tcPr>
            <w:tcW w:w="104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20899</w:t>
            </w:r>
          </w:p>
        </w:tc>
        <w:tc>
          <w:tcPr>
            <w:tcW w:w="1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其他社会保障和就业支出</w:t>
            </w:r>
          </w:p>
        </w:tc>
        <w:tc>
          <w:tcPr>
            <w:tcW w:w="92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10.00</w:t>
            </w:r>
          </w:p>
        </w:tc>
        <w:tc>
          <w:tcPr>
            <w:tcW w:w="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10.00</w:t>
            </w:r>
          </w:p>
        </w:tc>
        <w:tc>
          <w:tcPr>
            <w:tcW w:w="9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28"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p>
        </w:tc>
      </w:tr>
      <w:tr>
        <w:tblPrEx>
          <w:tblCellMar>
            <w:top w:w="0" w:type="dxa"/>
            <w:left w:w="0" w:type="dxa"/>
            <w:bottom w:w="0" w:type="dxa"/>
            <w:right w:w="0" w:type="dxa"/>
          </w:tblCellMar>
        </w:tblPrEx>
        <w:trPr>
          <w:trHeight w:val="371" w:hRule="atLeast"/>
          <w:jc w:val="center"/>
        </w:trPr>
        <w:tc>
          <w:tcPr>
            <w:tcW w:w="104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2089901</w:t>
            </w:r>
          </w:p>
        </w:tc>
        <w:tc>
          <w:tcPr>
            <w:tcW w:w="1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258"/>
              <w:jc w:val="left"/>
              <w:rPr>
                <w:color w:val="000000"/>
                <w:szCs w:val="21"/>
              </w:rPr>
            </w:pPr>
            <w:r>
              <w:rPr>
                <w:sz w:val="22"/>
              </w:rPr>
              <w:t>其他社会保障和就业支出</w:t>
            </w:r>
          </w:p>
        </w:tc>
        <w:tc>
          <w:tcPr>
            <w:tcW w:w="92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10.00</w:t>
            </w:r>
          </w:p>
        </w:tc>
        <w:tc>
          <w:tcPr>
            <w:tcW w:w="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10.00</w:t>
            </w:r>
          </w:p>
        </w:tc>
        <w:tc>
          <w:tcPr>
            <w:tcW w:w="9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28"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p>
        </w:tc>
      </w:tr>
      <w:tr>
        <w:tblPrEx>
          <w:tblCellMar>
            <w:top w:w="0" w:type="dxa"/>
            <w:left w:w="0" w:type="dxa"/>
            <w:bottom w:w="0" w:type="dxa"/>
            <w:right w:w="0" w:type="dxa"/>
          </w:tblCellMar>
        </w:tblPrEx>
        <w:trPr>
          <w:trHeight w:val="371" w:hRule="atLeast"/>
          <w:jc w:val="center"/>
        </w:trPr>
        <w:tc>
          <w:tcPr>
            <w:tcW w:w="104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211</w:t>
            </w:r>
          </w:p>
        </w:tc>
        <w:tc>
          <w:tcPr>
            <w:tcW w:w="1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节能环保支出</w:t>
            </w:r>
          </w:p>
        </w:tc>
        <w:tc>
          <w:tcPr>
            <w:tcW w:w="92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74.73</w:t>
            </w:r>
          </w:p>
        </w:tc>
        <w:tc>
          <w:tcPr>
            <w:tcW w:w="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74.73</w:t>
            </w:r>
          </w:p>
        </w:tc>
        <w:tc>
          <w:tcPr>
            <w:tcW w:w="9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28"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p>
        </w:tc>
      </w:tr>
      <w:tr>
        <w:tblPrEx>
          <w:tblCellMar>
            <w:top w:w="0" w:type="dxa"/>
            <w:left w:w="0" w:type="dxa"/>
            <w:bottom w:w="0" w:type="dxa"/>
            <w:right w:w="0" w:type="dxa"/>
          </w:tblCellMar>
        </w:tblPrEx>
        <w:trPr>
          <w:trHeight w:val="371" w:hRule="atLeast"/>
          <w:jc w:val="center"/>
        </w:trPr>
        <w:tc>
          <w:tcPr>
            <w:tcW w:w="104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21103</w:t>
            </w:r>
          </w:p>
        </w:tc>
        <w:tc>
          <w:tcPr>
            <w:tcW w:w="1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污染防治</w:t>
            </w:r>
          </w:p>
        </w:tc>
        <w:tc>
          <w:tcPr>
            <w:tcW w:w="92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74.73</w:t>
            </w:r>
          </w:p>
        </w:tc>
        <w:tc>
          <w:tcPr>
            <w:tcW w:w="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74.73</w:t>
            </w:r>
          </w:p>
        </w:tc>
        <w:tc>
          <w:tcPr>
            <w:tcW w:w="9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28"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p>
        </w:tc>
      </w:tr>
      <w:tr>
        <w:tblPrEx>
          <w:tblCellMar>
            <w:top w:w="0" w:type="dxa"/>
            <w:left w:w="0" w:type="dxa"/>
            <w:bottom w:w="0" w:type="dxa"/>
            <w:right w:w="0" w:type="dxa"/>
          </w:tblCellMar>
        </w:tblPrEx>
        <w:trPr>
          <w:trHeight w:val="371" w:hRule="atLeast"/>
          <w:jc w:val="center"/>
        </w:trPr>
        <w:tc>
          <w:tcPr>
            <w:tcW w:w="104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sz w:val="22"/>
              </w:rPr>
            </w:pPr>
            <w:r>
              <w:rPr>
                <w:sz w:val="22"/>
              </w:rPr>
              <w:t>2110301</w:t>
            </w:r>
          </w:p>
        </w:tc>
        <w:tc>
          <w:tcPr>
            <w:tcW w:w="1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258"/>
              <w:jc w:val="left"/>
              <w:rPr>
                <w:sz w:val="22"/>
              </w:rPr>
            </w:pPr>
            <w:r>
              <w:rPr>
                <w:sz w:val="22"/>
              </w:rPr>
              <w:t>大气</w:t>
            </w:r>
          </w:p>
        </w:tc>
        <w:tc>
          <w:tcPr>
            <w:tcW w:w="92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sz w:val="22"/>
              </w:rPr>
            </w:pPr>
            <w:r>
              <w:rPr>
                <w:sz w:val="22"/>
              </w:rPr>
              <w:t>74.73</w:t>
            </w:r>
          </w:p>
        </w:tc>
        <w:tc>
          <w:tcPr>
            <w:tcW w:w="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sz w:val="22"/>
              </w:rPr>
            </w:pPr>
            <w:r>
              <w:rPr>
                <w:sz w:val="22"/>
              </w:rPr>
              <w:t>74.73</w:t>
            </w:r>
          </w:p>
        </w:tc>
        <w:tc>
          <w:tcPr>
            <w:tcW w:w="9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28"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p>
        </w:tc>
      </w:tr>
      <w:tr>
        <w:tblPrEx>
          <w:tblCellMar>
            <w:top w:w="0" w:type="dxa"/>
            <w:left w:w="0" w:type="dxa"/>
            <w:bottom w:w="0" w:type="dxa"/>
            <w:right w:w="0" w:type="dxa"/>
          </w:tblCellMar>
        </w:tblPrEx>
        <w:trPr>
          <w:trHeight w:val="371" w:hRule="atLeast"/>
          <w:jc w:val="center"/>
        </w:trPr>
        <w:tc>
          <w:tcPr>
            <w:tcW w:w="104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sz w:val="22"/>
              </w:rPr>
            </w:pPr>
            <w:r>
              <w:rPr>
                <w:sz w:val="22"/>
              </w:rPr>
              <w:t>212</w:t>
            </w:r>
          </w:p>
        </w:tc>
        <w:tc>
          <w:tcPr>
            <w:tcW w:w="1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sz w:val="22"/>
              </w:rPr>
            </w:pPr>
            <w:r>
              <w:rPr>
                <w:sz w:val="22"/>
              </w:rPr>
              <w:t>城乡社区支出</w:t>
            </w:r>
          </w:p>
        </w:tc>
        <w:tc>
          <w:tcPr>
            <w:tcW w:w="92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sz w:val="22"/>
              </w:rPr>
            </w:pPr>
            <w:r>
              <w:rPr>
                <w:sz w:val="22"/>
              </w:rPr>
              <w:t>221.84</w:t>
            </w:r>
          </w:p>
        </w:tc>
        <w:tc>
          <w:tcPr>
            <w:tcW w:w="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sz w:val="22"/>
              </w:rPr>
            </w:pPr>
            <w:r>
              <w:rPr>
                <w:sz w:val="22"/>
              </w:rPr>
              <w:t>221.84</w:t>
            </w:r>
          </w:p>
        </w:tc>
        <w:tc>
          <w:tcPr>
            <w:tcW w:w="9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28"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p>
        </w:tc>
      </w:tr>
      <w:tr>
        <w:tblPrEx>
          <w:tblCellMar>
            <w:top w:w="0" w:type="dxa"/>
            <w:left w:w="0" w:type="dxa"/>
            <w:bottom w:w="0" w:type="dxa"/>
            <w:right w:w="0" w:type="dxa"/>
          </w:tblCellMar>
        </w:tblPrEx>
        <w:trPr>
          <w:trHeight w:val="371" w:hRule="atLeast"/>
          <w:jc w:val="center"/>
        </w:trPr>
        <w:tc>
          <w:tcPr>
            <w:tcW w:w="104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sz w:val="22"/>
              </w:rPr>
            </w:pPr>
            <w:r>
              <w:rPr>
                <w:sz w:val="22"/>
              </w:rPr>
              <w:t>21208</w:t>
            </w:r>
          </w:p>
        </w:tc>
        <w:tc>
          <w:tcPr>
            <w:tcW w:w="1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spacing w:before="18" w:line="240" w:lineRule="auto"/>
              <w:ind w:left="40"/>
              <w:jc w:val="left"/>
              <w:rPr>
                <w:sz w:val="22"/>
              </w:rPr>
            </w:pPr>
            <w:r>
              <w:rPr>
                <w:sz w:val="16"/>
              </w:rPr>
              <w:t>国有土地使用权出让收入及对应专项债务收入安排的支出</w:t>
            </w:r>
          </w:p>
        </w:tc>
        <w:tc>
          <w:tcPr>
            <w:tcW w:w="92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sz w:val="22"/>
              </w:rPr>
            </w:pPr>
            <w:r>
              <w:rPr>
                <w:sz w:val="22"/>
              </w:rPr>
              <w:t>0.36</w:t>
            </w:r>
          </w:p>
        </w:tc>
        <w:tc>
          <w:tcPr>
            <w:tcW w:w="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sz w:val="22"/>
              </w:rPr>
            </w:pPr>
            <w:r>
              <w:rPr>
                <w:sz w:val="22"/>
              </w:rPr>
              <w:t>0.36</w:t>
            </w:r>
          </w:p>
        </w:tc>
        <w:tc>
          <w:tcPr>
            <w:tcW w:w="9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spacing w:before="18" w:line="240" w:lineRule="auto"/>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28"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r>
      <w:tr>
        <w:tblPrEx>
          <w:tblCellMar>
            <w:top w:w="0" w:type="dxa"/>
            <w:left w:w="0" w:type="dxa"/>
            <w:bottom w:w="0" w:type="dxa"/>
            <w:right w:w="0" w:type="dxa"/>
          </w:tblCellMar>
        </w:tblPrEx>
        <w:trPr>
          <w:trHeight w:val="371" w:hRule="atLeast"/>
          <w:jc w:val="center"/>
        </w:trPr>
        <w:tc>
          <w:tcPr>
            <w:tcW w:w="104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sz w:val="22"/>
              </w:rPr>
            </w:pPr>
            <w:r>
              <w:rPr>
                <w:sz w:val="22"/>
              </w:rPr>
              <w:t>2120809</w:t>
            </w:r>
          </w:p>
        </w:tc>
        <w:tc>
          <w:tcPr>
            <w:tcW w:w="1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258"/>
              <w:jc w:val="left"/>
              <w:rPr>
                <w:sz w:val="22"/>
              </w:rPr>
            </w:pPr>
            <w:r>
              <w:rPr>
                <w:sz w:val="22"/>
              </w:rPr>
              <w:t>支付破产或改制企业职工安置费</w:t>
            </w:r>
          </w:p>
        </w:tc>
        <w:tc>
          <w:tcPr>
            <w:tcW w:w="92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sz w:val="22"/>
              </w:rPr>
            </w:pPr>
            <w:r>
              <w:rPr>
                <w:sz w:val="22"/>
              </w:rPr>
              <w:t>0.36</w:t>
            </w:r>
          </w:p>
        </w:tc>
        <w:tc>
          <w:tcPr>
            <w:tcW w:w="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sz w:val="22"/>
              </w:rPr>
            </w:pPr>
            <w:r>
              <w:rPr>
                <w:sz w:val="22"/>
              </w:rPr>
              <w:t>0.36</w:t>
            </w:r>
          </w:p>
        </w:tc>
        <w:tc>
          <w:tcPr>
            <w:tcW w:w="9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28"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r>
      <w:tr>
        <w:tblPrEx>
          <w:tblCellMar>
            <w:top w:w="0" w:type="dxa"/>
            <w:left w:w="0" w:type="dxa"/>
            <w:bottom w:w="0" w:type="dxa"/>
            <w:right w:w="0" w:type="dxa"/>
          </w:tblCellMar>
        </w:tblPrEx>
        <w:trPr>
          <w:trHeight w:val="371" w:hRule="atLeast"/>
          <w:jc w:val="center"/>
        </w:trPr>
        <w:tc>
          <w:tcPr>
            <w:tcW w:w="104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sz w:val="22"/>
              </w:rPr>
            </w:pPr>
            <w:r>
              <w:rPr>
                <w:sz w:val="22"/>
              </w:rPr>
              <w:t>21210</w:t>
            </w:r>
          </w:p>
        </w:tc>
        <w:tc>
          <w:tcPr>
            <w:tcW w:w="1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spacing w:before="5" w:line="240" w:lineRule="auto"/>
              <w:ind w:left="40"/>
              <w:jc w:val="left"/>
              <w:rPr>
                <w:sz w:val="22"/>
              </w:rPr>
            </w:pPr>
            <w:r>
              <w:rPr>
                <w:sz w:val="18"/>
              </w:rPr>
              <w:t>国有土地收益基金及对应专项债务收入安排的支出</w:t>
            </w:r>
          </w:p>
        </w:tc>
        <w:tc>
          <w:tcPr>
            <w:tcW w:w="92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sz w:val="22"/>
              </w:rPr>
            </w:pPr>
            <w:r>
              <w:rPr>
                <w:sz w:val="22"/>
              </w:rPr>
              <w:t>221.48</w:t>
            </w:r>
          </w:p>
        </w:tc>
        <w:tc>
          <w:tcPr>
            <w:tcW w:w="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sz w:val="22"/>
              </w:rPr>
            </w:pPr>
            <w:r>
              <w:rPr>
                <w:sz w:val="22"/>
              </w:rPr>
              <w:t>221.48</w:t>
            </w:r>
          </w:p>
        </w:tc>
        <w:tc>
          <w:tcPr>
            <w:tcW w:w="9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spacing w:before="5" w:line="240" w:lineRule="auto"/>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28"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r>
      <w:tr>
        <w:tblPrEx>
          <w:tblCellMar>
            <w:top w:w="0" w:type="dxa"/>
            <w:left w:w="0" w:type="dxa"/>
            <w:bottom w:w="0" w:type="dxa"/>
            <w:right w:w="0" w:type="dxa"/>
          </w:tblCellMar>
        </w:tblPrEx>
        <w:trPr>
          <w:trHeight w:val="371" w:hRule="atLeast"/>
          <w:jc w:val="center"/>
        </w:trPr>
        <w:tc>
          <w:tcPr>
            <w:tcW w:w="104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sz w:val="22"/>
              </w:rPr>
            </w:pPr>
            <w:r>
              <w:rPr>
                <w:sz w:val="22"/>
              </w:rPr>
              <w:t>2121001</w:t>
            </w:r>
          </w:p>
        </w:tc>
        <w:tc>
          <w:tcPr>
            <w:tcW w:w="1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258"/>
              <w:jc w:val="left"/>
              <w:rPr>
                <w:sz w:val="22"/>
              </w:rPr>
            </w:pPr>
            <w:r>
              <w:rPr>
                <w:sz w:val="22"/>
              </w:rPr>
              <w:t>征地和拆迁补偿支出</w:t>
            </w:r>
          </w:p>
        </w:tc>
        <w:tc>
          <w:tcPr>
            <w:tcW w:w="92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sz w:val="22"/>
              </w:rPr>
            </w:pPr>
            <w:r>
              <w:rPr>
                <w:sz w:val="22"/>
              </w:rPr>
              <w:t>221.48</w:t>
            </w:r>
          </w:p>
        </w:tc>
        <w:tc>
          <w:tcPr>
            <w:tcW w:w="9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sz w:val="22"/>
              </w:rPr>
            </w:pPr>
            <w:r>
              <w:rPr>
                <w:sz w:val="22"/>
              </w:rPr>
              <w:t>221.48</w:t>
            </w:r>
          </w:p>
        </w:tc>
        <w:tc>
          <w:tcPr>
            <w:tcW w:w="9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c>
          <w:tcPr>
            <w:tcW w:w="92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p>
        </w:tc>
        <w:tc>
          <w:tcPr>
            <w:tcW w:w="928"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jc w:val="center"/>
              <w:rPr>
                <w:color w:val="000000"/>
                <w:szCs w:val="21"/>
              </w:rPr>
            </w:pPr>
          </w:p>
        </w:tc>
        <w:tc>
          <w:tcPr>
            <w:tcW w:w="93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jc w:val="left"/>
              <w:rPr>
                <w:color w:val="000000"/>
                <w:szCs w:val="21"/>
              </w:rPr>
            </w:pPr>
          </w:p>
        </w:tc>
      </w:tr>
      <w:tr>
        <w:tblPrEx>
          <w:tblCellMar>
            <w:top w:w="0" w:type="dxa"/>
            <w:left w:w="0" w:type="dxa"/>
            <w:bottom w:w="0" w:type="dxa"/>
            <w:right w:w="0" w:type="dxa"/>
          </w:tblCellMar>
        </w:tblPrEx>
        <w:trPr>
          <w:trHeight w:val="481" w:hRule="atLeast"/>
          <w:jc w:val="center"/>
        </w:trPr>
        <w:tc>
          <w:tcPr>
            <w:tcW w:w="8874"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一般公共服务支出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795.38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677.81</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117.57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20103</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政府办公厅（室）及相关机构事务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795.38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677.81</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117.57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2010301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258"/>
              <w:jc w:val="left"/>
              <w:rPr>
                <w:color w:val="000000"/>
                <w:szCs w:val="21"/>
              </w:rPr>
            </w:pPr>
            <w:r>
              <w:rPr>
                <w:sz w:val="22"/>
              </w:rPr>
              <w:t>行政运行</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732.36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677.81</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54.55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2010302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258"/>
              <w:jc w:val="left"/>
              <w:rPr>
                <w:color w:val="000000"/>
                <w:szCs w:val="21"/>
              </w:rPr>
            </w:pPr>
            <w:r>
              <w:rPr>
                <w:sz w:val="22"/>
              </w:rPr>
              <w:t>一般行政管理事务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11.51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11.51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2010399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spacing w:line="251" w:lineRule="exact"/>
              <w:ind w:left="241"/>
              <w:jc w:val="left"/>
              <w:rPr>
                <w:color w:val="000000"/>
                <w:szCs w:val="21"/>
              </w:rPr>
            </w:pPr>
            <w:r>
              <w:rPr>
                <w:sz w:val="20"/>
              </w:rPr>
              <w:t>其他政府办公厅（室）及相关机构事务支出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51.51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51.51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208</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社会保障和就业支出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10.00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20899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其他社会保障和就业支出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10.00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2089901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258"/>
              <w:jc w:val="left"/>
              <w:rPr>
                <w:color w:val="000000"/>
                <w:szCs w:val="21"/>
              </w:rPr>
            </w:pPr>
            <w:r>
              <w:rPr>
                <w:sz w:val="22"/>
              </w:rPr>
              <w:t>其他社会保障和就业支出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10.00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211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节能环保支出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74.73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74.73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21103</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污染防治</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74.73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74.73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2110301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258"/>
              <w:jc w:val="left"/>
              <w:rPr>
                <w:color w:val="000000"/>
                <w:szCs w:val="21"/>
              </w:rPr>
            </w:pPr>
            <w:r>
              <w:rPr>
                <w:sz w:val="22"/>
              </w:rPr>
              <w:t>大气</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74.73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74.73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212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城乡社区支出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221.84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221.84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21208</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spacing w:before="18" w:line="240" w:lineRule="auto"/>
              <w:ind w:left="40"/>
              <w:jc w:val="left"/>
              <w:rPr>
                <w:color w:val="000000"/>
                <w:szCs w:val="21"/>
              </w:rPr>
            </w:pPr>
            <w:r>
              <w:rPr>
                <w:sz w:val="16"/>
              </w:rPr>
              <w:t>国有土地使用权出让收入及对应专项债务收入安排的支出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0.36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2120809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258"/>
              <w:jc w:val="left"/>
              <w:rPr>
                <w:color w:val="000000"/>
                <w:szCs w:val="21"/>
              </w:rPr>
            </w:pPr>
            <w:r>
              <w:rPr>
                <w:sz w:val="22"/>
              </w:rPr>
              <w:t>支付破产或改制企业职工安置费</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0.36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21210</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spacing w:before="5" w:line="240" w:lineRule="auto"/>
              <w:ind w:left="40"/>
              <w:jc w:val="left"/>
              <w:rPr>
                <w:color w:val="000000"/>
                <w:szCs w:val="21"/>
              </w:rPr>
            </w:pPr>
            <w:r>
              <w:rPr>
                <w:sz w:val="18"/>
              </w:rPr>
              <w:t>国有土地收益基金及对应专项债务收入安排的支出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221.48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221.48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pStyle w:val="33"/>
              <w:ind w:left="40"/>
              <w:jc w:val="left"/>
              <w:rPr>
                <w:color w:val="000000"/>
                <w:szCs w:val="21"/>
              </w:rPr>
            </w:pPr>
            <w:r>
              <w:rPr>
                <w:sz w:val="22"/>
              </w:rPr>
              <w:t>2121001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left="258"/>
              <w:jc w:val="left"/>
              <w:rPr>
                <w:color w:val="000000"/>
                <w:szCs w:val="21"/>
              </w:rPr>
            </w:pPr>
            <w:r>
              <w:rPr>
                <w:sz w:val="22"/>
              </w:rPr>
              <w:t>征地和拆迁补偿支出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221.48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pStyle w:val="33"/>
              <w:ind w:right="1"/>
              <w:rPr>
                <w:color w:val="000000"/>
                <w:szCs w:val="21"/>
              </w:rPr>
            </w:pPr>
            <w:r>
              <w:rPr>
                <w:sz w:val="22"/>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221.48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863.83</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795.38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795.38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221.84</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74.73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74.73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221.84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221.84</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1085.67</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1101.95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880.11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221.84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16.29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16.29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1101.95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1101.95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880.11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221.84</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880.11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677.81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202.3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795.38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677.81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117.57</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政府办公厅（室）及相关机构事务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795.38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677.81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117.57</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2010301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732.36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677.81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54.55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2010302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11.51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11.51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2010399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其他政府办公厅（室）及相关机构事务支出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51.51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51.51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节能环保支出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74.73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74.73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21103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污染防治</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74.73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bCs/>
                <w:color w:val="000000"/>
                <w:szCs w:val="21"/>
              </w:rPr>
            </w:pPr>
            <w:r>
              <w:rPr>
                <w:rFonts w:hint="eastAsia" w:ascii="宋体" w:hAnsi="宋体" w:cs="宋体"/>
                <w:color w:val="000000"/>
                <w:szCs w:val="21"/>
              </w:rPr>
              <w:t>74.73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2110301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大气</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74.73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74.73</w:t>
            </w: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注：本表反映部门本年度一般公共预算财政拨款收入及支出情况。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356.21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205.55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262.05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15.07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18.89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30.50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69.12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0.38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8.04</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0.18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6.15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0.91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2.40</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13.00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5.63</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2.33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19.05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7.77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9.00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108.02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0.24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57.42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0.13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1.48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4.84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45.77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76.39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2.23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4.50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0.50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21.89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464.23</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213.59</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4.00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3.00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3.00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1.00</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0.63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0.50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0.50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0.13</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r>
              <w:rPr>
                <w:rFonts w:hint="eastAsia" w:ascii="宋体" w:hAnsi="宋体" w:cs="宋体"/>
                <w:b/>
                <w:color w:val="000000"/>
                <w:kern w:val="0"/>
                <w:sz w:val="22"/>
                <w:szCs w:val="22"/>
              </w:rPr>
              <w:t>0.00</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r>
              <w:rPr>
                <w:rFonts w:hint="eastAsia" w:ascii="宋体" w:hAnsi="宋体" w:cs="宋体"/>
                <w:b/>
                <w:color w:val="000000"/>
                <w:kern w:val="0"/>
                <w:sz w:val="22"/>
                <w:szCs w:val="22"/>
              </w:rPr>
              <w:t>221.84</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r>
              <w:rPr>
                <w:rFonts w:hint="eastAsia" w:ascii="宋体" w:hAnsi="宋体" w:cs="宋体"/>
                <w:b/>
                <w:color w:val="000000"/>
                <w:kern w:val="0"/>
                <w:sz w:val="22"/>
                <w:szCs w:val="22"/>
              </w:rPr>
              <w:t>221.84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r>
              <w:rPr>
                <w:rFonts w:hint="eastAsia" w:ascii="宋体" w:hAnsi="宋体" w:cs="宋体"/>
                <w:b/>
                <w:color w:val="000000"/>
                <w:kern w:val="0"/>
                <w:sz w:val="22"/>
                <w:szCs w:val="22"/>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r>
              <w:rPr>
                <w:rFonts w:hint="eastAsia" w:ascii="宋体" w:hAnsi="宋体" w:cs="宋体"/>
                <w:b/>
                <w:color w:val="000000"/>
                <w:kern w:val="0"/>
                <w:sz w:val="22"/>
                <w:szCs w:val="22"/>
              </w:rPr>
              <w:t>221.84</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r>
              <w:rPr>
                <w:rFonts w:hint="eastAsia" w:ascii="宋体" w:hAnsi="宋体" w:cs="宋体"/>
                <w:b/>
                <w:color w:val="000000"/>
                <w:kern w:val="0"/>
                <w:sz w:val="22"/>
                <w:szCs w:val="22"/>
              </w:rPr>
              <w:t>0.00</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212</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城乡社区支出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221.84</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221.84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221.84</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21208</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国有土地使用权出让收入及对应专项债务收入安排的支出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0.36</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0.36</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0.36</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2120809</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支付破产或改制企业职工安置费</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0.36</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0.36</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0.36</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21210</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国有土地收益基金及对应专项债务收入安排的支出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221.48</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221.48</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221.48</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2121001</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征地和拆迁补偿支出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221.48</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221.48</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221.48</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212</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城乡社区支出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221.84</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221.84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221.84</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21208</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国有土地使用权出让收入及对应专项债务收入安排的支出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0.36</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0.36</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0.36</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2120809</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支付破产或改制企业职工安置费</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0.36</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0.36</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0.36</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21210</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国有土地收益基金及对应专项债务收入安排的支出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221.48</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221.48</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221.48</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2121001</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征地和拆迁补偿支出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221.48</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221.48</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221.48</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注：本表反映部门本年度国有资本经营预算财政拨款支出情况。</w:t>
            </w:r>
          </w:p>
          <w:p>
            <w:pPr>
              <w:widowControl/>
              <w:spacing w:after="0" w:line="240" w:lineRule="auto"/>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本部门本年度无相关支出情况，按要求空表列示。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9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r>
              <w:rPr>
                <w:rFonts w:hint="eastAsia" w:ascii="宋体" w:hAnsi="宋体" w:cs="宋体"/>
                <w:color w:val="000000"/>
                <w:szCs w:val="21"/>
              </w:rPr>
              <w:t>219.05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r>
              <w:rPr>
                <w:rFonts w:hint="eastAsia" w:ascii="宋体" w:hAnsi="宋体" w:cs="宋体"/>
                <w:color w:val="000000"/>
                <w:szCs w:val="21"/>
              </w:rPr>
              <w:t>219.05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r>
              <w:rPr>
                <w:rFonts w:hint="eastAsia" w:ascii="宋体" w:hAnsi="宋体" w:cs="宋体"/>
                <w:color w:val="000000"/>
                <w:szCs w:val="21"/>
              </w:rPr>
              <w:t>219.05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r>
              <w:rPr>
                <w:rFonts w:hint="eastAsia" w:ascii="宋体" w:hAnsi="宋体" w:cs="宋体"/>
                <w:color w:val="000000"/>
                <w:szCs w:val="21"/>
              </w:rPr>
              <w:t>218.69</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r>
              <w:rPr>
                <w:rFonts w:hint="eastAsia" w:ascii="宋体" w:hAnsi="宋体" w:cs="宋体"/>
                <w:color w:val="000000"/>
                <w:szCs w:val="21"/>
              </w:rPr>
              <w:t>218.69</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r>
              <w:rPr>
                <w:rFonts w:hint="eastAsia" w:ascii="宋体" w:hAnsi="宋体" w:cs="宋体"/>
                <w:color w:val="000000"/>
                <w:szCs w:val="21"/>
              </w:rPr>
              <w:t>218.69</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tbl>
            <w:tblPr>
              <w:tblStyle w:val="12"/>
              <w:tblW w:w="8940" w:type="dxa"/>
              <w:tblInd w:w="0" w:type="dxa"/>
              <w:tblLayout w:type="fixed"/>
              <w:tblCellMar>
                <w:top w:w="0" w:type="dxa"/>
                <w:left w:w="0" w:type="dxa"/>
                <w:bottom w:w="0" w:type="dxa"/>
                <w:right w:w="0" w:type="dxa"/>
              </w:tblCellMar>
            </w:tblPr>
            <w:tblGrid>
              <w:gridCol w:w="8940"/>
            </w:tblGrid>
            <w:tr>
              <w:tblPrEx>
                <w:tblCellMar>
                  <w:top w:w="0" w:type="dxa"/>
                  <w:left w:w="0" w:type="dxa"/>
                  <w:bottom w:w="0" w:type="dxa"/>
                  <w:right w:w="0" w:type="dxa"/>
                </w:tblCellMar>
              </w:tblPrEx>
              <w:trPr>
                <w:trHeight w:val="398" w:hRule="atLeast"/>
              </w:trPr>
              <w:tc>
                <w:tcPr>
                  <w:tcW w:w="89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注：1.本表反映部门本年度纳入部门预算范围的政府采购预算及支出情况。</w:t>
                  </w:r>
                </w:p>
              </w:tc>
            </w:tr>
          </w:tbl>
          <w:p>
            <w:pPr>
              <w:widowControl/>
              <w:adjustRightInd w:val="0"/>
              <w:snapToGrid w:val="0"/>
              <w:spacing w:after="0" w:line="240" w:lineRule="auto"/>
              <w:jc w:val="left"/>
              <w:textAlignment w:val="center"/>
              <w:rPr>
                <w:rFonts w:ascii="宋体" w:hAnsi="宋体" w:cs="宋体"/>
                <w:color w:val="000000"/>
                <w:szCs w:val="21"/>
              </w:rPr>
            </w:pPr>
          </w:p>
        </w:tc>
      </w:tr>
    </w:tbl>
    <w:p>
      <w:pPr>
        <w:widowControl/>
        <w:spacing w:after="0" w:line="560" w:lineRule="exact"/>
        <w:jc w:val="left"/>
        <w:rPr>
          <w:rFonts w:ascii="仿宋_GB2312" w:eastAsia="仿宋_GB2312" w:hAnsiTheme="majorEastAsia"/>
          <w:b/>
          <w:sz w:val="28"/>
          <w:szCs w:val="28"/>
          <w:highlight w:val="yellow"/>
        </w:rPr>
      </w:pPr>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8"/>
                    <a:stretch>
                      <a:fillRect/>
                    </a:stretch>
                  </pic:blipFill>
                  <pic:spPr>
                    <a:xfrm>
                      <a:off x="0" y="0"/>
                      <a:ext cx="7550150" cy="10680065"/>
                    </a:xfrm>
                    <a:prstGeom prst="rect">
                      <a:avLst/>
                    </a:prstGeom>
                  </pic:spPr>
                </pic:pic>
              </a:graphicData>
            </a:graphic>
          </wp:anchor>
        </w:drawing>
      </w:r>
      <w:r>
        <w:rPr>
          <w:sz w:val="72"/>
        </w:rPr>
        <w:pict>
          <v:shape id="_x0000_s1028" o:spid="_x0000_s1028"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本部门2018年度收支总计（含结转和结余）1101.95万元。与2017年度决算相比，收支各增加573.77万元，增长108.63%，主要原因是正常拨款项目增加。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本部门2018年度本年收入合计1085.67万元，其中：财政拨款收入1085.67万元，占100%。图所示：</w:t>
      </w:r>
    </w:p>
    <w:p>
      <w:pPr>
        <w:adjustRightInd w:val="0"/>
        <w:snapToGrid w:val="0"/>
        <w:spacing w:after="0" w:line="580" w:lineRule="exact"/>
        <w:ind w:firstLine="1260" w:firstLineChars="600"/>
        <w:rPr>
          <w:rFonts w:ascii="仿宋_GB2312" w:eastAsia="仿宋_GB2312" w:cs="DengXian-Regular"/>
          <w:sz w:val="32"/>
          <w:szCs w:val="32"/>
        </w:rPr>
      </w:pPr>
      <w:r>
        <w:drawing>
          <wp:anchor distT="0" distB="0" distL="114300" distR="114300" simplePos="0" relativeHeight="251670528" behindDoc="0" locked="0" layoutInCell="1" allowOverlap="1">
            <wp:simplePos x="0" y="0"/>
            <wp:positionH relativeFrom="column">
              <wp:posOffset>-83820</wp:posOffset>
            </wp:positionH>
            <wp:positionV relativeFrom="paragraph">
              <wp:posOffset>323215</wp:posOffset>
            </wp:positionV>
            <wp:extent cx="5586095" cy="2586355"/>
            <wp:effectExtent l="47625" t="4445" r="62230" b="114300"/>
            <wp:wrapSquare wrapText="bothSides"/>
            <wp:docPr id="1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adjustRightInd w:val="0"/>
        <w:snapToGrid w:val="0"/>
        <w:spacing w:after="0" w:line="580" w:lineRule="exact"/>
        <w:ind w:firstLine="640" w:firstLineChars="200"/>
        <w:rPr>
          <w:rFonts w:ascii="黑体" w:eastAsia="黑体" w:hAnsiTheme="majorHAnsi" w:cstheme="majorBidi"/>
          <w:sz w:val="32"/>
          <w:szCs w:val="32"/>
        </w:rPr>
      </w:pPr>
      <w:r>
        <w:rPr>
          <w:rFonts w:hint="eastAsia" w:ascii="黑体" w:eastAsia="黑体" w:hAnsiTheme="majorHAnsi" w:cstheme="majorBidi"/>
          <w:sz w:val="32"/>
          <w:szCs w:val="32"/>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本部门2018年度本年支出合计1101.95万元，其中：基本支出677.81万元，占61.51%；项目支出424.14万元，占38.49%。如图所示：</w:t>
      </w:r>
    </w:p>
    <w:p>
      <w:pPr>
        <w:adjustRightInd w:val="0"/>
        <w:snapToGrid w:val="0"/>
        <w:spacing w:after="0" w:line="580" w:lineRule="exact"/>
        <w:rPr>
          <w:rFonts w:ascii="仿宋_GB2312" w:eastAsia="仿宋_GB2312" w:cs="DengXian-Regular"/>
          <w:sz w:val="32"/>
          <w:szCs w:val="32"/>
        </w:rPr>
      </w:pPr>
      <w:r>
        <w:drawing>
          <wp:anchor distT="0" distB="0" distL="114300" distR="114300" simplePos="0" relativeHeight="251671552" behindDoc="0" locked="0" layoutInCell="1" allowOverlap="1">
            <wp:simplePos x="0" y="0"/>
            <wp:positionH relativeFrom="column">
              <wp:posOffset>502285</wp:posOffset>
            </wp:positionH>
            <wp:positionV relativeFrom="paragraph">
              <wp:posOffset>223520</wp:posOffset>
            </wp:positionV>
            <wp:extent cx="4219575" cy="2686050"/>
            <wp:effectExtent l="47625" t="4445" r="57150" b="109855"/>
            <wp:wrapSquare wrapText="bothSides"/>
            <wp:docPr id="2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adjustRightInd w:val="0"/>
        <w:snapToGrid w:val="0"/>
        <w:spacing w:after="0" w:line="580" w:lineRule="exact"/>
        <w:ind w:firstLine="1260" w:firstLineChars="600"/>
        <w:rPr>
          <w:rFonts w:ascii="仿宋_GB2312" w:eastAsia="仿宋_GB2312" w:cs="DengXian-Regular"/>
          <w:sz w:val="32"/>
          <w:szCs w:val="32"/>
        </w:rPr>
      </w:pPr>
      <w:r>
        <w:drawing>
          <wp:inline distT="0" distB="0" distL="114300" distR="114300">
            <wp:extent cx="4219575" cy="2686050"/>
            <wp:effectExtent l="47625" t="4445" r="57150" b="109855"/>
            <wp:docPr id="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本部门2018年度财政拨款本年收入1085.67万元,比2017年度增加541.20万元，增长99.4%，主要是正常拨款项目增加；本年支出1101.95万元，增加573.77万元，增长108.63%，主要是正常拨款的项目增加。</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863.83万元，比上年增加319.36万元，增长58.65%；主要是正常拨款项目增加；本年支出880.11万元，比上年增加351.92万元，增长66.63%，主要是正常拨款项目增加。政府性基金预算财政拨款本年收入221.84万元，比上年增加221.84万元，增长100%，主要原因是本部门2018年度有相关收入情况，上年度没有；本年支出221.84万元，比上年增加221.84万元，增长100%，主要是本部门2018年度有相关支出情况，上年度没有。</w:t>
      </w:r>
    </w:p>
    <w:p>
      <w:pPr>
        <w:adjustRightInd w:val="0"/>
        <w:snapToGrid w:val="0"/>
        <w:spacing w:after="0" w:line="580" w:lineRule="exact"/>
        <w:ind w:firstLine="420" w:firstLineChars="200"/>
        <w:rPr>
          <w:rFonts w:ascii="仿宋_GB2312" w:eastAsia="仿宋_GB2312" w:cs="DengXian-Regular"/>
          <w:sz w:val="32"/>
          <w:szCs w:val="32"/>
        </w:rPr>
      </w:pPr>
      <w:r>
        <w:drawing>
          <wp:anchor distT="0" distB="0" distL="114300" distR="114300" simplePos="0" relativeHeight="251672576" behindDoc="0" locked="0" layoutInCell="1" allowOverlap="1">
            <wp:simplePos x="0" y="0"/>
            <wp:positionH relativeFrom="column">
              <wp:posOffset>515620</wp:posOffset>
            </wp:positionH>
            <wp:positionV relativeFrom="paragraph">
              <wp:posOffset>139700</wp:posOffset>
            </wp:positionV>
            <wp:extent cx="4572000" cy="3067050"/>
            <wp:effectExtent l="47625" t="4445" r="47625" b="109855"/>
            <wp:wrapSquare wrapText="bothSides"/>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6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1085.67万元，完成年初预算的213.22%,比年初预算增加576.5万元，决算数大于预算数主要原因是人员经费和日常公用经费及项目支出预估过少；本年支出1101.95万元，完成年初预算的216.42%,比年初预算增加592.78万元，决算数大于预算数主要原因是主要是人员经费和日常公用经费及项目支出预估过少。</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863.83万元，完成年初预算169.65%，比年初预算增加354.66万元，主要是人员经费和日常公用经费及项目支出预估过少；支出880.11万元，完成年初预算142.15%，比年初预算增加370.94万元，主要是人员经费和日常公用经费及项目支出预估过少。政府性基金预算财政拨款本年收入221.84万元，完成年初预算100%，比年初预算增加221.84万元，主要是本部门2018年度有相关收入情况，上年度没有；支出221.84万元，完成年初预算100%，比年初预算增加221.84万元，主要是本部门2018年度有相关支出情况，上年度没有。</w:t>
      </w:r>
    </w:p>
    <w:p>
      <w:pPr>
        <w:adjustRightInd w:val="0"/>
        <w:snapToGrid w:val="0"/>
        <w:spacing w:after="0" w:line="580" w:lineRule="exact"/>
        <w:ind w:firstLine="420" w:firstLineChars="200"/>
        <w:rPr>
          <w:rFonts w:ascii="仿宋_GB2312" w:eastAsia="仿宋_GB2312" w:cs="DengXian-Regular"/>
          <w:sz w:val="32"/>
          <w:szCs w:val="32"/>
          <w:highlight w:val="yellow"/>
        </w:rPr>
      </w:pPr>
      <w:r>
        <w:drawing>
          <wp:anchor distT="0" distB="0" distL="114300" distR="114300" simplePos="0" relativeHeight="251673600" behindDoc="0" locked="0" layoutInCell="1" allowOverlap="1">
            <wp:simplePos x="0" y="0"/>
            <wp:positionH relativeFrom="column">
              <wp:posOffset>483870</wp:posOffset>
            </wp:positionH>
            <wp:positionV relativeFrom="paragraph">
              <wp:posOffset>323850</wp:posOffset>
            </wp:positionV>
            <wp:extent cx="4572000" cy="3571875"/>
            <wp:effectExtent l="47625" t="4445" r="47625" b="100330"/>
            <wp:wrapSquare wrapText="bothSides"/>
            <wp:docPr id="2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年度财政拨款支出1101.95万元，主要用于以下方面：一般公共服务（类）支出795.38万元，占72.18%；城乡社区支出221.84万元，占20.13%；社会保障和就业（类）支出10万元，占0.91%；节能环保支出74.73万元，占6.78%。</w:t>
      </w:r>
    </w:p>
    <w:p>
      <w:pPr>
        <w:adjustRightInd w:val="0"/>
        <w:snapToGrid w:val="0"/>
        <w:spacing w:after="0" w:line="580" w:lineRule="exact"/>
        <w:rPr>
          <w:rFonts w:ascii="楷体_GB2312" w:eastAsia="楷体_GB2312" w:cs="DengXian-Bold"/>
          <w:b/>
          <w:bCs/>
          <w:sz w:val="32"/>
          <w:szCs w:val="32"/>
        </w:rPr>
      </w:pPr>
      <w:r>
        <w:drawing>
          <wp:anchor distT="0" distB="0" distL="114300" distR="114300" simplePos="0" relativeHeight="251674624" behindDoc="0" locked="0" layoutInCell="1" allowOverlap="1">
            <wp:simplePos x="0" y="0"/>
            <wp:positionH relativeFrom="column">
              <wp:posOffset>439420</wp:posOffset>
            </wp:positionH>
            <wp:positionV relativeFrom="paragraph">
              <wp:posOffset>173355</wp:posOffset>
            </wp:positionV>
            <wp:extent cx="4572000" cy="3486150"/>
            <wp:effectExtent l="57150" t="0" r="57150" b="76200"/>
            <wp:wrapSquare wrapText="bothSides"/>
            <wp:docPr id="2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677.82万元，其中：人员经费464.23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213.59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本部门2018年度“三公”经费支出共计0.63万元，出国出境经费0万元，公务用车运行维护费0.5万元，公务接待费0.13万元。较年初预算减少3.37万元，降低84.25%，主要是认真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本部门2018年度因公出国（境）团组0个。因公出国（境）费支出较年初预算无增减变化，本部门2018年度未发生“因公出国（境）费支出”经费支出。</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（二）公务用车购置及运行维护费支出0.5万元。</w:t>
      </w:r>
      <w:r>
        <w:rPr>
          <w:rFonts w:hint="eastAsia" w:ascii="仿宋_GB2312" w:eastAsia="仿宋_GB2312" w:cs="DengXian-Regular"/>
          <w:sz w:val="32"/>
          <w:szCs w:val="32"/>
        </w:rPr>
        <w:t>本部门2018年度公务用车购置及运行维护费较年初预算减少2.5万元，降低83.33%,主要是响应上级要求，减少“三公”经费支出。其中：</w:t>
      </w:r>
    </w:p>
    <w:p>
      <w:pPr>
        <w:adjustRightInd w:val="0"/>
        <w:snapToGrid w:val="0"/>
        <w:spacing w:after="0" w:line="580" w:lineRule="exact"/>
        <w:ind w:firstLine="964" w:firstLineChars="3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本部门2018年度公务用车购置量0辆，发生“公务用车购置”经费支出0万元。公务用车购置费支出较年初预算无增减变化，本部门2018年度未发生“公务用车购置”经费支出。</w:t>
      </w:r>
    </w:p>
    <w:p>
      <w:pPr>
        <w:adjustRightInd w:val="0"/>
        <w:snapToGrid w:val="0"/>
        <w:spacing w:after="0" w:line="580" w:lineRule="exact"/>
        <w:ind w:firstLine="964" w:firstLineChars="3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本部门2018年度单位公务用车保有量1辆。公车运行维护费0.5万元，支出较年初预算减少2.5万元，降低83.33%,主要是响应上级要求，减少“三公”经费支出。</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（三）公务接待费支出0.13万元。</w:t>
      </w:r>
      <w:r>
        <w:rPr>
          <w:rFonts w:hint="eastAsia" w:ascii="仿宋_GB2312" w:eastAsia="仿宋_GB2312" w:cs="DengXian-Regular"/>
          <w:sz w:val="32"/>
          <w:szCs w:val="32"/>
        </w:rPr>
        <w:t>本部门2018年度公务接待共3批次、20人次。公务接待费0.13万元，支出较年初预减少0.87万元，降低87%,主要是响应上级要求，减少“三公”经费支出。</w:t>
      </w:r>
    </w:p>
    <w:p>
      <w:pPr>
        <w:pStyle w:val="3"/>
        <w:spacing w:before="0" w:after="0" w:line="58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（一）绩效管理工作开展情况。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根据《关于开展2018年度财政专项资金部门绩效自评价工作的通知》（无财[2019]13号），本单位认真开展了预算绩效管理改革开展情况自查，对部门全面规范绩效预算编制、严格预算执行管理、推进绩效评价工作、推进预决算信息公开等方面进行了自评，考核结果为优秀。</w:t>
      </w:r>
    </w:p>
    <w:p>
      <w:pPr>
        <w:numPr>
          <w:ilvl w:val="0"/>
          <w:numId w:val="3"/>
        </w:num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预算项目绩效评价开展情况。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根据预算绩效管理要求，本单位组织对2018年度一般公共预算项目支出全面开展绩效自评，涉及祁村村西道路硬化项目、里城道乡生活垃圾及泥污资源化处理项目征地补偿、2018年度第三批次1号地块补偿项目、里城道乡志愿兵、进藏兵、城镇兵政策落实资金项目等4个项目，涉及资金259.01万元。从评价情况看，评价结果为优秀的项目有4个。</w:t>
      </w:r>
    </w:p>
    <w:p>
      <w:pPr>
        <w:numPr>
          <w:ilvl w:val="0"/>
          <w:numId w:val="3"/>
        </w:num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预算项目绩效自评选例。</w:t>
      </w:r>
    </w:p>
    <w:p>
      <w:pPr>
        <w:adjustRightInd w:val="0"/>
        <w:snapToGrid w:val="0"/>
        <w:spacing w:after="0" w:line="580" w:lineRule="exact"/>
        <w:ind w:left="420" w:leftChars="200" w:firstLine="640" w:firstLineChars="200"/>
        <w:rPr>
          <w:rFonts w:ascii="仿宋_GB2312" w:eastAsia="仿宋_GB2312" w:cs="DengXian-Regular"/>
          <w:sz w:val="32"/>
          <w:szCs w:val="32"/>
        </w:rPr>
      </w:pPr>
      <w:r>
        <w:rPr>
          <w:rFonts w:hint="eastAsia" w:ascii="仿宋_GB2312" w:eastAsia="仿宋_GB2312" w:cs="DengXian-Regular"/>
          <w:sz w:val="32"/>
          <w:szCs w:val="32"/>
        </w:rPr>
        <w:t>本单位建制镇配套资金及单位修缮项目绩效自评：根据年初设定的绩效目标，建制镇配套资金及单位修缮项目绩效自评结果为优秀。项目全年预算数为118.8万元，执行数为424.14万元，完成预算的357.02%。主要产出和效果是本部门2018年度保障项目资金充足，项目绩效目标圆满完成。</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未发现其他问题。</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本部门2018年度机关运行经费支出213.59万元，比年初预算数增加166.59万元，增长354.45%。主要原因是本部门2018年度机关运行经费支出预估过少，工作业务量增加，支出增加。</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政府采购支出总额0万元，从采购类型来看，政府采购货物支出0万元、政府采购工程支出0万元、政府采购服务支出0万元。授予中小企业合同金0万元，占政府采购支出总额的0%，其中授予小微企业合同金额0万元，占政府采购支出总额的0%。本部门2018年度无相关政府采购支出情况。</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3辆，比上年增加1辆，主要是上年因移交处置手续正在办理未统计。其中，副部（省）级及以上领导用车0辆，主要领导干部用车0辆，机要通信用车0辆，应急保障用车0辆，执法执勤用车0辆，特种专业技术用车1辆，离退休干部用车0辆，其他用车2辆，其他用车主要是洒水车和公务用车；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万元以上通用设备0台（套），比上年无增减，单位价值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万元以上专用设备0台（套），比上年无增减。</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1、本部门2018年度国有资本经营预算财政拨款收入支出无收支及结转结余情况，故国有资本经营预算财政拨款收入支出决算表以空表列示。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8"/>
                    <a:stretch>
                      <a:fillRect/>
                    </a:stretch>
                  </pic:blipFill>
                  <pic:spPr>
                    <a:xfrm>
                      <a:off x="0" y="0"/>
                      <a:ext cx="7550150" cy="10680065"/>
                    </a:xfrm>
                    <a:prstGeom prst="rect">
                      <a:avLst/>
                    </a:prstGeom>
                  </pic:spPr>
                </pic:pic>
              </a:graphicData>
            </a:graphic>
          </wp:anchor>
        </w:drawing>
      </w:r>
      <w:r>
        <w:rPr>
          <w:sz w:val="72"/>
        </w:rPr>
        <w:pict>
          <v:shape id="_x0000_s1027" o:spid="_x0000_s1027"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8480" behindDoc="1" locked="0" layoutInCell="1" allowOverlap="1">
            <wp:simplePos x="0" y="0"/>
            <wp:positionH relativeFrom="column">
              <wp:posOffset>-990600</wp:posOffset>
            </wp:positionH>
            <wp:positionV relativeFrom="paragraph">
              <wp:posOffset>-1397635</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5"/>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83499EE-A131-44BA-B302-A15EBAF3B15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DFF48B4-6989-4858-85BE-94EBA7F58FF4}"/>
  </w:font>
  <w:font w:name="Cambria">
    <w:panose1 w:val="02040503050406030204"/>
    <w:charset w:val="00"/>
    <w:family w:val="roman"/>
    <w:pitch w:val="default"/>
    <w:sig w:usb0="E00006FF" w:usb1="420024FF" w:usb2="02000000" w:usb3="00000000" w:csb0="2000019F" w:csb1="00000000"/>
    <w:embedRegular r:id="rId3" w:fontKey="{3D191945-BDFB-4019-A6ED-32470972EA0E}"/>
  </w:font>
  <w:font w:name="楷体">
    <w:panose1 w:val="02010609060101010101"/>
    <w:charset w:val="86"/>
    <w:family w:val="modern"/>
    <w:pitch w:val="default"/>
    <w:sig w:usb0="800002BF" w:usb1="38CF7CFA" w:usb2="00000016" w:usb3="00000000" w:csb0="00040001" w:csb1="00000000"/>
    <w:embedRegular r:id="rId4" w:fontKey="{59C56850-6D84-46B6-A03D-09321B123B50}"/>
  </w:font>
  <w:font w:name="楷体_GB2312">
    <w:panose1 w:val="02010609030101010101"/>
    <w:charset w:val="86"/>
    <w:family w:val="modern"/>
    <w:pitch w:val="default"/>
    <w:sig w:usb0="00000001" w:usb1="080E0000" w:usb2="00000000" w:usb3="00000000" w:csb0="00040000" w:csb1="00000000"/>
    <w:embedRegular r:id="rId5" w:fontKey="{6E32CEFF-D5A2-46C9-8E1F-AC927DEDE49A}"/>
  </w:font>
  <w:font w:name="仿宋_GB2312">
    <w:panose1 w:val="02010609030101010101"/>
    <w:charset w:val="86"/>
    <w:family w:val="modern"/>
    <w:pitch w:val="default"/>
    <w:sig w:usb0="00000001" w:usb1="080E0000" w:usb2="00000000" w:usb3="00000000" w:csb0="00040000" w:csb1="00000000"/>
    <w:embedRegular r:id="rId6" w:fontKey="{49F3ADFC-8226-49FD-BB21-31ABA38922FA}"/>
  </w:font>
  <w:font w:name="ArialUnicodeMS">
    <w:altName w:val="Malgun Gothic"/>
    <w:panose1 w:val="00000000000000000000"/>
    <w:charset w:val="81"/>
    <w:family w:val="auto"/>
    <w:pitch w:val="default"/>
    <w:sig w:usb0="00000000" w:usb1="00000000" w:usb2="00000010" w:usb3="00000000" w:csb0="00080001" w:csb1="00000000"/>
    <w:embedRegular r:id="rId7" w:fontKey="{DE0A5B34-3A6D-405F-AD47-3C3717637A96}"/>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8" w:fontKey="{25EE46EC-D236-42F8-9E5F-362F162B0F84}"/>
  </w:font>
  <w:font w:name="Arial">
    <w:panose1 w:val="020B0604020202020204"/>
    <w:charset w:val="00"/>
    <w:family w:val="swiss"/>
    <w:pitch w:val="default"/>
    <w:sig w:usb0="E0002EFF" w:usb1="C000785B" w:usb2="00000009" w:usb3="00000000" w:csb0="400001FF" w:csb1="FFFF0000"/>
    <w:embedRegular r:id="rId9" w:fontKey="{00DDCD17-5CBF-4DF8-8028-887AA90B1DCC}"/>
  </w:font>
  <w:font w:name="DengXian-Regular">
    <w:altName w:val="宋体"/>
    <w:panose1 w:val="00000000000000000000"/>
    <w:charset w:val="86"/>
    <w:family w:val="auto"/>
    <w:pitch w:val="default"/>
    <w:sig w:usb0="00000000" w:usb1="00000000" w:usb2="00000010" w:usb3="00000000" w:csb0="00040001" w:csb1="00000000"/>
    <w:embedRegular r:id="rId10" w:fontKey="{A5B76ABA-F672-45B6-B633-4E8254CA0116}"/>
  </w:font>
  <w:font w:name="DengXian-Bold">
    <w:altName w:val="宋体"/>
    <w:panose1 w:val="00000000000000000000"/>
    <w:charset w:val="86"/>
    <w:family w:val="auto"/>
    <w:pitch w:val="default"/>
    <w:sig w:usb0="00000000" w:usb1="00000000" w:usb2="00000010" w:usb3="00000000" w:csb0="00040001" w:csb1="00000000"/>
    <w:embedRegular r:id="rId11" w:fontKey="{FEC9CFEE-1FDA-471F-90A3-E6FAB20A5FC7}"/>
  </w:font>
  <w:font w:name="TimesNewRomanPSMT">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41D73"/>
    <w:multiLevelType w:val="singleLevel"/>
    <w:tmpl w:val="81541D73"/>
    <w:lvl w:ilvl="0" w:tentative="0">
      <w:start w:val="2"/>
      <w:numFmt w:val="chineseCounting"/>
      <w:suff w:val="nothing"/>
      <w:lvlText w:val="%1、"/>
      <w:lvlJc w:val="left"/>
      <w:rPr>
        <w:rFonts w:hint="eastAsia"/>
      </w:rPr>
    </w:lvl>
  </w:abstractNum>
  <w:abstractNum w:abstractNumId="1">
    <w:nsid w:val="941B05B1"/>
    <w:multiLevelType w:val="singleLevel"/>
    <w:tmpl w:val="941B05B1"/>
    <w:lvl w:ilvl="0" w:tentative="0">
      <w:start w:val="2"/>
      <w:numFmt w:val="chineseCounting"/>
      <w:suff w:val="nothing"/>
      <w:lvlText w:val="（%1）"/>
      <w:lvlJc w:val="left"/>
      <w:rPr>
        <w:rFonts w:hint="eastAsia"/>
      </w:rPr>
    </w:lvl>
  </w:abstractNum>
  <w:abstractNum w:abstractNumId="2">
    <w:nsid w:val="45DB9A87"/>
    <w:multiLevelType w:val="singleLevel"/>
    <w:tmpl w:val="45DB9A87"/>
    <w:lvl w:ilvl="0" w:tentative="0">
      <w:start w:val="3"/>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4E7F"/>
    <w:rsid w:val="000475A0"/>
    <w:rsid w:val="000838C3"/>
    <w:rsid w:val="000B2446"/>
    <w:rsid w:val="000D7C65"/>
    <w:rsid w:val="000E2F81"/>
    <w:rsid w:val="001022B5"/>
    <w:rsid w:val="00117946"/>
    <w:rsid w:val="00117E2C"/>
    <w:rsid w:val="00146C47"/>
    <w:rsid w:val="00152FB8"/>
    <w:rsid w:val="00176658"/>
    <w:rsid w:val="0018239E"/>
    <w:rsid w:val="001B3410"/>
    <w:rsid w:val="001C030D"/>
    <w:rsid w:val="001C4A84"/>
    <w:rsid w:val="001E5902"/>
    <w:rsid w:val="00212459"/>
    <w:rsid w:val="00221B5E"/>
    <w:rsid w:val="00224E91"/>
    <w:rsid w:val="00233705"/>
    <w:rsid w:val="00275CA2"/>
    <w:rsid w:val="002A65A5"/>
    <w:rsid w:val="002C04C4"/>
    <w:rsid w:val="002D08B0"/>
    <w:rsid w:val="002D1AE3"/>
    <w:rsid w:val="002F2ECE"/>
    <w:rsid w:val="00341C8F"/>
    <w:rsid w:val="0035463A"/>
    <w:rsid w:val="00364499"/>
    <w:rsid w:val="00391D9D"/>
    <w:rsid w:val="00391E1D"/>
    <w:rsid w:val="003B6C51"/>
    <w:rsid w:val="003C1413"/>
    <w:rsid w:val="003C549F"/>
    <w:rsid w:val="003D5A16"/>
    <w:rsid w:val="003E7DB3"/>
    <w:rsid w:val="003F7EC9"/>
    <w:rsid w:val="00431175"/>
    <w:rsid w:val="004B6E37"/>
    <w:rsid w:val="004C32BA"/>
    <w:rsid w:val="00502871"/>
    <w:rsid w:val="00575922"/>
    <w:rsid w:val="005A6C90"/>
    <w:rsid w:val="005E3FB0"/>
    <w:rsid w:val="005F4B66"/>
    <w:rsid w:val="005F5208"/>
    <w:rsid w:val="00641318"/>
    <w:rsid w:val="0064405D"/>
    <w:rsid w:val="00685302"/>
    <w:rsid w:val="00695557"/>
    <w:rsid w:val="006D4EA7"/>
    <w:rsid w:val="0070012A"/>
    <w:rsid w:val="0070664B"/>
    <w:rsid w:val="007071B8"/>
    <w:rsid w:val="007414DE"/>
    <w:rsid w:val="0074209C"/>
    <w:rsid w:val="007905A9"/>
    <w:rsid w:val="007E5500"/>
    <w:rsid w:val="007F055B"/>
    <w:rsid w:val="0080644C"/>
    <w:rsid w:val="00811C2F"/>
    <w:rsid w:val="00833D46"/>
    <w:rsid w:val="00840A97"/>
    <w:rsid w:val="008727F1"/>
    <w:rsid w:val="008C0149"/>
    <w:rsid w:val="008C689C"/>
    <w:rsid w:val="008C7AC2"/>
    <w:rsid w:val="008D5DED"/>
    <w:rsid w:val="008E25CA"/>
    <w:rsid w:val="008F34FC"/>
    <w:rsid w:val="00935058"/>
    <w:rsid w:val="00944CD7"/>
    <w:rsid w:val="009831B2"/>
    <w:rsid w:val="009A1ABE"/>
    <w:rsid w:val="009E21A4"/>
    <w:rsid w:val="009F22C6"/>
    <w:rsid w:val="009F2C72"/>
    <w:rsid w:val="00A07E50"/>
    <w:rsid w:val="00A15397"/>
    <w:rsid w:val="00A35CE0"/>
    <w:rsid w:val="00A4462E"/>
    <w:rsid w:val="00A44AA4"/>
    <w:rsid w:val="00A61623"/>
    <w:rsid w:val="00A84687"/>
    <w:rsid w:val="00AB0A0E"/>
    <w:rsid w:val="00AD3B6E"/>
    <w:rsid w:val="00B1751F"/>
    <w:rsid w:val="00B56722"/>
    <w:rsid w:val="00B74D39"/>
    <w:rsid w:val="00B855F4"/>
    <w:rsid w:val="00B91DA4"/>
    <w:rsid w:val="00C12630"/>
    <w:rsid w:val="00C34562"/>
    <w:rsid w:val="00C3774E"/>
    <w:rsid w:val="00C57456"/>
    <w:rsid w:val="00C63FA1"/>
    <w:rsid w:val="00C65387"/>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8744D"/>
    <w:rsid w:val="00EB6A8B"/>
    <w:rsid w:val="00EB7A93"/>
    <w:rsid w:val="00EF38C6"/>
    <w:rsid w:val="00F679C7"/>
    <w:rsid w:val="00F7711A"/>
    <w:rsid w:val="00FA0D58"/>
    <w:rsid w:val="00FA56F4"/>
    <w:rsid w:val="00FB4EDA"/>
    <w:rsid w:val="00FD3BD5"/>
    <w:rsid w:val="00FE3DC8"/>
    <w:rsid w:val="04073F84"/>
    <w:rsid w:val="049A4F4F"/>
    <w:rsid w:val="091972B4"/>
    <w:rsid w:val="09AE04BF"/>
    <w:rsid w:val="0B60750A"/>
    <w:rsid w:val="10686488"/>
    <w:rsid w:val="10DF728A"/>
    <w:rsid w:val="12337D8B"/>
    <w:rsid w:val="1264200E"/>
    <w:rsid w:val="141C5B77"/>
    <w:rsid w:val="16E6787B"/>
    <w:rsid w:val="18D8339D"/>
    <w:rsid w:val="1A21388F"/>
    <w:rsid w:val="1A570D2F"/>
    <w:rsid w:val="253F5A53"/>
    <w:rsid w:val="27874249"/>
    <w:rsid w:val="28FB0B8D"/>
    <w:rsid w:val="2A9870FC"/>
    <w:rsid w:val="2D2B7942"/>
    <w:rsid w:val="2D46481D"/>
    <w:rsid w:val="2E733B28"/>
    <w:rsid w:val="31852B5A"/>
    <w:rsid w:val="32D01238"/>
    <w:rsid w:val="3A6556B9"/>
    <w:rsid w:val="3DFC59A8"/>
    <w:rsid w:val="3ECF245E"/>
    <w:rsid w:val="3FB96314"/>
    <w:rsid w:val="436D72FF"/>
    <w:rsid w:val="4E615109"/>
    <w:rsid w:val="502C7B5A"/>
    <w:rsid w:val="53A44FAF"/>
    <w:rsid w:val="571A6EBF"/>
    <w:rsid w:val="594329EC"/>
    <w:rsid w:val="5BEE1540"/>
    <w:rsid w:val="5DE61A5D"/>
    <w:rsid w:val="63C04243"/>
    <w:rsid w:val="649C01C7"/>
    <w:rsid w:val="699A3F60"/>
    <w:rsid w:val="6F1134AE"/>
    <w:rsid w:val="72902E62"/>
    <w:rsid w:val="73C61104"/>
    <w:rsid w:val="776452EA"/>
    <w:rsid w:val="7DC663B9"/>
    <w:rsid w:val="7F204AAC"/>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 w:type="paragraph" w:customStyle="1" w:styleId="33">
    <w:name w:val="Table Paragraph"/>
    <w:basedOn w:val="1"/>
    <w:qFormat/>
    <w:uiPriority w:val="1"/>
    <w:pPr>
      <w:spacing w:line="258" w:lineRule="exact"/>
      <w:jc w:val="right"/>
    </w:pPr>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jpeg"/><Relationship Id="rId14" Type="http://schemas.openxmlformats.org/officeDocument/2006/relationships/chart" Target="charts/chart6.xml"/><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E:\&#21525;&#28113;\2018&#20915;&#31639;\&#37096;&#38376;&#20915;&#31639;&#20844;&#24320;&#21046;&#22270;&#27169;&#26495;&#65288;&#20462;&#25913;&#29256;&#65289;(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1525;&#28113;\2018&#20915;&#31639;\&#37096;&#38376;&#20915;&#31639;&#20844;&#24320;&#21046;&#22270;&#27169;&#26495;&#65288;&#20462;&#25913;&#29256;&#65289;(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21525;&#28113;\2018&#20915;&#31639;\&#37096;&#38376;&#20915;&#31639;&#20844;&#24320;&#21046;&#22270;&#27169;&#26495;&#65288;&#20462;&#25913;&#29256;&#65289;(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21525;&#28113;\2018&#20915;&#31639;\&#37096;&#38376;&#20915;&#31639;&#20844;&#24320;&#21046;&#22270;&#27169;&#26495;&#65288;&#20462;&#25913;&#29256;&#65289;(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21525;&#28113;\2018&#20915;&#31639;\&#37096;&#38376;&#20915;&#31639;&#20844;&#24320;&#21046;&#22270;&#27169;&#26495;&#65288;&#20462;&#25913;&#29256;&#65289;(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21525;&#28113;\2018&#20915;&#31639;\&#37096;&#38376;&#20915;&#31639;&#20844;&#24320;&#21046;&#22270;&#27169;&#26495;&#65288;&#20462;&#25913;&#29256;&#6528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1</a:t>
            </a:r>
            <a:r>
              <a:rPr lang="zh-CN" altLang="zh-CN" sz="1200" b="0">
                <a:latin typeface="仿宋_GB2312" panose="02010609030101010101" pitchFamily="3" charset="-122"/>
                <a:ea typeface="仿宋_GB2312" panose="02010609030101010101" pitchFamily="3" charset="-122"/>
              </a:rPr>
              <a:t>：收入构成情况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66550862270199"/>
          <c:y val="0.850746268656717"/>
        </c:manualLayout>
      </c:layout>
      <c:overlay val="0"/>
    </c:title>
    <c:autoTitleDeleted val="0"/>
    <c:plotArea>
      <c:layout>
        <c:manualLayout>
          <c:layoutTarget val="inner"/>
          <c:xMode val="edge"/>
          <c:yMode val="edge"/>
          <c:x val="0.0943148809218805"/>
          <c:y val="0.0575245818153328"/>
          <c:w val="0.811370238156239"/>
          <c:h val="0.765547851294708"/>
        </c:manualLayout>
      </c:layout>
      <c:pieChart>
        <c:varyColors val="1"/>
        <c:ser>
          <c:idx val="0"/>
          <c:order val="0"/>
          <c:explosion val="0"/>
          <c:dPt>
            <c:idx val="0"/>
            <c:bubble3D val="0"/>
          </c:dPt>
          <c:dPt>
            <c:idx val="1"/>
            <c:bubble3D val="0"/>
          </c:dPt>
          <c:dPt>
            <c:idx val="2"/>
            <c:bubble3D val="0"/>
          </c:dPt>
          <c:dPt>
            <c:idx val="3"/>
            <c:bubble3D val="0"/>
          </c:dPt>
          <c:dLbls>
            <c:dLbl>
              <c:idx val="3"/>
              <c:layout>
                <c:manualLayout>
                  <c:x val="0.0863862647614778"/>
                  <c:y val="0.21034507003322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82903262475844"/>
                      <c:h val="0.236926098698748"/>
                    </c:manualLayout>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'[部门决算公开制图模板（修改版）(1).xlsx]收入情况说明'!$C$9:$C$12</c:f>
              <c:strCache>
                <c:ptCount val="4"/>
                <c:pt idx="0">
                  <c:v>财政拨款收入</c:v>
                </c:pt>
                <c:pt idx="1">
                  <c:v>事业收入</c:v>
                </c:pt>
                <c:pt idx="2">
                  <c:v>经营收入</c:v>
                </c:pt>
                <c:pt idx="3">
                  <c:v>其他收入</c:v>
                </c:pt>
              </c:strCache>
            </c:strRef>
          </c:cat>
          <c:val>
            <c:numRef>
              <c:f>'[部门决算公开制图模板（修改版）(1).xlsx]收入情况说明'!$D$9:$D$12</c:f>
              <c:numCache>
                <c:formatCode>General</c:formatCode>
                <c:ptCount val="4"/>
                <c:pt idx="0">
                  <c:v>1085.67</c:v>
                </c:pt>
                <c:pt idx="1">
                  <c:v>0</c:v>
                </c:pt>
                <c:pt idx="3">
                  <c:v>0</c:v>
                </c:pt>
              </c:numCache>
            </c:numRef>
          </c:val>
        </c:ser>
        <c:dLbls>
          <c:showLegendKey val="0"/>
          <c:showVal val="0"/>
          <c:showCatName val="1"/>
          <c:showSerName val="0"/>
          <c:showPercent val="1"/>
          <c:showBubbleSize val="0"/>
          <c:showLeaderLines val="1"/>
        </c:dLbls>
        <c:firstSliceAng val="15"/>
      </c:pieChart>
      <c:spPr>
        <a:noFill/>
        <a:ln>
          <a:noFill/>
        </a:ln>
        <a:effectLst/>
      </c:spPr>
    </c:plotArea>
    <c:plotVisOnly val="1"/>
    <c:dispBlanksAs val="zero"/>
    <c:showDLblsOverMax val="0"/>
  </c:chart>
  <c:spPr>
    <a:ln w="9525" cap="flat" cmpd="sng" algn="ctr">
      <a:solidFill>
        <a:srgbClr val="0000FF">
          <a:alpha val="0"/>
        </a:srgb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2</a:t>
            </a:r>
            <a:r>
              <a:rPr lang="zh-CN" altLang="zh-CN" sz="1200" b="0">
                <a:latin typeface="仿宋_GB2312" panose="02010609030101010101" pitchFamily="3" charset="-122"/>
                <a:ea typeface="仿宋_GB2312" panose="02010609030101010101" pitchFamily="3" charset="-122"/>
              </a:rPr>
              <a:t>：支出构成情况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64138331467032"/>
          <c:y val="0.823232323232323"/>
        </c:manualLayout>
      </c:layout>
      <c:overlay val="0"/>
    </c:title>
    <c:autoTitleDeleted val="0"/>
    <c:plotArea>
      <c:layout>
        <c:manualLayout>
          <c:layoutTarget val="inner"/>
          <c:xMode val="edge"/>
          <c:yMode val="edge"/>
          <c:x val="0.101627059597234"/>
          <c:y val="0.103243458204088"/>
          <c:w val="0.808785007968812"/>
          <c:h val="0.65515469657202"/>
        </c:manualLayout>
      </c:layout>
      <c:pieChart>
        <c:varyColors val="1"/>
        <c:ser>
          <c:idx val="0"/>
          <c:order val="0"/>
          <c:explosion val="0"/>
          <c:dPt>
            <c:idx val="0"/>
            <c:bubble3D val="0"/>
          </c:dPt>
          <c:dPt>
            <c:idx val="1"/>
            <c:bubble3D val="0"/>
          </c:dPt>
          <c:dPt>
            <c:idx val="2"/>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'[部门决算公开制图模板（修改版）(1).xlsx]支出情况说明'!$A$5:$A$7</c:f>
              <c:strCache>
                <c:ptCount val="3"/>
                <c:pt idx="0">
                  <c:v>基本支出</c:v>
                </c:pt>
                <c:pt idx="1">
                  <c:v>项目支出</c:v>
                </c:pt>
              </c:strCache>
            </c:strRef>
          </c:cat>
          <c:val>
            <c:numRef>
              <c:f>'[部门决算公开制图模板（修改版）(1).xlsx]支出情况说明'!$B$5:$B$7</c:f>
              <c:numCache>
                <c:formatCode>General</c:formatCode>
                <c:ptCount val="3"/>
                <c:pt idx="0">
                  <c:v>677.81</c:v>
                </c:pt>
                <c:pt idx="1">
                  <c:v>424.14</c:v>
                </c:pt>
              </c:numCache>
            </c:numRef>
          </c:val>
        </c:ser>
        <c:dLbls>
          <c:showLegendKey val="0"/>
          <c:showVal val="0"/>
          <c:showCatName val="1"/>
          <c:showSerName val="0"/>
          <c:showPercent val="1"/>
          <c:showBubbleSize val="0"/>
          <c:showLeaderLines val="1"/>
        </c:dLbls>
        <c:firstSliceAng val="15"/>
      </c:pieChart>
      <c:spPr>
        <a:noFill/>
        <a:ln>
          <a:noFill/>
        </a:ln>
        <a:effectLst/>
      </c:spPr>
    </c:plotArea>
    <c:plotVisOnly val="1"/>
    <c:dispBlanksAs val="zero"/>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2</a:t>
            </a:r>
            <a:r>
              <a:rPr lang="zh-CN" altLang="zh-CN" sz="1200" b="0">
                <a:latin typeface="仿宋_GB2312" panose="02010609030101010101" pitchFamily="3" charset="-122"/>
                <a:ea typeface="仿宋_GB2312" panose="02010609030101010101" pitchFamily="3" charset="-122"/>
              </a:rPr>
              <a:t>：支出构成情况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64138331467032"/>
          <c:y val="0.823232323232323"/>
        </c:manualLayout>
      </c:layout>
      <c:overlay val="0"/>
    </c:title>
    <c:autoTitleDeleted val="0"/>
    <c:plotArea>
      <c:layout>
        <c:manualLayout>
          <c:layoutTarget val="inner"/>
          <c:xMode val="edge"/>
          <c:yMode val="edge"/>
          <c:x val="0.101627059597234"/>
          <c:y val="0.103243458204088"/>
          <c:w val="0.808785007968812"/>
          <c:h val="0.65515469657202"/>
        </c:manualLayout>
      </c:layout>
      <c:pieChart>
        <c:varyColors val="1"/>
        <c:ser>
          <c:idx val="0"/>
          <c:order val="0"/>
          <c:explosion val="0"/>
          <c:dPt>
            <c:idx val="0"/>
            <c:bubble3D val="0"/>
          </c:dPt>
          <c:dPt>
            <c:idx val="1"/>
            <c:bubble3D val="0"/>
          </c:dPt>
          <c:dPt>
            <c:idx val="2"/>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'[部门决算公开制图模板（修改版）(1).xlsx]支出情况说明'!$A$5:$A$7</c:f>
              <c:strCache>
                <c:ptCount val="3"/>
                <c:pt idx="0">
                  <c:v>基本支出</c:v>
                </c:pt>
                <c:pt idx="1">
                  <c:v>项目支出</c:v>
                </c:pt>
              </c:strCache>
            </c:strRef>
          </c:cat>
          <c:val>
            <c:numRef>
              <c:f>'[部门决算公开制图模板（修改版）(1).xlsx]支出情况说明'!$B$5:$B$7</c:f>
              <c:numCache>
                <c:formatCode>General</c:formatCode>
                <c:ptCount val="3"/>
                <c:pt idx="0">
                  <c:v>677.81</c:v>
                </c:pt>
                <c:pt idx="1">
                  <c:v>424.14</c:v>
                </c:pt>
              </c:numCache>
            </c:numRef>
          </c:val>
        </c:ser>
        <c:dLbls>
          <c:showLegendKey val="0"/>
          <c:showVal val="0"/>
          <c:showCatName val="1"/>
          <c:showSerName val="0"/>
          <c:showPercent val="1"/>
          <c:showBubbleSize val="0"/>
          <c:showLeaderLines val="1"/>
        </c:dLbls>
        <c:firstSliceAng val="15"/>
      </c:pieChart>
      <c:spPr>
        <a:noFill/>
        <a:ln>
          <a:noFill/>
        </a:ln>
        <a:effectLst/>
      </c:spPr>
    </c:plotArea>
    <c:plotVisOnly val="1"/>
    <c:dispBlanksAs val="zero"/>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3</a:t>
            </a:r>
            <a:r>
              <a:rPr lang="zh-CN" altLang="zh-CN" sz="1200" b="0">
                <a:latin typeface="仿宋_GB2312" panose="02010609030101010101" pitchFamily="3" charset="-122"/>
                <a:ea typeface="仿宋_GB2312" panose="02010609030101010101" pitchFamily="3" charset="-122"/>
              </a:rPr>
              <a:t>：</a:t>
            </a:r>
            <a:r>
              <a:rPr lang="en-US" altLang="zh-CN" sz="1200" b="0">
                <a:latin typeface="仿宋_GB2312" panose="02010609030101010101" pitchFamily="3" charset="-122"/>
                <a:ea typeface="仿宋_GB2312" panose="02010609030101010101" pitchFamily="3" charset="-122"/>
              </a:rPr>
              <a:t>2017-2018</a:t>
            </a:r>
            <a:r>
              <a:rPr lang="zh-CN" altLang="zh-CN" sz="1200" b="0">
                <a:latin typeface="仿宋_GB2312" panose="02010609030101010101" pitchFamily="3" charset="-122"/>
                <a:ea typeface="仿宋_GB2312" panose="02010609030101010101" pitchFamily="3" charset="-122"/>
              </a:rPr>
              <a:t>年财政拨款收支对比情况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22222222222222"/>
          <c:y val="0.864749733759319"/>
        </c:manualLayout>
      </c:layout>
      <c:overlay val="0"/>
    </c:title>
    <c:autoTitleDeleted val="0"/>
    <c:plotArea>
      <c:layout>
        <c:manualLayout>
          <c:layoutTarget val="inner"/>
          <c:xMode val="edge"/>
          <c:yMode val="edge"/>
          <c:x val="0.111821741032371"/>
          <c:y val="0.031055900621118"/>
          <c:w val="0.869289370078741"/>
          <c:h val="0.601993408970844"/>
        </c:manualLayout>
      </c:layout>
      <c:barChart>
        <c:barDir val="col"/>
        <c:grouping val="clustered"/>
        <c:varyColors val="0"/>
        <c:ser>
          <c:idx val="0"/>
          <c:order val="0"/>
          <c:tx>
            <c:strRef>
              <c:f>'[部门决算公开制图模板（修改版）(1).xlsx]收支与决算对比'!$A$5</c:f>
              <c:strCache>
                <c:ptCount val="1"/>
                <c:pt idx="0">
                  <c:v>2018</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'[部门决算公开制图模板（修改版）(1).xlsx]收支与决算对比'!$B$4:$C$4</c:f>
              <c:strCache>
                <c:ptCount val="2"/>
                <c:pt idx="0">
                  <c:v>财政拨款收入</c:v>
                </c:pt>
                <c:pt idx="1">
                  <c:v>财政拨款支出</c:v>
                </c:pt>
              </c:strCache>
            </c:strRef>
          </c:cat>
          <c:val>
            <c:numRef>
              <c:f>'[部门决算公开制图模板（修改版）(1).xlsx]收支与决算对比'!$B$5:$C$5</c:f>
              <c:numCache>
                <c:formatCode>General</c:formatCode>
                <c:ptCount val="2"/>
                <c:pt idx="0">
                  <c:v>1085.67</c:v>
                </c:pt>
                <c:pt idx="1">
                  <c:v>1101.95</c:v>
                </c:pt>
              </c:numCache>
            </c:numRef>
          </c:val>
        </c:ser>
        <c:ser>
          <c:idx val="1"/>
          <c:order val="1"/>
          <c:tx>
            <c:strRef>
              <c:f>'[部门决算公开制图模板（修改版）(1).xlsx]收支与决算对比'!$A$6</c:f>
              <c:strCache>
                <c:ptCount val="1"/>
                <c:pt idx="0">
                  <c:v>2017</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'[部门决算公开制图模板（修改版）(1).xlsx]收支与决算对比'!$B$4:$C$4</c:f>
              <c:strCache>
                <c:ptCount val="2"/>
                <c:pt idx="0">
                  <c:v>财政拨款收入</c:v>
                </c:pt>
                <c:pt idx="1">
                  <c:v>财政拨款支出</c:v>
                </c:pt>
              </c:strCache>
            </c:strRef>
          </c:cat>
          <c:val>
            <c:numRef>
              <c:f>'[部门决算公开制图模板（修改版）(1).xlsx]收支与决算对比'!$B$6:$C$6</c:f>
              <c:numCache>
                <c:formatCode>General</c:formatCode>
                <c:ptCount val="2"/>
                <c:pt idx="0">
                  <c:v>544.47</c:v>
                </c:pt>
                <c:pt idx="1">
                  <c:v>528.19</c:v>
                </c:pt>
              </c:numCache>
            </c:numRef>
          </c:val>
        </c:ser>
        <c:dLbls>
          <c:showLegendKey val="0"/>
          <c:showVal val="1"/>
          <c:showCatName val="0"/>
          <c:showSerName val="0"/>
          <c:showPercent val="0"/>
          <c:showBubbleSize val="0"/>
        </c:dLbls>
        <c:gapWidth val="75"/>
        <c:axId val="185492224"/>
        <c:axId val="185494528"/>
      </c:barChart>
      <c:catAx>
        <c:axId val="185492224"/>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5494528"/>
        <c:crosses val="autoZero"/>
        <c:auto val="1"/>
        <c:lblAlgn val="ctr"/>
        <c:lblOffset val="100"/>
        <c:noMultiLvlLbl val="0"/>
      </c:catAx>
      <c:valAx>
        <c:axId val="185494528"/>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5492224"/>
        <c:crosses val="autoZero"/>
        <c:crossBetween val="between"/>
      </c:valAx>
    </c:plotArea>
    <c:legend>
      <c:legendPos val="b"/>
      <c:layout>
        <c:manualLayout>
          <c:xMode val="edge"/>
          <c:yMode val="edge"/>
          <c:x val="0.426340551181102"/>
          <c:y val="0.756835299740887"/>
          <c:w val="0.208429790026247"/>
          <c:h val="0.077030514955598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i="0" u="none" strike="noStrike" baseline="0">
                <a:latin typeface="仿宋_GB2312" panose="02010609030101010101" pitchFamily="3" charset="-122"/>
                <a:ea typeface="仿宋_GB2312" panose="02010609030101010101" pitchFamily="3" charset="-122"/>
              </a:rPr>
              <a:t>图</a:t>
            </a:r>
            <a:r>
              <a:rPr lang="en-US" altLang="zh-CN" sz="1200" b="0" i="0" u="none" strike="noStrike" baseline="0">
                <a:latin typeface="仿宋_GB2312" panose="02010609030101010101" pitchFamily="3" charset="-122"/>
                <a:ea typeface="仿宋_GB2312" panose="02010609030101010101" pitchFamily="3" charset="-122"/>
              </a:rPr>
              <a:t>4</a:t>
            </a:r>
            <a:r>
              <a:rPr lang="zh-CN" altLang="zh-CN" sz="1200" b="0" i="0" u="none" strike="noStrike" baseline="0">
                <a:latin typeface="仿宋_GB2312" panose="02010609030101010101" pitchFamily="3" charset="-122"/>
                <a:ea typeface="仿宋_GB2312" panose="02010609030101010101" pitchFamily="3" charset="-122"/>
              </a:rPr>
              <a:t>：财政拨款收支预决算对比情况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19444444444445"/>
          <c:y val="0.921675774134791"/>
        </c:manualLayout>
      </c:layout>
      <c:overlay val="0"/>
    </c:title>
    <c:autoTitleDeleted val="0"/>
    <c:plotArea>
      <c:layout>
        <c:manualLayout>
          <c:layoutTarget val="inner"/>
          <c:xMode val="edge"/>
          <c:yMode val="edge"/>
          <c:x val="0.0913888888888889"/>
          <c:y val="0.0533333333333333"/>
          <c:w val="0.869289370078741"/>
          <c:h val="0.768818002863279"/>
        </c:manualLayout>
      </c:layout>
      <c:barChart>
        <c:barDir val="col"/>
        <c:grouping val="clustered"/>
        <c:varyColors val="0"/>
        <c:ser>
          <c:idx val="0"/>
          <c:order val="0"/>
          <c:tx>
            <c:strRef>
              <c:f>'[部门决算公开制图模板（修改版）(1).xlsx]收支与预算对比'!$A$5</c:f>
              <c:strCache>
                <c:ptCount val="1"/>
                <c:pt idx="0">
                  <c:v>年初预算数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'[部门决算公开制图模板（修改版）(1).xlsx]收支与预算对比'!$B$4:$C$4</c:f>
              <c:strCache>
                <c:ptCount val="2"/>
                <c:pt idx="0">
                  <c:v>财政拨款收入</c:v>
                </c:pt>
                <c:pt idx="1">
                  <c:v>财政拨款支出</c:v>
                </c:pt>
              </c:strCache>
            </c:strRef>
          </c:cat>
          <c:val>
            <c:numRef>
              <c:f>'[部门决算公开制图模板（修改版）(1).xlsx]收支与预算对比'!$B$5:$C$5</c:f>
              <c:numCache>
                <c:formatCode>General</c:formatCode>
                <c:ptCount val="2"/>
                <c:pt idx="0">
                  <c:v>509.17</c:v>
                </c:pt>
                <c:pt idx="1">
                  <c:v>509.17</c:v>
                </c:pt>
              </c:numCache>
            </c:numRef>
          </c:val>
        </c:ser>
        <c:ser>
          <c:idx val="1"/>
          <c:order val="1"/>
          <c:tx>
            <c:strRef>
              <c:f>'[部门决算公开制图模板（修改版）(1).xlsx]收支与预算对比'!$A$6</c:f>
              <c:strCache>
                <c:ptCount val="1"/>
                <c:pt idx="0">
                  <c:v>决算数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'[部门决算公开制图模板（修改版）(1).xlsx]收支与预算对比'!$B$4:$C$4</c:f>
              <c:strCache>
                <c:ptCount val="2"/>
                <c:pt idx="0">
                  <c:v>财政拨款收入</c:v>
                </c:pt>
                <c:pt idx="1">
                  <c:v>财政拨款支出</c:v>
                </c:pt>
              </c:strCache>
            </c:strRef>
          </c:cat>
          <c:val>
            <c:numRef>
              <c:f>'[部门决算公开制图模板（修改版）(1).xlsx]收支与预算对比'!$B$6:$C$6</c:f>
              <c:numCache>
                <c:formatCode>General</c:formatCode>
                <c:ptCount val="2"/>
                <c:pt idx="0">
                  <c:v>1085.67</c:v>
                </c:pt>
                <c:pt idx="1">
                  <c:v>1101.95</c:v>
                </c:pt>
              </c:numCache>
            </c:numRef>
          </c:val>
        </c:ser>
        <c:dLbls>
          <c:showLegendKey val="0"/>
          <c:showVal val="1"/>
          <c:showCatName val="0"/>
          <c:showSerName val="0"/>
          <c:showPercent val="0"/>
          <c:showBubbleSize val="0"/>
        </c:dLbls>
        <c:gapWidth val="75"/>
        <c:axId val="187933056"/>
        <c:axId val="187936128"/>
      </c:barChart>
      <c:catAx>
        <c:axId val="187933056"/>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7936128"/>
        <c:crosses val="autoZero"/>
        <c:auto val="1"/>
        <c:lblAlgn val="ctr"/>
        <c:lblOffset val="100"/>
        <c:noMultiLvlLbl val="0"/>
      </c:catAx>
      <c:valAx>
        <c:axId val="187936128"/>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7933056"/>
        <c:crosses val="autoZero"/>
        <c:crossBetween val="between"/>
      </c:valAx>
    </c:plotArea>
    <c:legend>
      <c:legendPos val="b"/>
      <c:layout>
        <c:manualLayout>
          <c:xMode val="edge"/>
          <c:yMode val="edge"/>
          <c:x val="0.346718285214349"/>
          <c:y val="0.848750340633651"/>
          <c:w val="0.339896544181977"/>
          <c:h val="0.065875822899186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b" anchorCtr="0"/>
          <a:lstStyle/>
          <a:p>
            <a:pPr>
              <a:defRPr lang="zh-CN" sz="1800" b="1" i="0" u="none" strike="noStrike" kern="1200" baseline="0">
                <a:solidFill>
                  <a:schemeClr val="tx1"/>
                </a:solidFill>
                <a:latin typeface="+mn-lt"/>
                <a:ea typeface="+mn-ea"/>
                <a:cs typeface="+mn-cs"/>
              </a:defRPr>
            </a:pPr>
            <a:r>
              <a:rPr lang="zh-CN" altLang="zh-CN" sz="1400" b="0" i="0" u="none" strike="noStrike" baseline="0">
                <a:latin typeface="仿宋_GB2312" panose="02010609030101010101" pitchFamily="3" charset="-122"/>
                <a:ea typeface="仿宋_GB2312" panose="02010609030101010101" pitchFamily="3" charset="-122"/>
              </a:rPr>
              <a:t>图</a:t>
            </a:r>
            <a:r>
              <a:rPr lang="en-US" altLang="zh-CN" sz="1400" b="0" i="0" u="none" strike="noStrike" baseline="0">
                <a:latin typeface="仿宋_GB2312" panose="02010609030101010101" pitchFamily="3" charset="-122"/>
                <a:ea typeface="仿宋_GB2312" panose="02010609030101010101" pitchFamily="3" charset="-122"/>
              </a:rPr>
              <a:t>5</a:t>
            </a:r>
            <a:r>
              <a:rPr lang="zh-CN" altLang="zh-CN" sz="1400" b="0" i="0" u="none" strike="noStrike" baseline="0">
                <a:latin typeface="仿宋_GB2312" panose="02010609030101010101" pitchFamily="3" charset="-122"/>
                <a:ea typeface="仿宋_GB2312" panose="02010609030101010101" pitchFamily="3" charset="-122"/>
              </a:rPr>
              <a:t>：财政拨款支出决算结构（按功能分类）</a:t>
            </a:r>
            <a:endParaRPr lang="zh-CN" altLang="en-US" sz="1400" b="0">
              <a:latin typeface="仿宋_GB2312" panose="02010609030101010101" pitchFamily="3" charset="-122"/>
              <a:ea typeface="仿宋_GB2312" panose="02010609030101010101" pitchFamily="3" charset="-122"/>
            </a:endParaRPr>
          </a:p>
        </c:rich>
      </c:tx>
      <c:layout>
        <c:manualLayout>
          <c:xMode val="edge"/>
          <c:yMode val="edge"/>
          <c:x val="0.126388888888889"/>
          <c:y val="0.837120962443044"/>
        </c:manualLayout>
      </c:layout>
      <c:overlay val="0"/>
    </c:title>
    <c:autoTitleDeleted val="0"/>
    <c:plotArea>
      <c:layout>
        <c:manualLayout>
          <c:layoutTarget val="inner"/>
          <c:xMode val="edge"/>
          <c:yMode val="edge"/>
          <c:x val="0.242777777777778"/>
          <c:y val="0.0719696755041531"/>
          <c:w val="0.514444663167104"/>
          <c:h val="0.70151524054067"/>
        </c:manualLayout>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Lbls>
            <c:dLbl>
              <c:idx val="1"/>
              <c:delete val="1"/>
            </c:dLbl>
            <c:dLbl>
              <c:idx val="2"/>
              <c:delete val="1"/>
            </c:dLbl>
            <c:dLbl>
              <c:idx val="3"/>
              <c:delete val="1"/>
            </c:dLbl>
            <c:dLbl>
              <c:idx val="4"/>
              <c:delete val="1"/>
            </c:dLbl>
            <c:dLbl>
              <c:idx val="6"/>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'[部门决算公开制图模板（修改版）(1).xlsx]支出决算结构'!$A$5:$A$23</c:f>
              <c:strCache>
                <c:ptCount val="19"/>
                <c:pt idx="0">
                  <c:v>一般公共服务支出</c:v>
                </c:pt>
                <c:pt idx="1">
                  <c:v>公共安全支出</c:v>
                </c:pt>
                <c:pt idx="2">
                  <c:v>教育支出</c:v>
                </c:pt>
                <c:pt idx="3">
                  <c:v>科学技术支出</c:v>
                </c:pt>
                <c:pt idx="4">
                  <c:v>文化体育与传媒支出</c:v>
                </c:pt>
                <c:pt idx="5">
                  <c:v>社会保障和就业支出</c:v>
                </c:pt>
                <c:pt idx="6">
                  <c:v>医疗卫生与计划生育支出</c:v>
                </c:pt>
                <c:pt idx="7">
                  <c:v>节能环保支出</c:v>
                </c:pt>
                <c:pt idx="8">
                  <c:v>城乡社区支出</c:v>
                </c:pt>
                <c:pt idx="9">
                  <c:v>农林水支出</c:v>
                </c:pt>
                <c:pt idx="10">
                  <c:v>交通运输支出</c:v>
                </c:pt>
                <c:pt idx="11">
                  <c:v>资源勘探信息等支出</c:v>
                </c:pt>
                <c:pt idx="12">
                  <c:v>商业服务业等支出</c:v>
                </c:pt>
                <c:pt idx="13">
                  <c:v>国土海洋气象等支出</c:v>
                </c:pt>
                <c:pt idx="14">
                  <c:v>住房保障支出</c:v>
                </c:pt>
                <c:pt idx="15">
                  <c:v>粮油物资储备支出</c:v>
                </c:pt>
                <c:pt idx="16">
                  <c:v>其他支出</c:v>
                </c:pt>
                <c:pt idx="17">
                  <c:v>债务还本支出</c:v>
                </c:pt>
                <c:pt idx="18">
                  <c:v>债务付息支出</c:v>
                </c:pt>
              </c:strCache>
            </c:strRef>
          </c:cat>
          <c:val>
            <c:numRef>
              <c:f>'[部门决算公开制图模板（修改版）(1).xlsx]支出决算结构'!$B$5:$B$23</c:f>
              <c:numCache>
                <c:formatCode>General</c:formatCode>
                <c:ptCount val="19"/>
                <c:pt idx="0">
                  <c:v>795.38</c:v>
                </c:pt>
                <c:pt idx="5">
                  <c:v>10</c:v>
                </c:pt>
                <c:pt idx="7">
                  <c:v>74.73</c:v>
                </c:pt>
                <c:pt idx="8">
                  <c:v>221.84</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128AC7-18FD-4ADC-9441-8B8BA7E44256}">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40</Pages>
  <Words>1993</Words>
  <Characters>11366</Characters>
  <Lines>94</Lines>
  <Paragraphs>26</Paragraphs>
  <TotalTime>47</TotalTime>
  <ScaleCrop>false</ScaleCrop>
  <LinksUpToDate>false</LinksUpToDate>
  <CharactersWithSpaces>13333</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古德纽斯</cp:lastModifiedBy>
  <cp:lastPrinted>2019-08-02T01:01:00Z</cp:lastPrinted>
  <dcterms:modified xsi:type="dcterms:W3CDTF">2023-08-28T07:26:35Z</dcterms:modified>
  <dc:subject>石家庄市xxx部门</dc:subject>
  <dc:title>2017年度部门决算</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42BE235A849D48AABAC8CDEF77225860</vt:lpwstr>
  </property>
</Properties>
</file>