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FEF" w:rsidRDefault="00094B62">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rsidR="00550FEF" w:rsidRDefault="00550FEF">
      <w:pPr>
        <w:widowControl/>
        <w:jc w:val="center"/>
        <w:rPr>
          <w:rFonts w:asciiTheme="minorEastAsia" w:eastAsiaTheme="minorEastAsia" w:hAnsi="宋体"/>
          <w:color w:val="002060"/>
          <w:sz w:val="72"/>
          <w:szCs w:val="72"/>
        </w:rPr>
      </w:pPr>
      <w:r w:rsidRPr="00550FEF">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filled="f" stroked="f" strokeweight=".5pt">
            <v:textbox>
              <w:txbxContent>
                <w:p w:rsidR="00550FEF" w:rsidRDefault="00094B6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无极县食品药品监督管理局</w:t>
                  </w:r>
                </w:p>
                <w:p w:rsidR="00550FEF" w:rsidRDefault="00094B62">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550FEF" w:rsidRDefault="00550FEF">
                  <w:pPr>
                    <w:rPr>
                      <w:color w:val="FDEFBE"/>
                      <w:sz w:val="96"/>
                      <w:szCs w:val="96"/>
                    </w:rPr>
                  </w:pPr>
                </w:p>
              </w:txbxContent>
            </v:textbox>
          </v:shape>
        </w:pict>
      </w: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Theme="minorEastAsia" w:eastAsiaTheme="minorEastAsia" w:hAnsiTheme="minorEastAsia"/>
          <w:b/>
          <w:sz w:val="72"/>
          <w:szCs w:val="72"/>
        </w:rPr>
      </w:pPr>
    </w:p>
    <w:p w:rsidR="00550FEF" w:rsidRDefault="00550FEF">
      <w:pPr>
        <w:widowControl/>
        <w:jc w:val="center"/>
        <w:rPr>
          <w:rFonts w:ascii="楷体" w:eastAsia="楷体" w:hAnsi="楷体" w:cs="楷体"/>
          <w:b/>
          <w:sz w:val="40"/>
          <w:szCs w:val="40"/>
        </w:rPr>
      </w:pPr>
    </w:p>
    <w:p w:rsidR="00550FEF" w:rsidRDefault="00094B62">
      <w:pPr>
        <w:widowControl/>
        <w:jc w:val="center"/>
        <w:rPr>
          <w:rFonts w:ascii="楷体_GB2312" w:eastAsia="楷体_GB2312" w:hAnsi="楷体" w:cs="楷体"/>
          <w:b/>
          <w:sz w:val="40"/>
          <w:szCs w:val="40"/>
        </w:rPr>
        <w:sectPr w:rsidR="00550FEF">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550FEF" w:rsidRDefault="00094B62" w:rsidP="005D188D">
      <w:pPr>
        <w:spacing w:beforeLines="200" w:line="1000" w:lineRule="exact"/>
        <w:jc w:val="center"/>
        <w:rPr>
          <w:rFonts w:ascii="黑体" w:eastAsia="黑体"/>
          <w:sz w:val="48"/>
          <w:szCs w:val="48"/>
        </w:rPr>
      </w:pPr>
      <w:r>
        <w:rPr>
          <w:rFonts w:ascii="黑体" w:eastAsia="黑体" w:hint="eastAsia"/>
          <w:sz w:val="48"/>
          <w:szCs w:val="48"/>
        </w:rPr>
        <w:lastRenderedPageBreak/>
        <w:t>目</w:t>
      </w:r>
      <w:r>
        <w:rPr>
          <w:rFonts w:ascii="黑体" w:eastAsia="黑体" w:hint="eastAsia"/>
          <w:sz w:val="48"/>
          <w:szCs w:val="48"/>
        </w:rPr>
        <w:t xml:space="preserve">    </w:t>
      </w:r>
      <w:r>
        <w:rPr>
          <w:rFonts w:ascii="黑体" w:eastAsia="黑体" w:hint="eastAsia"/>
          <w:sz w:val="48"/>
          <w:szCs w:val="48"/>
        </w:rPr>
        <w:t>录</w:t>
      </w:r>
    </w:p>
    <w:p w:rsidR="00550FEF" w:rsidRDefault="00550FEF">
      <w:pPr>
        <w:widowControl/>
        <w:spacing w:line="580" w:lineRule="exact"/>
        <w:ind w:firstLineChars="200" w:firstLine="640"/>
        <w:rPr>
          <w:rFonts w:eastAsia="黑体"/>
          <w:sz w:val="32"/>
          <w:szCs w:val="32"/>
        </w:rPr>
      </w:pPr>
    </w:p>
    <w:p w:rsidR="00550FEF" w:rsidRDefault="00094B62">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sz w:val="32"/>
          <w:szCs w:val="32"/>
        </w:rPr>
        <w:t>部门概况</w:t>
      </w:r>
    </w:p>
    <w:p w:rsidR="00550FEF" w:rsidRDefault="00094B62" w:rsidP="005D188D">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550FEF" w:rsidRDefault="00094B62" w:rsidP="005D188D">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550FEF" w:rsidRDefault="00094B62">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二、收入决算表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三、支出决算表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550FEF" w:rsidRDefault="00094B62">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550FEF" w:rsidRDefault="00094B62">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550FEF" w:rsidRDefault="00094B62">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550FEF" w:rsidRDefault="00550FEF">
      <w:pPr>
        <w:widowControl/>
        <w:spacing w:line="580" w:lineRule="exact"/>
        <w:ind w:firstLineChars="200" w:firstLine="640"/>
        <w:rPr>
          <w:rFonts w:eastAsia="黑体"/>
          <w:sz w:val="32"/>
          <w:szCs w:val="32"/>
        </w:rPr>
      </w:pPr>
    </w:p>
    <w:p w:rsidR="00550FEF" w:rsidRDefault="00094B62">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食药监</w:t>
      </w:r>
      <w:r>
        <w:rPr>
          <w:rFonts w:eastAsia="黑体"/>
          <w:sz w:val="32"/>
          <w:szCs w:val="32"/>
        </w:rPr>
        <w:t>部门</w:t>
      </w:r>
      <w:r>
        <w:rPr>
          <w:rFonts w:eastAsia="黑体"/>
          <w:sz w:val="32"/>
          <w:szCs w:val="32"/>
        </w:rPr>
        <w:t>201</w:t>
      </w:r>
      <w:r>
        <w:rPr>
          <w:rFonts w:eastAsia="黑体" w:hint="eastAsia"/>
          <w:sz w:val="32"/>
          <w:szCs w:val="32"/>
        </w:rPr>
        <w:t>8</w:t>
      </w:r>
      <w:r>
        <w:rPr>
          <w:rFonts w:eastAsia="黑体"/>
          <w:sz w:val="32"/>
          <w:szCs w:val="32"/>
        </w:rPr>
        <w:t>年部门决算情况说明</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lastRenderedPageBreak/>
        <w:t>三、支出决算情况说明</w:t>
      </w:r>
    </w:p>
    <w:p w:rsidR="00550FEF" w:rsidRDefault="00094B62">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550FEF" w:rsidRDefault="00094B62">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550FEF" w:rsidRDefault="00094B62">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550FEF" w:rsidRDefault="00094B62">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550FEF" w:rsidRDefault="00094B62">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550FEF" w:rsidRDefault="00550FEF">
      <w:pPr>
        <w:widowControl/>
        <w:spacing w:line="580" w:lineRule="exact"/>
        <w:ind w:firstLineChars="200" w:firstLine="640"/>
        <w:rPr>
          <w:rFonts w:eastAsia="黑体"/>
          <w:sz w:val="32"/>
          <w:szCs w:val="32"/>
        </w:rPr>
      </w:pPr>
    </w:p>
    <w:p w:rsidR="00550FEF" w:rsidRDefault="00550FEF">
      <w:pPr>
        <w:widowControl/>
        <w:spacing w:line="580" w:lineRule="exact"/>
        <w:ind w:firstLineChars="200" w:firstLine="640"/>
        <w:rPr>
          <w:rFonts w:eastAsia="黑体"/>
          <w:sz w:val="32"/>
          <w:szCs w:val="32"/>
        </w:rPr>
      </w:pPr>
    </w:p>
    <w:p w:rsidR="00550FEF" w:rsidRDefault="00550FEF">
      <w:pPr>
        <w:widowControl/>
        <w:spacing w:line="580" w:lineRule="exact"/>
        <w:ind w:firstLineChars="200" w:firstLine="640"/>
        <w:rPr>
          <w:rFonts w:eastAsia="黑体"/>
          <w:sz w:val="32"/>
          <w:szCs w:val="32"/>
        </w:rPr>
      </w:pPr>
    </w:p>
    <w:p w:rsidR="00550FEF" w:rsidRDefault="00550FEF">
      <w:pPr>
        <w:widowControl/>
        <w:spacing w:line="580" w:lineRule="exact"/>
        <w:ind w:firstLineChars="200" w:firstLine="640"/>
        <w:rPr>
          <w:rFonts w:eastAsia="黑体"/>
          <w:sz w:val="32"/>
          <w:szCs w:val="32"/>
        </w:rPr>
      </w:pPr>
    </w:p>
    <w:p w:rsidR="00550FEF" w:rsidRDefault="00094B62">
      <w:r>
        <w:br w:type="page"/>
      </w:r>
    </w:p>
    <w:p w:rsidR="00550FEF" w:rsidRDefault="00094B62">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a:stretch>
                      <a:fillRect/>
                    </a:stretch>
                  </pic:blipFill>
                  <pic:spPr>
                    <a:xfrm>
                      <a:off x="0" y="0"/>
                      <a:ext cx="7585710" cy="10727055"/>
                    </a:xfrm>
                    <a:prstGeom prst="rect">
                      <a:avLst/>
                    </a:prstGeom>
                  </pic:spPr>
                </pic:pic>
              </a:graphicData>
            </a:graphic>
          </wp:anchor>
        </w:drawing>
      </w:r>
      <w:r w:rsidR="00550FEF" w:rsidRPr="00550FEF">
        <w:rPr>
          <w:sz w:val="72"/>
        </w:rPr>
        <w:pict>
          <v:shape id="_x0000_s1030" type="#_x0000_t202" style="position:absolute;left:0;text-align:left;margin-left:-97.3pt;margin-top:259.1pt;width:613.65pt;height:81.7pt;z-index:251669504;mso-position-horizontal-relative:text;mso-position-vertical-relative:text"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filled="f" stroked="f" strokeweight=".5pt">
            <v:textbox>
              <w:txbxContent>
                <w:p w:rsidR="00550FEF" w:rsidRDefault="00094B62">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550FEF"/>
    <w:p w:rsidR="00550FEF" w:rsidRDefault="00094B62">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lastRenderedPageBreak/>
        <w:t>一、部门职责</w:t>
      </w:r>
    </w:p>
    <w:p w:rsidR="00550FEF" w:rsidRDefault="00094B62">
      <w:pPr>
        <w:ind w:firstLineChars="200" w:firstLine="640"/>
        <w:rPr>
          <w:rFonts w:ascii="楷体" w:eastAsia="楷体" w:hAnsi="楷体"/>
          <w:sz w:val="32"/>
          <w:szCs w:val="32"/>
        </w:rPr>
      </w:pPr>
      <w:r>
        <w:rPr>
          <w:rFonts w:ascii="楷体" w:eastAsia="楷体" w:hAnsi="楷体" w:hint="eastAsia"/>
          <w:sz w:val="32"/>
          <w:szCs w:val="32"/>
        </w:rPr>
        <w:t>（一）部门职责</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1</w:t>
      </w:r>
      <w:r>
        <w:rPr>
          <w:rFonts w:ascii="仿宋_GB2312" w:eastAsia="仿宋_GB2312" w:hAnsi="仿宋" w:hint="eastAsia"/>
          <w:sz w:val="32"/>
          <w:szCs w:val="32"/>
        </w:rPr>
        <w:t>、贯彻执行国家、省、市食品（含食品添加剂、保健食品、酒类、调味品，下同）安全、药品（含中药、民族药，下同）、医疗器械、化妆品监督管理的法律法规和方针政策。参与起草相关地方性法规和规章草案，推动建立落实食品药品安全企业主体责任、地方人民政府负总责的机制，并组织实施和监督检查，着力防范区域性、系统性食品药品安全风险。</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2</w:t>
      </w:r>
      <w:r>
        <w:rPr>
          <w:rFonts w:ascii="仿宋_GB2312" w:eastAsia="仿宋_GB2312" w:hAnsi="仿宋" w:hint="eastAsia"/>
          <w:sz w:val="32"/>
          <w:szCs w:val="32"/>
        </w:rPr>
        <w:t>、承担食品生产、流通、消费环节行政许可、监督管理工作，负责制定食品行政许可的实施办法并监督实施。建立完善食品安全隐患排查治理机制，制定食品安全检查年度计划、重大整顿治理方案并组织落实。</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3</w:t>
      </w:r>
      <w:r>
        <w:rPr>
          <w:rFonts w:ascii="仿宋_GB2312" w:eastAsia="仿宋_GB2312" w:hAnsi="仿宋" w:hint="eastAsia"/>
          <w:sz w:val="32"/>
          <w:szCs w:val="32"/>
        </w:rPr>
        <w:t>、负</w:t>
      </w:r>
      <w:r>
        <w:rPr>
          <w:rFonts w:ascii="仿宋_GB2312" w:eastAsia="仿宋_GB2312" w:hAnsi="仿宋" w:hint="eastAsia"/>
          <w:sz w:val="32"/>
          <w:szCs w:val="32"/>
        </w:rPr>
        <w:t>责药品、医疗器械行政许可、监督管理，监督实施药品和医疗器械的研制、生产、流通、使用方面的质量管理规范。组织开展药品不良反应、药物滥用监测、医疗器械不良事件工作。配合有关部门实施国家基本药物制度。</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4</w:t>
      </w:r>
      <w:r>
        <w:rPr>
          <w:rFonts w:ascii="仿宋_GB2312" w:eastAsia="仿宋_GB2312" w:hAnsi="仿宋" w:hint="eastAsia"/>
          <w:sz w:val="32"/>
          <w:szCs w:val="32"/>
        </w:rPr>
        <w:t>、监督实施化妆品安全管理规范，负责化妆品的监督管理和不良反应监测工作。</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5</w:t>
      </w:r>
      <w:r>
        <w:rPr>
          <w:rFonts w:ascii="仿宋_GB2312" w:eastAsia="仿宋_GB2312" w:hAnsi="仿宋" w:hint="eastAsia"/>
          <w:sz w:val="32"/>
          <w:szCs w:val="32"/>
        </w:rPr>
        <w:t>、监督实施中药材生产质量管理规范、中药饮片炮制规范。依法实施重要品种保护制度。</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lastRenderedPageBreak/>
        <w:t>6</w:t>
      </w:r>
      <w:r>
        <w:rPr>
          <w:rFonts w:ascii="仿宋_GB2312" w:eastAsia="仿宋_GB2312" w:hAnsi="仿宋" w:hint="eastAsia"/>
          <w:sz w:val="32"/>
          <w:szCs w:val="32"/>
        </w:rPr>
        <w:t>、负责制定食品、药品、医疗器械、化妆品监督管理的稽查制度并组织实施，组织查处违法行为。监督实施问题产品召回和处置制度。</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7</w:t>
      </w:r>
      <w:r>
        <w:rPr>
          <w:rFonts w:ascii="仿宋_GB2312" w:eastAsia="仿宋_GB2312" w:hAnsi="仿宋" w:hint="eastAsia"/>
          <w:sz w:val="32"/>
          <w:szCs w:val="32"/>
        </w:rPr>
        <w:t>、负责品药品安全事故应急体系建设，组</w:t>
      </w:r>
      <w:r>
        <w:rPr>
          <w:rFonts w:ascii="仿宋_GB2312" w:eastAsia="仿宋_GB2312" w:hAnsi="仿宋" w:hint="eastAsia"/>
          <w:sz w:val="32"/>
          <w:szCs w:val="32"/>
        </w:rPr>
        <w:t>织、指导食品药品安全事故应急处置和调查处理工作，监督事故查处落实情况。指导、监督全县食品药品监督管理工作，规范行政执法行为，推动完善行政执法与刑事司法衔接机制。</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8</w:t>
      </w:r>
      <w:r>
        <w:rPr>
          <w:rFonts w:ascii="仿宋_GB2312" w:eastAsia="仿宋_GB2312" w:hAnsi="仿宋" w:hint="eastAsia"/>
          <w:sz w:val="32"/>
          <w:szCs w:val="32"/>
        </w:rPr>
        <w:t>、负责建立食品、药品、医疗器械、化妆品安全信息公布制度和重大信息直报制度，发布食品、药品安全信息。</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9</w:t>
      </w:r>
      <w:r>
        <w:rPr>
          <w:rFonts w:ascii="仿宋_GB2312" w:eastAsia="仿宋_GB2312" w:hAnsi="仿宋" w:hint="eastAsia"/>
          <w:sz w:val="32"/>
          <w:szCs w:val="32"/>
        </w:rPr>
        <w:t>、负责制定食品药品安全科技发展规划并组织实施，推动食品药品检验检测体系、电子监管追溯体系、诚信体系和信息化建设。</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10</w:t>
      </w:r>
      <w:r>
        <w:rPr>
          <w:rFonts w:ascii="仿宋_GB2312" w:eastAsia="仿宋_GB2312" w:hAnsi="仿宋" w:hint="eastAsia"/>
          <w:sz w:val="32"/>
          <w:szCs w:val="32"/>
        </w:rPr>
        <w:t>、负责开展食品药品安全宣传、教育培训、交流与合作，按规定组织实施执业药师资格认定制度、食品药品等相关专业技术职务评审和从业人员职</w:t>
      </w:r>
      <w:r>
        <w:rPr>
          <w:rFonts w:ascii="仿宋_GB2312" w:eastAsia="仿宋_GB2312" w:hAnsi="仿宋" w:hint="eastAsia"/>
          <w:sz w:val="32"/>
          <w:szCs w:val="32"/>
        </w:rPr>
        <w:t>业资格准入制度。</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11</w:t>
      </w:r>
      <w:r>
        <w:rPr>
          <w:rFonts w:ascii="仿宋_GB2312" w:eastAsia="仿宋_GB2312" w:hAnsi="仿宋" w:hint="eastAsia"/>
          <w:sz w:val="32"/>
          <w:szCs w:val="32"/>
        </w:rPr>
        <w:t>、负责医疗器械一类产品注册证的核发工作，对医疗用毒性药品、麻醉药品、精神药品、药品类易制毒化学品和药源性兴奋剂时行监督管理</w:t>
      </w:r>
      <w:r>
        <w:rPr>
          <w:rFonts w:ascii="仿宋_GB2312" w:eastAsia="仿宋_GB2312" w:hAnsi="仿宋" w:hint="eastAsia"/>
          <w:sz w:val="32"/>
          <w:szCs w:val="32"/>
        </w:rPr>
        <w:t>;</w:t>
      </w:r>
      <w:r>
        <w:rPr>
          <w:rFonts w:ascii="仿宋_GB2312" w:eastAsia="仿宋_GB2312" w:hAnsi="仿宋" w:hint="eastAsia"/>
          <w:sz w:val="32"/>
          <w:szCs w:val="32"/>
        </w:rPr>
        <w:t>监督实施国家药品、直接接触药品的包装材料和容器、医疗机构制剂的法定标准。</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12</w:t>
      </w:r>
      <w:r>
        <w:rPr>
          <w:rFonts w:ascii="仿宋_GB2312" w:eastAsia="仿宋_GB2312" w:hAnsi="仿宋" w:hint="eastAsia"/>
          <w:sz w:val="32"/>
          <w:szCs w:val="32"/>
        </w:rPr>
        <w:t>、负责对药品、医疗器械、保健食品的广告进行监测。</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lastRenderedPageBreak/>
        <w:t>13</w:t>
      </w:r>
      <w:r>
        <w:rPr>
          <w:rFonts w:ascii="仿宋_GB2312" w:eastAsia="仿宋_GB2312" w:hAnsi="仿宋" w:hint="eastAsia"/>
          <w:sz w:val="32"/>
          <w:szCs w:val="32"/>
        </w:rPr>
        <w:t>、承担县人民政府食品安全委员会的日常工作。负责食品安全监督管理综合协调，推动健全协调联动机制。督促检查县政府和县直有关部门履行食品药品安全监督管理职责，并负责考核评价。</w:t>
      </w:r>
    </w:p>
    <w:p w:rsidR="00550FEF" w:rsidRDefault="00094B62">
      <w:pPr>
        <w:ind w:firstLineChars="200" w:firstLine="640"/>
        <w:rPr>
          <w:rFonts w:ascii="仿宋_GB2312" w:eastAsia="仿宋_GB2312" w:hAnsi="仿宋"/>
          <w:sz w:val="32"/>
          <w:szCs w:val="32"/>
        </w:rPr>
      </w:pPr>
      <w:r>
        <w:rPr>
          <w:rFonts w:ascii="仿宋_GB2312" w:eastAsia="仿宋_GB2312" w:hAnsi="仿宋" w:hint="eastAsia"/>
          <w:sz w:val="32"/>
          <w:szCs w:val="32"/>
        </w:rPr>
        <w:t>14</w:t>
      </w:r>
      <w:r>
        <w:rPr>
          <w:rFonts w:ascii="仿宋_GB2312" w:eastAsia="仿宋_GB2312" w:hAnsi="仿宋" w:hint="eastAsia"/>
          <w:sz w:val="32"/>
          <w:szCs w:val="32"/>
        </w:rPr>
        <w:t>、承办县政府及县政府食品安全委员会交办的其他事项。</w:t>
      </w:r>
    </w:p>
    <w:p w:rsidR="00550FEF" w:rsidRDefault="00550FEF">
      <w:pPr>
        <w:autoSpaceDE w:val="0"/>
        <w:autoSpaceDN w:val="0"/>
        <w:adjustRightInd w:val="0"/>
        <w:spacing w:line="560" w:lineRule="exact"/>
        <w:jc w:val="left"/>
        <w:rPr>
          <w:rFonts w:ascii="仿宋_GB2312" w:eastAsiaTheme="minorEastAsia" w:hAnsiTheme="minorHAnsi" w:cs="ArialUnicodeMS"/>
          <w:kern w:val="0"/>
          <w:sz w:val="32"/>
          <w:szCs w:val="32"/>
          <w:highlight w:val="yellow"/>
        </w:rPr>
      </w:pPr>
    </w:p>
    <w:p w:rsidR="00550FEF" w:rsidRDefault="00094B62">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550FEF" w:rsidRDefault="00094B62">
      <w:pPr>
        <w:spacing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 xml:space="preserve">1 </w:t>
      </w:r>
      <w:r>
        <w:rPr>
          <w:rFonts w:ascii="仿宋_GB2312" w:eastAsia="仿宋_GB2312" w:hAnsiTheme="minorHAnsi" w:cs="ArialUnicodeMS" w:hint="eastAsia"/>
          <w:kern w:val="0"/>
          <w:sz w:val="32"/>
          <w:szCs w:val="32"/>
        </w:rPr>
        <w:t>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659"/>
        <w:gridCol w:w="2271"/>
        <w:gridCol w:w="2665"/>
      </w:tblGrid>
      <w:tr w:rsidR="00550FEF">
        <w:trPr>
          <w:trHeight w:val="811"/>
          <w:jc w:val="center"/>
        </w:trPr>
        <w:tc>
          <w:tcPr>
            <w:tcW w:w="985" w:type="dxa"/>
            <w:vAlign w:val="center"/>
          </w:tcPr>
          <w:p w:rsidR="00550FEF" w:rsidRDefault="00094B62">
            <w:pPr>
              <w:spacing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659" w:type="dxa"/>
            <w:vAlign w:val="center"/>
          </w:tcPr>
          <w:p w:rsidR="00550FEF" w:rsidRDefault="00094B62">
            <w:pPr>
              <w:spacing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271" w:type="dxa"/>
            <w:vAlign w:val="center"/>
          </w:tcPr>
          <w:p w:rsidR="00550FEF" w:rsidRDefault="00094B62">
            <w:pPr>
              <w:spacing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550FEF" w:rsidRDefault="00094B62">
            <w:pPr>
              <w:spacing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550FEF">
        <w:trPr>
          <w:trHeight w:val="596"/>
          <w:jc w:val="center"/>
        </w:trPr>
        <w:tc>
          <w:tcPr>
            <w:tcW w:w="985" w:type="dxa"/>
          </w:tcPr>
          <w:p w:rsidR="00550FEF" w:rsidRDefault="00094B62">
            <w:pPr>
              <w:spacing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659" w:type="dxa"/>
          </w:tcPr>
          <w:p w:rsidR="00550FEF" w:rsidRDefault="00094B62">
            <w:pPr>
              <w:spacing w:line="560" w:lineRule="exact"/>
              <w:rPr>
                <w:rFonts w:ascii="仿宋" w:eastAsia="仿宋" w:hAnsi="仿宋" w:cs="ArialUnicodeMS"/>
                <w:kern w:val="0"/>
                <w:sz w:val="28"/>
                <w:szCs w:val="28"/>
              </w:rPr>
            </w:pPr>
            <w:r>
              <w:rPr>
                <w:rFonts w:ascii="仿宋" w:eastAsia="仿宋" w:hAnsi="仿宋" w:cs="ArialUnicodeMS" w:hint="eastAsia"/>
                <w:kern w:val="0"/>
                <w:sz w:val="28"/>
                <w:szCs w:val="28"/>
              </w:rPr>
              <w:t>无极县食品药品监督管理局</w:t>
            </w:r>
          </w:p>
        </w:tc>
        <w:tc>
          <w:tcPr>
            <w:tcW w:w="2271" w:type="dxa"/>
          </w:tcPr>
          <w:p w:rsidR="00550FEF" w:rsidRDefault="00094B62">
            <w:pPr>
              <w:spacing w:line="560" w:lineRule="exact"/>
              <w:jc w:val="center"/>
              <w:rPr>
                <w:rFonts w:ascii="仿宋" w:eastAsia="仿宋" w:hAnsi="仿宋" w:cs="ArialUnicodeMS"/>
                <w:kern w:val="0"/>
                <w:sz w:val="32"/>
                <w:szCs w:val="32"/>
              </w:rPr>
            </w:pPr>
            <w:r>
              <w:rPr>
                <w:rFonts w:ascii="仿宋" w:eastAsia="仿宋" w:hAnsi="仿宋" w:cs="ArialUnicodeMS" w:hint="eastAsia"/>
                <w:kern w:val="0"/>
                <w:sz w:val="32"/>
                <w:szCs w:val="32"/>
              </w:rPr>
              <w:t>行政事业</w:t>
            </w:r>
          </w:p>
        </w:tc>
        <w:tc>
          <w:tcPr>
            <w:tcW w:w="2665" w:type="dxa"/>
          </w:tcPr>
          <w:p w:rsidR="00550FEF" w:rsidRDefault="00094B62">
            <w:pPr>
              <w:spacing w:line="560" w:lineRule="exact"/>
              <w:jc w:val="center"/>
              <w:rPr>
                <w:rFonts w:ascii="仿宋" w:eastAsia="仿宋" w:hAnsi="仿宋" w:cs="ArialUnicodeMS"/>
                <w:kern w:val="0"/>
                <w:sz w:val="32"/>
                <w:szCs w:val="32"/>
              </w:rPr>
            </w:pPr>
            <w:r>
              <w:rPr>
                <w:rFonts w:ascii="仿宋" w:eastAsia="仿宋" w:hAnsi="仿宋" w:cs="ArialUnicodeMS" w:hint="eastAsia"/>
                <w:kern w:val="0"/>
                <w:sz w:val="32"/>
                <w:szCs w:val="32"/>
              </w:rPr>
              <w:t>财政拨款</w:t>
            </w:r>
          </w:p>
        </w:tc>
      </w:tr>
      <w:tr w:rsidR="00550FEF">
        <w:trPr>
          <w:trHeight w:val="596"/>
          <w:jc w:val="center"/>
        </w:trPr>
        <w:tc>
          <w:tcPr>
            <w:tcW w:w="985" w:type="dxa"/>
          </w:tcPr>
          <w:p w:rsidR="00550FEF" w:rsidRDefault="00550FEF">
            <w:pPr>
              <w:spacing w:line="560" w:lineRule="exact"/>
              <w:jc w:val="center"/>
              <w:rPr>
                <w:rFonts w:ascii="仿宋_GB2312" w:eastAsia="仿宋_GB2312" w:hAnsiTheme="minorHAnsi" w:cs="ArialUnicodeMS"/>
                <w:kern w:val="0"/>
                <w:sz w:val="28"/>
                <w:szCs w:val="28"/>
              </w:rPr>
            </w:pPr>
          </w:p>
        </w:tc>
        <w:tc>
          <w:tcPr>
            <w:tcW w:w="3659" w:type="dxa"/>
          </w:tcPr>
          <w:p w:rsidR="00550FEF" w:rsidRDefault="00550FEF">
            <w:pPr>
              <w:spacing w:line="560" w:lineRule="exact"/>
              <w:rPr>
                <w:rFonts w:ascii="仿宋_GB2312" w:eastAsia="仿宋_GB2312" w:hAnsiTheme="minorHAnsi" w:cs="ArialUnicodeMS"/>
                <w:kern w:val="0"/>
                <w:sz w:val="28"/>
                <w:szCs w:val="28"/>
              </w:rPr>
            </w:pPr>
          </w:p>
        </w:tc>
        <w:tc>
          <w:tcPr>
            <w:tcW w:w="2271" w:type="dxa"/>
          </w:tcPr>
          <w:p w:rsidR="00550FEF" w:rsidRDefault="00550FEF">
            <w:pPr>
              <w:spacing w:line="560" w:lineRule="exact"/>
              <w:jc w:val="center"/>
              <w:rPr>
                <w:rFonts w:ascii="仿宋_GB2312" w:eastAsia="仿宋_GB2312" w:hAnsiTheme="minorHAnsi" w:cs="ArialUnicodeMS"/>
                <w:kern w:val="0"/>
                <w:sz w:val="28"/>
                <w:szCs w:val="28"/>
              </w:rPr>
            </w:pPr>
          </w:p>
        </w:tc>
        <w:tc>
          <w:tcPr>
            <w:tcW w:w="2665" w:type="dxa"/>
          </w:tcPr>
          <w:p w:rsidR="00550FEF" w:rsidRDefault="00550FEF">
            <w:pPr>
              <w:spacing w:line="560" w:lineRule="exact"/>
              <w:jc w:val="center"/>
              <w:rPr>
                <w:rFonts w:ascii="仿宋_GB2312" w:eastAsia="仿宋_GB2312" w:hAnsiTheme="minorHAnsi" w:cs="ArialUnicodeMS"/>
                <w:kern w:val="0"/>
                <w:sz w:val="28"/>
                <w:szCs w:val="28"/>
              </w:rPr>
            </w:pPr>
          </w:p>
        </w:tc>
      </w:tr>
      <w:tr w:rsidR="00550FEF">
        <w:trPr>
          <w:trHeight w:val="596"/>
          <w:jc w:val="center"/>
        </w:trPr>
        <w:tc>
          <w:tcPr>
            <w:tcW w:w="985" w:type="dxa"/>
          </w:tcPr>
          <w:p w:rsidR="00550FEF" w:rsidRDefault="00550FEF">
            <w:pPr>
              <w:spacing w:line="560" w:lineRule="exact"/>
              <w:jc w:val="center"/>
              <w:rPr>
                <w:rFonts w:ascii="仿宋_GB2312" w:eastAsia="仿宋_GB2312" w:hAnsiTheme="minorHAnsi" w:cs="ArialUnicodeMS"/>
                <w:kern w:val="0"/>
                <w:sz w:val="28"/>
                <w:szCs w:val="28"/>
              </w:rPr>
            </w:pPr>
          </w:p>
        </w:tc>
        <w:tc>
          <w:tcPr>
            <w:tcW w:w="3659" w:type="dxa"/>
          </w:tcPr>
          <w:p w:rsidR="00550FEF" w:rsidRDefault="00550FEF">
            <w:pPr>
              <w:spacing w:line="560" w:lineRule="exact"/>
              <w:rPr>
                <w:rFonts w:ascii="仿宋_GB2312" w:eastAsia="仿宋_GB2312" w:hAnsiTheme="minorHAnsi" w:cs="ArialUnicodeMS"/>
                <w:kern w:val="0"/>
                <w:sz w:val="28"/>
                <w:szCs w:val="28"/>
              </w:rPr>
            </w:pPr>
          </w:p>
        </w:tc>
        <w:tc>
          <w:tcPr>
            <w:tcW w:w="2271" w:type="dxa"/>
          </w:tcPr>
          <w:p w:rsidR="00550FEF" w:rsidRDefault="00550FEF">
            <w:pPr>
              <w:spacing w:line="560" w:lineRule="exact"/>
              <w:jc w:val="center"/>
              <w:rPr>
                <w:rFonts w:ascii="仿宋_GB2312" w:eastAsia="仿宋_GB2312" w:hAnsiTheme="minorHAnsi" w:cs="ArialUnicodeMS"/>
                <w:kern w:val="0"/>
                <w:sz w:val="28"/>
                <w:szCs w:val="28"/>
              </w:rPr>
            </w:pPr>
          </w:p>
        </w:tc>
        <w:tc>
          <w:tcPr>
            <w:tcW w:w="2665" w:type="dxa"/>
          </w:tcPr>
          <w:p w:rsidR="00550FEF" w:rsidRDefault="00550FEF">
            <w:pPr>
              <w:spacing w:line="560" w:lineRule="exact"/>
              <w:jc w:val="center"/>
              <w:rPr>
                <w:rFonts w:ascii="仿宋_GB2312" w:eastAsia="仿宋_GB2312" w:hAnsiTheme="minorHAnsi" w:cs="ArialUnicodeMS"/>
                <w:kern w:val="0"/>
                <w:sz w:val="28"/>
                <w:szCs w:val="28"/>
              </w:rPr>
            </w:pPr>
          </w:p>
        </w:tc>
      </w:tr>
      <w:tr w:rsidR="00550FEF">
        <w:trPr>
          <w:trHeight w:val="606"/>
          <w:jc w:val="center"/>
        </w:trPr>
        <w:tc>
          <w:tcPr>
            <w:tcW w:w="985" w:type="dxa"/>
            <w:tcBorders>
              <w:bottom w:val="single" w:sz="4" w:space="0" w:color="auto"/>
            </w:tcBorders>
          </w:tcPr>
          <w:p w:rsidR="00550FEF" w:rsidRDefault="00550FEF">
            <w:pPr>
              <w:spacing w:line="560" w:lineRule="exact"/>
              <w:rPr>
                <w:rFonts w:ascii="仿宋_GB2312" w:eastAsia="仿宋_GB2312" w:hAnsiTheme="minorHAnsi" w:cs="ArialUnicodeMS"/>
                <w:kern w:val="0"/>
                <w:sz w:val="28"/>
                <w:szCs w:val="28"/>
              </w:rPr>
            </w:pPr>
          </w:p>
        </w:tc>
        <w:tc>
          <w:tcPr>
            <w:tcW w:w="3659" w:type="dxa"/>
            <w:tcBorders>
              <w:bottom w:val="single" w:sz="4" w:space="0" w:color="auto"/>
            </w:tcBorders>
          </w:tcPr>
          <w:p w:rsidR="00550FEF" w:rsidRDefault="00550FEF">
            <w:pPr>
              <w:spacing w:line="560" w:lineRule="exact"/>
              <w:rPr>
                <w:rFonts w:ascii="仿宋_GB2312" w:eastAsia="仿宋_GB2312" w:hAnsiTheme="minorHAnsi" w:cs="ArialUnicodeMS"/>
                <w:kern w:val="0"/>
                <w:sz w:val="28"/>
                <w:szCs w:val="28"/>
              </w:rPr>
            </w:pPr>
          </w:p>
        </w:tc>
        <w:tc>
          <w:tcPr>
            <w:tcW w:w="2271" w:type="dxa"/>
            <w:tcBorders>
              <w:bottom w:val="single" w:sz="4" w:space="0" w:color="auto"/>
            </w:tcBorders>
          </w:tcPr>
          <w:p w:rsidR="00550FEF" w:rsidRDefault="00550FEF">
            <w:pPr>
              <w:spacing w:line="560" w:lineRule="exact"/>
              <w:jc w:val="center"/>
              <w:rPr>
                <w:rFonts w:ascii="仿宋_GB2312" w:eastAsia="仿宋_GB2312" w:hAnsiTheme="minorHAnsi" w:cs="ArialUnicodeMS"/>
                <w:kern w:val="0"/>
                <w:sz w:val="28"/>
                <w:szCs w:val="28"/>
              </w:rPr>
            </w:pPr>
          </w:p>
        </w:tc>
        <w:tc>
          <w:tcPr>
            <w:tcW w:w="2665" w:type="dxa"/>
            <w:tcBorders>
              <w:bottom w:val="single" w:sz="4" w:space="0" w:color="auto"/>
            </w:tcBorders>
          </w:tcPr>
          <w:p w:rsidR="00550FEF" w:rsidRDefault="00550FEF">
            <w:pPr>
              <w:spacing w:line="560" w:lineRule="exact"/>
              <w:jc w:val="center"/>
              <w:rPr>
                <w:rFonts w:ascii="仿宋_GB2312" w:eastAsia="仿宋_GB2312" w:hAnsiTheme="minorHAnsi" w:cs="ArialUnicodeMS"/>
                <w:kern w:val="0"/>
                <w:sz w:val="28"/>
                <w:szCs w:val="28"/>
              </w:rPr>
            </w:pPr>
          </w:p>
        </w:tc>
      </w:tr>
      <w:tr w:rsidR="00550FEF">
        <w:trPr>
          <w:trHeight w:val="606"/>
          <w:jc w:val="center"/>
        </w:trPr>
        <w:tc>
          <w:tcPr>
            <w:tcW w:w="9580" w:type="dxa"/>
            <w:gridSpan w:val="4"/>
            <w:tcBorders>
              <w:top w:val="single" w:sz="4" w:space="0" w:color="auto"/>
              <w:left w:val="nil"/>
              <w:bottom w:val="nil"/>
              <w:right w:val="nil"/>
            </w:tcBorders>
          </w:tcPr>
          <w:p w:rsidR="00550FEF" w:rsidRDefault="00550FEF">
            <w:pPr>
              <w:spacing w:line="560" w:lineRule="exact"/>
              <w:ind w:firstLineChars="200" w:firstLine="560"/>
              <w:jc w:val="left"/>
              <w:rPr>
                <w:rFonts w:ascii="仿宋_GB2312" w:eastAsia="仿宋_GB2312" w:hAnsiTheme="minorHAnsi" w:cs="ArialUnicodeMS"/>
                <w:kern w:val="0"/>
                <w:sz w:val="28"/>
                <w:szCs w:val="28"/>
              </w:rPr>
            </w:pPr>
          </w:p>
        </w:tc>
      </w:tr>
    </w:tbl>
    <w:p w:rsidR="00550FEF" w:rsidRDefault="00550FEF">
      <w:pPr>
        <w:spacing w:line="560" w:lineRule="exact"/>
        <w:rPr>
          <w:rFonts w:ascii="仿宋_GB2312" w:eastAsia="仿宋_GB2312" w:hAnsiTheme="minorHAnsi" w:cs="ArialUnicodeMS"/>
          <w:kern w:val="0"/>
          <w:sz w:val="32"/>
          <w:szCs w:val="32"/>
        </w:rPr>
      </w:pPr>
    </w:p>
    <w:p w:rsidR="00550FEF" w:rsidRDefault="00550FEF">
      <w:pPr>
        <w:widowControl/>
        <w:spacing w:line="560" w:lineRule="exact"/>
        <w:jc w:val="center"/>
        <w:rPr>
          <w:rFonts w:ascii="黑体" w:eastAsia="黑体" w:hAnsiTheme="minorHAnsi" w:cs="MS-UIGothic,Bold"/>
          <w:bCs/>
          <w:kern w:val="0"/>
          <w:sz w:val="52"/>
          <w:szCs w:val="52"/>
        </w:rPr>
      </w:pPr>
    </w:p>
    <w:p w:rsidR="00550FEF" w:rsidRDefault="00550FEF">
      <w:pPr>
        <w:widowControl/>
        <w:spacing w:line="560" w:lineRule="exact"/>
        <w:jc w:val="center"/>
        <w:rPr>
          <w:rFonts w:ascii="黑体" w:eastAsia="黑体" w:hAnsiTheme="minorHAnsi" w:cs="MS-UIGothic,Bold"/>
          <w:bCs/>
          <w:kern w:val="0"/>
          <w:sz w:val="52"/>
          <w:szCs w:val="52"/>
        </w:rPr>
      </w:pPr>
    </w:p>
    <w:p w:rsidR="00550FEF" w:rsidRDefault="00550FEF">
      <w:pPr>
        <w:widowControl/>
        <w:spacing w:line="560" w:lineRule="exact"/>
        <w:jc w:val="center"/>
        <w:rPr>
          <w:rFonts w:ascii="黑体" w:eastAsia="黑体" w:hAnsiTheme="minorHAnsi" w:cs="MS-UIGothic,Bold"/>
          <w:bCs/>
          <w:kern w:val="0"/>
          <w:sz w:val="52"/>
          <w:szCs w:val="52"/>
        </w:rPr>
        <w:sectPr w:rsidR="00550FEF">
          <w:pgSz w:w="11906" w:h="16838"/>
          <w:pgMar w:top="2098" w:right="1474" w:bottom="1984" w:left="1588" w:header="851" w:footer="992" w:gutter="0"/>
          <w:cols w:space="0"/>
          <w:docGrid w:type="lines" w:linePitch="312"/>
        </w:sectPr>
      </w:pPr>
    </w:p>
    <w:p w:rsidR="00550FEF" w:rsidRDefault="00094B62">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a:stretch>
                      <a:fillRect/>
                    </a:stretch>
                  </pic:blipFill>
                  <pic:spPr>
                    <a:xfrm>
                      <a:off x="0" y="0"/>
                      <a:ext cx="7571105" cy="10680065"/>
                    </a:xfrm>
                    <a:prstGeom prst="rect">
                      <a:avLst/>
                    </a:prstGeom>
                  </pic:spPr>
                </pic:pic>
              </a:graphicData>
            </a:graphic>
          </wp:anchor>
        </w:drawing>
      </w:r>
    </w:p>
    <w:p w:rsidR="00550FEF" w:rsidRDefault="00550FEF">
      <w:pPr>
        <w:widowControl/>
        <w:spacing w:line="560" w:lineRule="exact"/>
        <w:jc w:val="center"/>
        <w:rPr>
          <w:rFonts w:ascii="黑体" w:eastAsia="黑体" w:hAnsiTheme="minorHAnsi" w:cs="MS-UIGothic,Bold"/>
          <w:bCs/>
          <w:kern w:val="0"/>
          <w:sz w:val="52"/>
          <w:szCs w:val="52"/>
        </w:rPr>
      </w:pPr>
    </w:p>
    <w:p w:rsidR="00550FEF" w:rsidRDefault="00550FEF">
      <w:pPr>
        <w:rPr>
          <w:rFonts w:ascii="宋体" w:hAnsi="宋体" w:cs="ArialUnicodeMS"/>
          <w:color w:val="000000"/>
          <w:kern w:val="0"/>
        </w:rPr>
      </w:pPr>
    </w:p>
    <w:p w:rsidR="00550FEF" w:rsidRDefault="00550FEF">
      <w:pPr>
        <w:rPr>
          <w:rFonts w:ascii="宋体" w:hAnsi="宋体" w:cs="ArialUnicodeMS"/>
          <w:color w:val="000000"/>
          <w:kern w:val="0"/>
        </w:rPr>
        <w:sectPr w:rsidR="00550FEF">
          <w:pgSz w:w="11906" w:h="16838"/>
          <w:pgMar w:top="2098" w:right="1474" w:bottom="1984" w:left="1588" w:header="851" w:footer="992" w:gutter="0"/>
          <w:cols w:space="0"/>
          <w:docGrid w:type="lines" w:linePitch="312"/>
        </w:sectPr>
      </w:pPr>
      <w:r w:rsidRPr="00550FEF">
        <w:rPr>
          <w:sz w:val="72"/>
        </w:rPr>
        <w:pict>
          <v:shape id="_x0000_s1029" type="#_x0000_t202" style="position:absolute;left:0;text-align:left;margin-left:-74.2pt;margin-top:154.8pt;width:596.2pt;height:159.1pt;z-index:251662336" o:gfxdata="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K7/5k94AAAANAQAADwAAAAAAAAAB&#10;ACAAAAAiAAAAZHJzL2Rvd25yZXYueG1sUEsBAhQAFAAAAAgAh07iQEJ+BAJDAgAAdwQAAA4AAAAA&#10;AAAAAQAgAAAALQEAAGRycy9lMm9Eb2MueG1sUEsFBgAAAAAGAAYAWQEAAOIFAAAAAA==&#10;" filled="f" stroked="f" strokeweight=".5pt">
            <v:textbox>
              <w:txbxContent>
                <w:p w:rsidR="00550FEF" w:rsidRDefault="00094B6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550FEF" w:rsidRDefault="00094B62">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tbl>
      <w:tblPr>
        <w:tblW w:w="9300" w:type="dxa"/>
        <w:jc w:val="center"/>
        <w:tblLayout w:type="fixed"/>
        <w:tblCellMar>
          <w:left w:w="0" w:type="dxa"/>
          <w:right w:w="0" w:type="dxa"/>
        </w:tblCellMar>
        <w:tblLook w:val="04A0"/>
      </w:tblPr>
      <w:tblGrid>
        <w:gridCol w:w="2476"/>
        <w:gridCol w:w="791"/>
        <w:gridCol w:w="789"/>
        <w:gridCol w:w="3247"/>
        <w:gridCol w:w="567"/>
        <w:gridCol w:w="1430"/>
      </w:tblGrid>
      <w:tr w:rsidR="00550FEF">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550FEF">
        <w:trPr>
          <w:trHeight w:val="321"/>
          <w:jc w:val="center"/>
        </w:trPr>
        <w:tc>
          <w:tcPr>
            <w:tcW w:w="2476"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Arial" w:hAnsi="Arial" w:cs="Arial"/>
                <w:color w:val="000000"/>
                <w:sz w:val="20"/>
                <w:szCs w:val="20"/>
              </w:rPr>
            </w:pPr>
          </w:p>
        </w:tc>
        <w:tc>
          <w:tcPr>
            <w:tcW w:w="791"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Arial" w:hAnsi="Arial" w:cs="Arial"/>
                <w:color w:val="000000"/>
                <w:sz w:val="20"/>
                <w:szCs w:val="20"/>
              </w:rPr>
            </w:pPr>
          </w:p>
        </w:tc>
        <w:tc>
          <w:tcPr>
            <w:tcW w:w="78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Arial" w:hAnsi="Arial" w:cs="Arial"/>
                <w:color w:val="000000"/>
                <w:sz w:val="20"/>
                <w:szCs w:val="20"/>
              </w:rPr>
            </w:pPr>
          </w:p>
        </w:tc>
        <w:tc>
          <w:tcPr>
            <w:tcW w:w="324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01</w:t>
            </w:r>
            <w:r>
              <w:rPr>
                <w:rFonts w:ascii="宋体" w:hAnsi="宋体" w:cs="宋体" w:hint="eastAsia"/>
                <w:color w:val="000000"/>
                <w:kern w:val="0"/>
                <w:sz w:val="20"/>
                <w:szCs w:val="20"/>
              </w:rPr>
              <w:t>表</w:t>
            </w:r>
          </w:p>
        </w:tc>
      </w:tr>
      <w:tr w:rsidR="00550FEF">
        <w:trPr>
          <w:trHeight w:val="418"/>
          <w:jc w:val="center"/>
        </w:trPr>
        <w:tc>
          <w:tcPr>
            <w:tcW w:w="2476" w:type="dxa"/>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791"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宋体" w:hAnsi="宋体" w:cs="宋体"/>
                <w:color w:val="000000"/>
                <w:sz w:val="20"/>
                <w:szCs w:val="20"/>
              </w:rPr>
            </w:pPr>
          </w:p>
        </w:tc>
        <w:tc>
          <w:tcPr>
            <w:tcW w:w="78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宋体" w:hAnsi="宋体" w:cs="宋体"/>
                <w:color w:val="000000"/>
                <w:sz w:val="20"/>
                <w:szCs w:val="20"/>
              </w:rPr>
            </w:pPr>
          </w:p>
        </w:tc>
        <w:tc>
          <w:tcPr>
            <w:tcW w:w="324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550FEF">
        <w:trPr>
          <w:trHeight w:val="340"/>
          <w:jc w:val="center"/>
        </w:trPr>
        <w:tc>
          <w:tcPr>
            <w:tcW w:w="4056"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5244"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exact"/>
              <w:jc w:val="center"/>
              <w:rPr>
                <w:rFonts w:ascii="宋体" w:hAnsi="宋体" w:cs="宋体"/>
                <w:color w:val="000000"/>
                <w:sz w:val="20"/>
                <w:szCs w:val="20"/>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0"/>
                <w:szCs w:val="20"/>
              </w:rPr>
            </w:pPr>
            <w:r>
              <w:rPr>
                <w:rFonts w:ascii="宋体" w:hAnsi="宋体" w:cs="宋体" w:hint="eastAsia"/>
                <w:color w:val="000000"/>
                <w:sz w:val="20"/>
                <w:szCs w:val="20"/>
              </w:rPr>
              <w:t>482.51</w:t>
            </w: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wordWrap w:val="0"/>
              <w:spacing w:line="200" w:lineRule="exact"/>
              <w:ind w:right="800"/>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0"/>
                <w:szCs w:val="20"/>
              </w:rPr>
            </w:pPr>
            <w:r>
              <w:rPr>
                <w:rFonts w:ascii="宋体" w:hAnsi="宋体" w:cs="宋体" w:hint="eastAsia"/>
                <w:color w:val="000000"/>
                <w:sz w:val="20"/>
                <w:szCs w:val="20"/>
              </w:rPr>
              <w:t>10.15</w:t>
            </w: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0"/>
                <w:szCs w:val="20"/>
              </w:rPr>
            </w:pPr>
            <w:r>
              <w:rPr>
                <w:rFonts w:ascii="宋体" w:hAnsi="宋体" w:cs="宋体" w:hint="eastAsia"/>
                <w:color w:val="000000"/>
                <w:sz w:val="20"/>
                <w:szCs w:val="20"/>
              </w:rPr>
              <w:t>7.46</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0"/>
                <w:szCs w:val="20"/>
              </w:rPr>
            </w:pPr>
            <w:r>
              <w:rPr>
                <w:rFonts w:ascii="宋体" w:hAnsi="宋体" w:cs="宋体" w:hint="eastAsia"/>
                <w:color w:val="000000"/>
                <w:sz w:val="20"/>
                <w:szCs w:val="20"/>
              </w:rPr>
              <w:t>483.07</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left"/>
              <w:rPr>
                <w:rFonts w:ascii="宋体" w:hAnsi="宋体" w:cs="宋体"/>
                <w:color w:val="000000"/>
                <w:sz w:val="20"/>
                <w:szCs w:val="20"/>
              </w:rPr>
            </w:pP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ind w:right="180"/>
              <w:jc w:val="right"/>
              <w:textAlignment w:val="center"/>
              <w:rPr>
                <w:rFonts w:ascii="宋体" w:hAnsi="宋体" w:cs="宋体"/>
                <w:color w:val="000000"/>
                <w:sz w:val="18"/>
                <w:szCs w:val="18"/>
              </w:rPr>
            </w:pPr>
            <w:r>
              <w:rPr>
                <w:rFonts w:ascii="宋体" w:hAnsi="宋体" w:cs="宋体" w:hint="eastAsia"/>
                <w:color w:val="000000"/>
                <w:sz w:val="18"/>
                <w:szCs w:val="18"/>
              </w:rPr>
              <w:t>492.66</w:t>
            </w: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0"/>
                <w:szCs w:val="20"/>
              </w:rPr>
            </w:pPr>
            <w:r>
              <w:rPr>
                <w:rFonts w:ascii="宋体" w:hAnsi="宋体" w:cs="宋体" w:hint="eastAsia"/>
                <w:color w:val="000000"/>
                <w:sz w:val="20"/>
                <w:szCs w:val="20"/>
              </w:rPr>
              <w:t>490.53</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18"/>
                <w:szCs w:val="18"/>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20"/>
                <w:szCs w:val="20"/>
              </w:rPr>
            </w:pP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00" w:lineRule="exact"/>
              <w:jc w:val="right"/>
              <w:rPr>
                <w:rFonts w:ascii="宋体" w:hAnsi="宋体" w:cs="宋体"/>
                <w:color w:val="000000"/>
                <w:sz w:val="18"/>
                <w:szCs w:val="18"/>
              </w:rPr>
            </w:pP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right"/>
              <w:rPr>
                <w:rFonts w:ascii="宋体" w:hAnsi="宋体" w:cs="宋体"/>
                <w:color w:val="000000"/>
                <w:sz w:val="20"/>
                <w:szCs w:val="20"/>
              </w:rPr>
            </w:pPr>
            <w:r>
              <w:rPr>
                <w:rFonts w:ascii="宋体" w:hAnsi="宋体" w:cs="宋体" w:hint="eastAsia"/>
                <w:color w:val="000000"/>
                <w:sz w:val="20"/>
                <w:szCs w:val="20"/>
              </w:rPr>
              <w:t>2.13</w:t>
            </w:r>
          </w:p>
        </w:tc>
      </w:tr>
      <w:tr w:rsidR="00550FEF">
        <w:trPr>
          <w:trHeight w:val="340"/>
          <w:jc w:val="center"/>
        </w:trPr>
        <w:tc>
          <w:tcPr>
            <w:tcW w:w="24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7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18"/>
                <w:szCs w:val="18"/>
              </w:rPr>
            </w:pPr>
            <w:r>
              <w:rPr>
                <w:rFonts w:ascii="宋体" w:hAnsi="宋体" w:cs="宋体" w:hint="eastAsia"/>
                <w:color w:val="000000"/>
                <w:sz w:val="18"/>
                <w:szCs w:val="18"/>
              </w:rPr>
              <w:t>492.66</w:t>
            </w:r>
          </w:p>
        </w:tc>
        <w:tc>
          <w:tcPr>
            <w:tcW w:w="324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00" w:lineRule="exact"/>
              <w:jc w:val="right"/>
              <w:rPr>
                <w:rFonts w:ascii="宋体" w:hAnsi="宋体" w:cs="宋体"/>
                <w:color w:val="000000"/>
                <w:sz w:val="20"/>
                <w:szCs w:val="20"/>
              </w:rPr>
            </w:pPr>
            <w:r>
              <w:rPr>
                <w:rFonts w:ascii="宋体" w:hAnsi="宋体" w:cs="宋体" w:hint="eastAsia"/>
                <w:color w:val="000000"/>
                <w:sz w:val="20"/>
                <w:szCs w:val="20"/>
              </w:rPr>
              <w:t>492.66</w:t>
            </w:r>
          </w:p>
        </w:tc>
      </w:tr>
      <w:tr w:rsidR="00550FEF">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900" w:type="dxa"/>
        <w:jc w:val="center"/>
        <w:tblLayout w:type="fixed"/>
        <w:tblCellMar>
          <w:left w:w="0" w:type="dxa"/>
          <w:right w:w="0" w:type="dxa"/>
        </w:tblCellMar>
        <w:tblLook w:val="04A0"/>
      </w:tblPr>
      <w:tblGrid>
        <w:gridCol w:w="305"/>
        <w:gridCol w:w="196"/>
        <w:gridCol w:w="441"/>
        <w:gridCol w:w="33"/>
        <w:gridCol w:w="1170"/>
        <w:gridCol w:w="33"/>
        <w:gridCol w:w="453"/>
        <w:gridCol w:w="33"/>
        <w:gridCol w:w="205"/>
        <w:gridCol w:w="32"/>
        <w:gridCol w:w="83"/>
        <w:gridCol w:w="627"/>
        <w:gridCol w:w="33"/>
        <w:gridCol w:w="179"/>
        <w:gridCol w:w="533"/>
        <w:gridCol w:w="33"/>
        <w:gridCol w:w="275"/>
        <w:gridCol w:w="436"/>
        <w:gridCol w:w="32"/>
        <w:gridCol w:w="371"/>
        <w:gridCol w:w="339"/>
        <w:gridCol w:w="33"/>
        <w:gridCol w:w="469"/>
        <w:gridCol w:w="839"/>
        <w:gridCol w:w="846"/>
        <w:gridCol w:w="31"/>
        <w:gridCol w:w="808"/>
        <w:gridCol w:w="32"/>
      </w:tblGrid>
      <w:tr w:rsidR="00550FEF">
        <w:trPr>
          <w:gridAfter w:val="1"/>
          <w:wAfter w:w="32" w:type="dxa"/>
          <w:trHeight w:val="796"/>
          <w:jc w:val="center"/>
        </w:trPr>
        <w:tc>
          <w:tcPr>
            <w:tcW w:w="8029" w:type="dxa"/>
            <w:gridSpan w:val="25"/>
            <w:tcBorders>
              <w:top w:val="nil"/>
              <w:left w:val="nil"/>
              <w:bottom w:val="nil"/>
              <w:right w:val="nil"/>
            </w:tcBorders>
            <w:shd w:val="clear" w:color="auto" w:fill="auto"/>
            <w:tcMar>
              <w:top w:w="15" w:type="dxa"/>
              <w:left w:w="15" w:type="dxa"/>
              <w:right w:w="15" w:type="dxa"/>
            </w:tcMar>
            <w:vAlign w:val="bottom"/>
          </w:tcPr>
          <w:p w:rsidR="00550FEF" w:rsidRDefault="00094B62">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c>
          <w:tcPr>
            <w:tcW w:w="839" w:type="dxa"/>
            <w:gridSpan w:val="2"/>
            <w:tcBorders>
              <w:top w:val="nil"/>
              <w:left w:val="nil"/>
              <w:bottom w:val="nil"/>
              <w:right w:val="nil"/>
            </w:tcBorders>
            <w:shd w:val="clear" w:color="auto" w:fill="auto"/>
            <w:tcMar>
              <w:top w:w="15" w:type="dxa"/>
              <w:left w:w="15" w:type="dxa"/>
              <w:right w:w="15" w:type="dxa"/>
            </w:tcMar>
            <w:vAlign w:val="bottom"/>
          </w:tcPr>
          <w:p w:rsidR="00550FEF" w:rsidRDefault="00550FEF">
            <w:pPr>
              <w:widowControl/>
              <w:jc w:val="center"/>
              <w:textAlignment w:val="bottom"/>
              <w:rPr>
                <w:rFonts w:ascii="黑体" w:eastAsia="黑体" w:hAnsi="宋体" w:cs="黑体"/>
                <w:color w:val="000000"/>
                <w:kern w:val="0"/>
                <w:sz w:val="40"/>
                <w:szCs w:val="40"/>
              </w:rPr>
            </w:pPr>
          </w:p>
        </w:tc>
      </w:tr>
      <w:tr w:rsidR="00550FEF">
        <w:trPr>
          <w:trHeight w:val="384"/>
          <w:jc w:val="center"/>
        </w:trPr>
        <w:tc>
          <w:tcPr>
            <w:tcW w:w="305"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96"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474"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203"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486"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237"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3"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5"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3"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3"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2185" w:type="dxa"/>
            <w:gridSpan w:val="4"/>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02</w:t>
            </w:r>
            <w:r>
              <w:rPr>
                <w:rFonts w:ascii="宋体" w:hAnsi="宋体" w:cs="宋体" w:hint="eastAsia"/>
                <w:color w:val="000000"/>
                <w:kern w:val="0"/>
                <w:szCs w:val="21"/>
              </w:rPr>
              <w:t>表</w:t>
            </w:r>
          </w:p>
        </w:tc>
        <w:tc>
          <w:tcPr>
            <w:tcW w:w="840"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jc w:val="right"/>
              <w:textAlignment w:val="center"/>
              <w:rPr>
                <w:rFonts w:ascii="宋体" w:hAnsi="宋体" w:cs="宋体"/>
                <w:color w:val="000000"/>
                <w:kern w:val="0"/>
                <w:szCs w:val="21"/>
              </w:rPr>
            </w:pPr>
          </w:p>
        </w:tc>
      </w:tr>
      <w:tr w:rsidR="00550FEF">
        <w:trPr>
          <w:gridAfter w:val="1"/>
          <w:wAfter w:w="32" w:type="dxa"/>
          <w:trHeight w:val="384"/>
          <w:jc w:val="center"/>
        </w:trPr>
        <w:tc>
          <w:tcPr>
            <w:tcW w:w="2631" w:type="dxa"/>
            <w:gridSpan w:val="7"/>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238"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2"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5"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4"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2" w:type="dxa"/>
            <w:gridSpan w:val="3"/>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2187" w:type="dxa"/>
            <w:gridSpan w:val="4"/>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c>
          <w:tcPr>
            <w:tcW w:w="839"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jc w:val="right"/>
              <w:textAlignment w:val="center"/>
              <w:rPr>
                <w:rFonts w:ascii="宋体" w:hAnsi="宋体" w:cs="宋体"/>
                <w:color w:val="000000"/>
                <w:kern w:val="0"/>
                <w:szCs w:val="21"/>
              </w:rPr>
            </w:pPr>
          </w:p>
        </w:tc>
      </w:tr>
      <w:tr w:rsidR="00550FEF">
        <w:trPr>
          <w:gridAfter w:val="1"/>
          <w:wAfter w:w="32" w:type="dxa"/>
          <w:trHeight w:val="660"/>
          <w:jc w:val="center"/>
        </w:trPr>
        <w:tc>
          <w:tcPr>
            <w:tcW w:w="2145" w:type="dxa"/>
            <w:gridSpan w:val="5"/>
            <w:tcBorders>
              <w:top w:val="single" w:sz="4" w:space="0" w:color="000000"/>
              <w:left w:val="single" w:sz="4" w:space="0" w:color="000000"/>
              <w:bottom w:val="single" w:sz="4" w:space="0" w:color="000000"/>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839" w:type="dxa"/>
            <w:gridSpan w:val="6"/>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839" w:type="dxa"/>
            <w:gridSpan w:val="3"/>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841" w:type="dxa"/>
            <w:gridSpan w:val="3"/>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839" w:type="dxa"/>
            <w:gridSpan w:val="3"/>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841" w:type="dxa"/>
            <w:gridSpan w:val="3"/>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839"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846"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c>
          <w:tcPr>
            <w:tcW w:w="839" w:type="dxa"/>
            <w:gridSpan w:val="2"/>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r>
      <w:tr w:rsidR="00550FEF">
        <w:trPr>
          <w:gridAfter w:val="1"/>
          <w:wAfter w:w="32" w:type="dxa"/>
          <w:trHeight w:val="661"/>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1203" w:type="dxa"/>
            <w:gridSpan w:val="2"/>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839" w:type="dxa"/>
            <w:gridSpan w:val="6"/>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 w:val="20"/>
                <w:szCs w:val="20"/>
              </w:rPr>
            </w:pPr>
          </w:p>
        </w:tc>
        <w:tc>
          <w:tcPr>
            <w:tcW w:w="839"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c>
          <w:tcPr>
            <w:tcW w:w="841"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c>
          <w:tcPr>
            <w:tcW w:w="839"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c>
          <w:tcPr>
            <w:tcW w:w="841"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c>
          <w:tcPr>
            <w:tcW w:w="839" w:type="dxa"/>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c>
          <w:tcPr>
            <w:tcW w:w="846" w:type="dxa"/>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c>
          <w:tcPr>
            <w:tcW w:w="839" w:type="dxa"/>
            <w:gridSpan w:val="2"/>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20"/>
                <w:szCs w:val="20"/>
              </w:rPr>
            </w:pPr>
          </w:p>
        </w:tc>
      </w:tr>
      <w:tr w:rsidR="00550FEF">
        <w:trPr>
          <w:gridAfter w:val="1"/>
          <w:wAfter w:w="32" w:type="dxa"/>
          <w:trHeight w:val="431"/>
          <w:jc w:val="center"/>
        </w:trPr>
        <w:tc>
          <w:tcPr>
            <w:tcW w:w="2145"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839"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3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3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4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39"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textAlignment w:val="center"/>
              <w:rPr>
                <w:rFonts w:ascii="宋体" w:hAnsi="宋体" w:cs="宋体"/>
                <w:color w:val="000000"/>
                <w:kern w:val="0"/>
                <w:sz w:val="18"/>
                <w:szCs w:val="18"/>
              </w:rPr>
            </w:pPr>
          </w:p>
        </w:tc>
      </w:tr>
      <w:tr w:rsidR="00550FEF">
        <w:trPr>
          <w:gridAfter w:val="1"/>
          <w:wAfter w:w="32" w:type="dxa"/>
          <w:trHeight w:val="354"/>
          <w:jc w:val="center"/>
        </w:trPr>
        <w:tc>
          <w:tcPr>
            <w:tcW w:w="2145"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3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 w:val="18"/>
                <w:szCs w:val="18"/>
              </w:rPr>
            </w:pPr>
            <w:r>
              <w:rPr>
                <w:rFonts w:ascii="宋体" w:hAnsi="宋体" w:cs="宋体" w:hint="eastAsia"/>
                <w:color w:val="000000"/>
                <w:sz w:val="18"/>
                <w:szCs w:val="18"/>
              </w:rPr>
              <w:t>492.66</w:t>
            </w:r>
          </w:p>
        </w:tc>
        <w:tc>
          <w:tcPr>
            <w:tcW w:w="839"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 w:val="18"/>
                <w:szCs w:val="18"/>
              </w:rPr>
            </w:pPr>
            <w:r>
              <w:rPr>
                <w:rFonts w:ascii="宋体" w:hAnsi="宋体" w:cs="宋体" w:hint="eastAsia"/>
                <w:color w:val="000000"/>
                <w:sz w:val="20"/>
                <w:szCs w:val="20"/>
              </w:rPr>
              <w:t>482.51</w:t>
            </w:r>
          </w:p>
        </w:tc>
        <w:tc>
          <w:tcPr>
            <w:tcW w:w="84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 w:val="18"/>
                <w:szCs w:val="18"/>
              </w:rPr>
            </w:pPr>
          </w:p>
        </w:tc>
        <w:tc>
          <w:tcPr>
            <w:tcW w:w="839"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 w:val="18"/>
                <w:szCs w:val="18"/>
              </w:rPr>
            </w:pPr>
          </w:p>
        </w:tc>
        <w:tc>
          <w:tcPr>
            <w:tcW w:w="84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 w:val="18"/>
                <w:szCs w:val="18"/>
              </w:rPr>
            </w:pPr>
          </w:p>
        </w:tc>
        <w:tc>
          <w:tcPr>
            <w:tcW w:w="839"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 w:val="18"/>
                <w:szCs w:val="18"/>
              </w:rPr>
            </w:pPr>
          </w:p>
        </w:tc>
        <w:tc>
          <w:tcPr>
            <w:tcW w:w="846"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 w:val="18"/>
                <w:szCs w:val="18"/>
              </w:rPr>
            </w:pPr>
            <w:r>
              <w:rPr>
                <w:rFonts w:ascii="宋体" w:hAnsi="宋体" w:cs="宋体" w:hint="eastAsia"/>
                <w:color w:val="000000"/>
                <w:sz w:val="20"/>
                <w:szCs w:val="20"/>
              </w:rPr>
              <w:t>10.15</w:t>
            </w:r>
          </w:p>
        </w:tc>
        <w:tc>
          <w:tcPr>
            <w:tcW w:w="839"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20"/>
                <w:szCs w:val="20"/>
              </w:rPr>
            </w:pPr>
          </w:p>
        </w:tc>
      </w:tr>
      <w:tr w:rsidR="00550FEF">
        <w:trPr>
          <w:gridAfter w:val="1"/>
          <w:wAfter w:w="32" w:type="dxa"/>
          <w:trHeight w:val="660"/>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kern w:val="0"/>
                <w:sz w:val="18"/>
                <w:szCs w:val="18"/>
              </w:rPr>
              <w:t>社会保障和就业支出</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965"/>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20899</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kern w:val="0"/>
                <w:sz w:val="18"/>
                <w:szCs w:val="18"/>
              </w:rPr>
              <w:t>其他社会保障和就业支出</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965"/>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2089901</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kern w:val="0"/>
                <w:sz w:val="18"/>
                <w:szCs w:val="18"/>
              </w:rPr>
              <w:t>其他社会保障和就业支出</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965"/>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kern w:val="0"/>
                <w:sz w:val="18"/>
                <w:szCs w:val="18"/>
              </w:rPr>
              <w:t>医疗卫生与计划生育支出</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485.2</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475.06</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10.15</w:t>
            </w: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412"/>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21004</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公共卫生</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660"/>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2100499</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其他公共卫生支出</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p w:rsidR="00550FEF" w:rsidRDefault="00550FEF">
            <w:pPr>
              <w:widowControl/>
              <w:spacing w:line="240" w:lineRule="atLeast"/>
              <w:jc w:val="center"/>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965"/>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食品和药品监督管理事务</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479.96</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469.82</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10.15</w:t>
            </w: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412"/>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2101001</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行政运行</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351.73</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351.04</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0.7</w:t>
            </w: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412"/>
          <w:jc w:val="center"/>
        </w:trPr>
        <w:tc>
          <w:tcPr>
            <w:tcW w:w="94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2101012</w:t>
            </w:r>
          </w:p>
        </w:tc>
        <w:tc>
          <w:tcPr>
            <w:tcW w:w="120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药品事务</w:t>
            </w:r>
          </w:p>
        </w:tc>
        <w:tc>
          <w:tcPr>
            <w:tcW w:w="839"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w:t>
            </w: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w:t>
            </w: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660"/>
          <w:jc w:val="center"/>
        </w:trPr>
        <w:tc>
          <w:tcPr>
            <w:tcW w:w="942" w:type="dxa"/>
            <w:gridSpan w:val="3"/>
            <w:tcBorders>
              <w:top w:val="nil"/>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2101016</w:t>
            </w:r>
          </w:p>
        </w:tc>
        <w:tc>
          <w:tcPr>
            <w:tcW w:w="1203" w:type="dxa"/>
            <w:gridSpan w:val="2"/>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食品安全事务</w:t>
            </w:r>
          </w:p>
        </w:tc>
        <w:tc>
          <w:tcPr>
            <w:tcW w:w="839" w:type="dxa"/>
            <w:gridSpan w:val="6"/>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104.23</w:t>
            </w:r>
          </w:p>
        </w:tc>
        <w:tc>
          <w:tcPr>
            <w:tcW w:w="839" w:type="dxa"/>
            <w:gridSpan w:val="3"/>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94.78</w:t>
            </w:r>
          </w:p>
        </w:tc>
        <w:tc>
          <w:tcPr>
            <w:tcW w:w="841" w:type="dxa"/>
            <w:gridSpan w:val="3"/>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9.45</w:t>
            </w:r>
          </w:p>
        </w:tc>
        <w:tc>
          <w:tcPr>
            <w:tcW w:w="839" w:type="dxa"/>
            <w:gridSpan w:val="2"/>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gridAfter w:val="1"/>
          <w:wAfter w:w="32" w:type="dxa"/>
          <w:trHeight w:val="431"/>
          <w:jc w:val="center"/>
        </w:trPr>
        <w:tc>
          <w:tcPr>
            <w:tcW w:w="942"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2101099</w:t>
            </w:r>
          </w:p>
        </w:tc>
        <w:tc>
          <w:tcPr>
            <w:tcW w:w="120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 w:val="18"/>
                <w:szCs w:val="18"/>
              </w:rPr>
            </w:pPr>
            <w:r>
              <w:rPr>
                <w:rFonts w:ascii="宋体" w:hAnsi="宋体" w:cs="宋体" w:hint="eastAsia"/>
                <w:color w:val="000000"/>
                <w:sz w:val="18"/>
                <w:szCs w:val="18"/>
              </w:rPr>
              <w:t>其他食品和药品监督管理事务</w:t>
            </w:r>
          </w:p>
        </w:tc>
        <w:tc>
          <w:tcPr>
            <w:tcW w:w="839" w:type="dxa"/>
            <w:gridSpan w:val="6"/>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w:t>
            </w:r>
          </w:p>
        </w:tc>
        <w:tc>
          <w:tcPr>
            <w:tcW w:w="839"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w:t>
            </w:r>
          </w:p>
        </w:tc>
        <w:tc>
          <w:tcPr>
            <w:tcW w:w="841"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1"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46"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83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bl>
    <w:p w:rsidR="00550FEF" w:rsidRDefault="00094B62">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r>
        <w:rPr>
          <w:rFonts w:ascii="宋体" w:hAnsi="宋体" w:cs="宋体" w:hint="eastAsia"/>
          <w:color w:val="000000"/>
          <w:kern w:val="0"/>
          <w:szCs w:val="21"/>
        </w:rPr>
        <w:t>注：本表反映部门本年度取得的各项收入情况。</w:t>
      </w:r>
    </w:p>
    <w:tbl>
      <w:tblPr>
        <w:tblW w:w="9000" w:type="dxa"/>
        <w:tblLayout w:type="fixed"/>
        <w:tblCellMar>
          <w:left w:w="0" w:type="dxa"/>
          <w:right w:w="0" w:type="dxa"/>
        </w:tblCellMar>
        <w:tblLook w:val="04A0"/>
      </w:tblPr>
      <w:tblGrid>
        <w:gridCol w:w="290"/>
        <w:gridCol w:w="289"/>
        <w:gridCol w:w="803"/>
        <w:gridCol w:w="1117"/>
        <w:gridCol w:w="647"/>
        <w:gridCol w:w="436"/>
        <w:gridCol w:w="682"/>
        <w:gridCol w:w="402"/>
        <w:gridCol w:w="718"/>
        <w:gridCol w:w="365"/>
        <w:gridCol w:w="753"/>
        <w:gridCol w:w="331"/>
        <w:gridCol w:w="789"/>
        <w:gridCol w:w="294"/>
        <w:gridCol w:w="1084"/>
      </w:tblGrid>
      <w:tr w:rsidR="00550FEF">
        <w:trPr>
          <w:trHeight w:val="79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550FEF">
        <w:trPr>
          <w:trHeight w:val="404"/>
        </w:trPr>
        <w:tc>
          <w:tcPr>
            <w:tcW w:w="29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03</w:t>
            </w:r>
            <w:r>
              <w:rPr>
                <w:rFonts w:ascii="宋体" w:hAnsi="宋体" w:cs="宋体" w:hint="eastAsia"/>
                <w:color w:val="000000"/>
                <w:kern w:val="0"/>
                <w:szCs w:val="21"/>
              </w:rPr>
              <w:t>表</w:t>
            </w:r>
          </w:p>
        </w:tc>
      </w:tr>
      <w:tr w:rsidR="00550FEF">
        <w:trPr>
          <w:trHeight w:val="380"/>
        </w:trPr>
        <w:tc>
          <w:tcPr>
            <w:tcW w:w="3146" w:type="dxa"/>
            <w:gridSpan w:val="5"/>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50FEF">
        <w:trPr>
          <w:trHeight w:val="454"/>
        </w:trPr>
        <w:tc>
          <w:tcPr>
            <w:tcW w:w="249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本年支出合计</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上缴上级支出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对附属单位补助支出</w:t>
            </w: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r>
      <w:tr w:rsidR="00550FEF">
        <w:trPr>
          <w:trHeight w:val="454"/>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6</w:t>
            </w:r>
          </w:p>
        </w:tc>
      </w:tr>
      <w:tr w:rsidR="00550FEF">
        <w:trPr>
          <w:trHeight w:val="454"/>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Cs w:val="21"/>
              </w:rPr>
            </w:pPr>
            <w:r>
              <w:rPr>
                <w:rFonts w:ascii="宋体" w:hAnsi="宋体" w:cs="宋体" w:hint="eastAsia"/>
                <w:b/>
                <w:color w:val="000000"/>
                <w:szCs w:val="21"/>
              </w:rPr>
              <w:t>490.53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Cs w:val="21"/>
              </w:rPr>
            </w:pPr>
            <w:r>
              <w:rPr>
                <w:rFonts w:ascii="宋体" w:hAnsi="宋体" w:cs="宋体" w:hint="eastAsia"/>
                <w:b/>
                <w:color w:val="000000"/>
                <w:szCs w:val="21"/>
              </w:rPr>
              <w:t>359.19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Cs w:val="21"/>
              </w:rPr>
            </w:pPr>
            <w:r>
              <w:rPr>
                <w:rFonts w:ascii="宋体" w:hAnsi="宋体" w:cs="宋体" w:hint="eastAsia"/>
                <w:b/>
                <w:color w:val="000000"/>
                <w:szCs w:val="21"/>
              </w:rPr>
              <w:t>131.34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b/>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社会保障和就业支出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20899</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其他社会保障和就业支出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2089901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其他社会保障和就业支出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医疗卫生与计划生育支出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483.07</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351.73</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131.34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21004</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公共卫生</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2100499</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其他公共卫生支出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食品和药品监督管理事务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477.83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351.73</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126.1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行政运行</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351.73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351.73</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2101012</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药品事务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2101016</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食品安全事务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102.1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120.1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454"/>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2101099</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其他食品和药品监督管理事务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74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bl>
    <w:p w:rsidR="00550FEF" w:rsidRDefault="00550FEF">
      <w:pPr>
        <w:widowControl/>
        <w:spacing w:line="560" w:lineRule="exact"/>
        <w:ind w:firstLineChars="200" w:firstLine="562"/>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717"/>
        <w:gridCol w:w="745"/>
        <w:gridCol w:w="325"/>
        <w:gridCol w:w="850"/>
        <w:gridCol w:w="2124"/>
        <w:gridCol w:w="191"/>
        <w:gridCol w:w="360"/>
        <w:gridCol w:w="650"/>
        <w:gridCol w:w="226"/>
        <w:gridCol w:w="599"/>
        <w:gridCol w:w="277"/>
        <w:gridCol w:w="876"/>
      </w:tblGrid>
      <w:tr w:rsidR="00550FEF">
        <w:trPr>
          <w:trHeight w:val="152"/>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550FEF">
        <w:trPr>
          <w:trHeight w:val="90"/>
        </w:trPr>
        <w:tc>
          <w:tcPr>
            <w:tcW w:w="171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04</w:t>
            </w:r>
            <w:r>
              <w:rPr>
                <w:rFonts w:ascii="宋体" w:hAnsi="宋体" w:cs="宋体" w:hint="eastAsia"/>
                <w:color w:val="000000"/>
                <w:kern w:val="0"/>
                <w:sz w:val="20"/>
                <w:szCs w:val="20"/>
              </w:rPr>
              <w:t>表</w:t>
            </w:r>
          </w:p>
        </w:tc>
      </w:tr>
      <w:tr w:rsidR="00550FEF">
        <w:trPr>
          <w:trHeight w:val="152"/>
        </w:trPr>
        <w:tc>
          <w:tcPr>
            <w:tcW w:w="6312" w:type="dxa"/>
            <w:gridSpan w:val="7"/>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550FEF">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收</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入</w:t>
            </w:r>
          </w:p>
        </w:tc>
        <w:tc>
          <w:tcPr>
            <w:tcW w:w="6153"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支</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出</w:t>
            </w:r>
          </w:p>
        </w:tc>
      </w:tr>
      <w:tr w:rsidR="00550FEF">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550FEF">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7.46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7.46</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rPr>
              <w:t>九、医疗卫生与计划生育支出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475.06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475.06</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 w:val="18"/>
                <w:szCs w:val="18"/>
              </w:rPr>
            </w:pPr>
            <w:r>
              <w:rPr>
                <w:rFonts w:ascii="宋体" w:hAnsi="宋体" w:cs="宋体" w:hint="eastAsia"/>
                <w:color w:val="000000"/>
                <w:sz w:val="18"/>
                <w:szCs w:val="18"/>
              </w:rPr>
              <w:t>482.51</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 w:val="18"/>
                <w:szCs w:val="18"/>
              </w:rPr>
            </w:pPr>
          </w:p>
        </w:tc>
      </w:tr>
      <w:tr w:rsidR="00550FEF">
        <w:trPr>
          <w:trHeight w:val="155"/>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550FEF">
        <w:trPr>
          <w:trHeight w:val="600"/>
        </w:trPr>
        <w:tc>
          <w:tcPr>
            <w:tcW w:w="8860" w:type="dxa"/>
            <w:gridSpan w:val="9"/>
            <w:tcBorders>
              <w:top w:val="nil"/>
              <w:left w:val="nil"/>
              <w:bottom w:val="nil"/>
              <w:right w:val="nil"/>
            </w:tcBorders>
            <w:shd w:val="clear" w:color="auto" w:fill="auto"/>
            <w:tcMar>
              <w:top w:w="15" w:type="dxa"/>
              <w:left w:w="15" w:type="dxa"/>
              <w:right w:w="15" w:type="dxa"/>
            </w:tcMar>
            <w:vAlign w:val="bottom"/>
          </w:tcPr>
          <w:p w:rsidR="00550FEF" w:rsidRDefault="00094B62">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550FEF">
        <w:trPr>
          <w:trHeight w:val="334"/>
        </w:trPr>
        <w:tc>
          <w:tcPr>
            <w:tcW w:w="31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05</w:t>
            </w:r>
            <w:r>
              <w:rPr>
                <w:rFonts w:ascii="宋体" w:hAnsi="宋体" w:cs="宋体" w:hint="eastAsia"/>
                <w:color w:val="000000"/>
                <w:kern w:val="0"/>
                <w:szCs w:val="21"/>
              </w:rPr>
              <w:t>表</w:t>
            </w:r>
          </w:p>
        </w:tc>
      </w:tr>
      <w:tr w:rsidR="00550FEF">
        <w:trPr>
          <w:trHeight w:val="334"/>
        </w:trPr>
        <w:tc>
          <w:tcPr>
            <w:tcW w:w="3847" w:type="dxa"/>
            <w:gridSpan w:val="5"/>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spacing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50FEF">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w:t>
            </w:r>
          </w:p>
        </w:tc>
      </w:tr>
      <w:tr w:rsidR="00550FEF">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r>
      <w:tr w:rsidR="00550FEF">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r>
      <w:tr w:rsidR="00550FEF">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center"/>
              <w:rPr>
                <w:rFonts w:ascii="宋体" w:hAnsi="宋体" w:cs="宋体"/>
                <w:color w:val="000000"/>
                <w:szCs w:val="21"/>
              </w:rPr>
            </w:pPr>
          </w:p>
        </w:tc>
      </w:tr>
      <w:tr w:rsidR="00550FEF">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r>
      <w:tr w:rsidR="00550FEF">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Cs w:val="21"/>
              </w:rPr>
            </w:pPr>
            <w:r>
              <w:rPr>
                <w:rFonts w:ascii="宋体" w:hAnsi="宋体" w:cs="宋体" w:hint="eastAsia"/>
                <w:b/>
                <w:color w:val="000000"/>
                <w:szCs w:val="21"/>
              </w:rPr>
              <w:t>482.52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Cs w:val="21"/>
              </w:rPr>
            </w:pPr>
            <w:r>
              <w:rPr>
                <w:rFonts w:ascii="宋体" w:hAnsi="宋体" w:cs="宋体" w:hint="eastAsia"/>
                <w:b/>
                <w:color w:val="000000"/>
                <w:szCs w:val="21"/>
              </w:rPr>
              <w:t>358.5</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b/>
                <w:color w:val="000000"/>
                <w:szCs w:val="21"/>
              </w:rPr>
            </w:pPr>
            <w:r>
              <w:rPr>
                <w:rFonts w:ascii="宋体" w:hAnsi="宋体" w:cs="宋体" w:hint="eastAsia"/>
                <w:b/>
                <w:color w:val="000000"/>
                <w:szCs w:val="21"/>
              </w:rPr>
              <w:t>124.02</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社会保障和就业支出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20899</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其他社会保障和就业支出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2089901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其他社会保障和就业支出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7.46</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kern w:val="0"/>
                <w:sz w:val="20"/>
                <w:szCs w:val="20"/>
              </w:rPr>
              <w:t>医疗卫生与计划生育支出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475.06</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351.04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124.02</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21004</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公共卫生</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2100499</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其他公共卫生支出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5.24</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食品和药品监督管理事务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469.82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351.04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118.78</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行政运行</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351.04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351.04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2101012</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药品事务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13</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2101016</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食品安全事务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94.78</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94.78</w:t>
            </w:r>
          </w:p>
        </w:tc>
      </w:tr>
      <w:tr w:rsidR="00550FEF">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2101099</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left"/>
              <w:rPr>
                <w:rFonts w:ascii="宋体" w:hAnsi="宋体" w:cs="宋体"/>
                <w:color w:val="000000"/>
                <w:szCs w:val="21"/>
              </w:rPr>
            </w:pPr>
            <w:r>
              <w:rPr>
                <w:rFonts w:ascii="宋体" w:hAnsi="宋体" w:cs="宋体" w:hint="eastAsia"/>
                <w:color w:val="000000"/>
                <w:szCs w:val="21"/>
              </w:rPr>
              <w:t>其他食品和药品监督管理事务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pacing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pacing w:line="240" w:lineRule="atLeast"/>
              <w:jc w:val="right"/>
              <w:rPr>
                <w:rFonts w:ascii="宋体" w:hAnsi="宋体" w:cs="宋体"/>
                <w:color w:val="000000"/>
                <w:szCs w:val="21"/>
              </w:rPr>
            </w:pPr>
            <w:r>
              <w:rPr>
                <w:rFonts w:ascii="宋体" w:hAnsi="宋体" w:cs="宋体" w:hint="eastAsia"/>
                <w:color w:val="000000"/>
                <w:szCs w:val="21"/>
              </w:rPr>
              <w:t>11</w:t>
            </w:r>
          </w:p>
        </w:tc>
      </w:tr>
      <w:tr w:rsidR="00550FEF">
        <w:trPr>
          <w:trHeight w:val="368"/>
        </w:trPr>
        <w:tc>
          <w:tcPr>
            <w:tcW w:w="8860" w:type="dxa"/>
            <w:gridSpan w:val="9"/>
            <w:tcBorders>
              <w:top w:val="nil"/>
              <w:left w:val="nil"/>
              <w:bottom w:val="nil"/>
              <w:right w:val="nil"/>
            </w:tcBorders>
            <w:shd w:val="clear" w:color="auto" w:fill="auto"/>
            <w:tcMar>
              <w:top w:w="15" w:type="dxa"/>
              <w:left w:w="15" w:type="dxa"/>
              <w:right w:w="15" w:type="dxa"/>
            </w:tcMar>
            <w:vAlign w:val="center"/>
          </w:tcPr>
          <w:p w:rsidR="00550FEF" w:rsidRDefault="00094B62">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注：本表反映部门本年度一般公共预算财政拨款收入及支出情况。</w:t>
            </w:r>
            <w:r>
              <w:rPr>
                <w:rFonts w:ascii="宋体" w:hAnsi="宋体" w:cs="宋体" w:hint="eastAsia"/>
                <w:color w:val="000000"/>
                <w:kern w:val="0"/>
                <w:szCs w:val="21"/>
              </w:rPr>
              <w:t xml:space="preserve">      </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550FEF">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550FEF">
        <w:trPr>
          <w:trHeight w:val="269"/>
          <w:jc w:val="center"/>
        </w:trPr>
        <w:tc>
          <w:tcPr>
            <w:tcW w:w="558"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06</w:t>
            </w:r>
            <w:r>
              <w:rPr>
                <w:rFonts w:ascii="宋体" w:hAnsi="宋体" w:cs="宋体" w:hint="eastAsia"/>
                <w:color w:val="000000"/>
                <w:kern w:val="0"/>
                <w:sz w:val="22"/>
                <w:szCs w:val="22"/>
              </w:rPr>
              <w:t>表</w:t>
            </w:r>
          </w:p>
        </w:tc>
      </w:tr>
      <w:tr w:rsidR="00550FEF">
        <w:trPr>
          <w:trHeight w:val="269"/>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550FEF">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公用经费</w:t>
            </w:r>
          </w:p>
        </w:tc>
      </w:tr>
      <w:tr w:rsidR="00550FEF">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550FEF">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center"/>
              <w:rPr>
                <w:rFonts w:ascii="宋体" w:hAnsi="宋体" w:cs="宋体"/>
                <w:color w:val="000000"/>
                <w:sz w:val="22"/>
                <w:szCs w:val="22"/>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296.03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48.98</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债务利息及费用支出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基本工资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112.58</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0.96</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国内债务付息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津贴补贴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31.31</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印刷费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6.29</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国外债务付息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33.39</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咨询费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伙食补助费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手续费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0.07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房屋建筑物购建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绩效工资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67.94</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水费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0.75</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机关事业单位基本养老保险缴费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11.92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5.58</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职业年金缴费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24.07</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邮电费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0.75</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基础设施建设</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职工基本医疗保险缴费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6.85</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取暖费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大型修缮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公务员医疗补助缴费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物业管理费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信息网络及软件购置更新</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其他社会保障缴费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0.33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差旅费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5.80</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物资储备</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住房公积金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6.94</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因公出国（境）费用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土地补偿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维修（护）费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5.34</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安置补助</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0.7</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租赁费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地上附着物和青苗补偿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对个人和家庭的补助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13.48</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会议费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拆迁补偿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离休费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培训费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6.01</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公务接待费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其他交通工具购置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退职（役）费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专用材料费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文物和陈列品购置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抚恤金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被装购置费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无形资产购置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生活补助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7.46</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专用燃料费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救济费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劳务费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0.17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委托业务费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赠与</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助学金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工会经费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4.42</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国家赔偿费用支出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奖励金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0.006</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福利费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3.70</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个人农业生产补贴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公务用车运行维护费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6</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其他对个人和家庭的补助支出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5.67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税金及附加费用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3.47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snapToGrid w:val="0"/>
              <w:jc w:val="right"/>
              <w:rPr>
                <w:rFonts w:ascii="宋体" w:hAnsi="宋体" w:cs="宋体"/>
                <w:color w:val="000000"/>
                <w:sz w:val="20"/>
                <w:szCs w:val="20"/>
              </w:rPr>
            </w:pPr>
          </w:p>
        </w:tc>
      </w:tr>
      <w:tr w:rsidR="00550FEF">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center"/>
              <w:textAlignment w:val="center"/>
              <w:rPr>
                <w:rFonts w:ascii="宋体" w:hAnsi="宋体" w:cs="宋体"/>
                <w:color w:val="000000"/>
                <w:sz w:val="16"/>
                <w:szCs w:val="16"/>
              </w:rPr>
            </w:pPr>
            <w:r>
              <w:rPr>
                <w:rFonts w:ascii="宋体" w:hAnsi="宋体" w:cs="宋体" w:hint="eastAsia"/>
                <w:color w:val="000000"/>
                <w:kern w:val="0"/>
                <w:sz w:val="16"/>
                <w:szCs w:val="16"/>
              </w:rPr>
              <w:t>人员经费合计</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309.51</w:t>
            </w:r>
          </w:p>
        </w:tc>
        <w:tc>
          <w:tcPr>
            <w:tcW w:w="5328"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center"/>
              <w:textAlignment w:val="center"/>
              <w:rPr>
                <w:rFonts w:ascii="宋体" w:hAnsi="宋体" w:cs="宋体"/>
                <w:color w:val="000000"/>
                <w:sz w:val="16"/>
                <w:szCs w:val="16"/>
              </w:rPr>
            </w:pPr>
            <w:r>
              <w:rPr>
                <w:rFonts w:ascii="宋体" w:hAnsi="宋体" w:cs="宋体" w:hint="eastAsia"/>
                <w:color w:val="000000"/>
                <w:kern w:val="0"/>
                <w:sz w:val="16"/>
                <w:szCs w:val="16"/>
              </w:rPr>
              <w:t>公用经费合计</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snapToGrid w:val="0"/>
              <w:jc w:val="right"/>
              <w:rPr>
                <w:rFonts w:ascii="宋体" w:hAnsi="宋体" w:cs="宋体"/>
                <w:color w:val="000000"/>
                <w:sz w:val="16"/>
                <w:szCs w:val="16"/>
              </w:rPr>
            </w:pPr>
            <w:r>
              <w:rPr>
                <w:rFonts w:ascii="宋体" w:hAnsi="宋体" w:cs="宋体" w:hint="eastAsia"/>
                <w:color w:val="000000"/>
                <w:sz w:val="16"/>
                <w:szCs w:val="16"/>
              </w:rPr>
              <w:t>48.98</w:t>
            </w:r>
          </w:p>
        </w:tc>
      </w:tr>
      <w:tr w:rsidR="00550FEF">
        <w:trPr>
          <w:trHeight w:val="277"/>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w:t>
            </w:r>
            <w:r>
              <w:rPr>
                <w:rFonts w:ascii="宋体" w:hAnsi="宋体" w:cs="宋体" w:hint="eastAsia"/>
                <w:color w:val="000000"/>
                <w:kern w:val="0"/>
                <w:sz w:val="20"/>
                <w:szCs w:val="20"/>
              </w:rPr>
              <w:t xml:space="preserve">        </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550FEF">
        <w:trPr>
          <w:trHeight w:val="584"/>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550FEF">
        <w:trPr>
          <w:trHeight w:val="347"/>
          <w:jc w:val="center"/>
        </w:trPr>
        <w:tc>
          <w:tcPr>
            <w:tcW w:w="1158"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07</w:t>
            </w:r>
            <w:r>
              <w:rPr>
                <w:rFonts w:ascii="宋体" w:hAnsi="宋体" w:cs="宋体" w:hint="eastAsia"/>
                <w:color w:val="000000"/>
                <w:kern w:val="0"/>
                <w:sz w:val="20"/>
                <w:szCs w:val="20"/>
              </w:rPr>
              <w:t>表</w:t>
            </w:r>
          </w:p>
        </w:tc>
      </w:tr>
      <w:tr w:rsidR="00550FEF">
        <w:trPr>
          <w:trHeight w:val="347"/>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550FEF">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550FEF">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550FEF">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r>
      <w:tr w:rsidR="00550FEF">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6</w:t>
            </w:r>
          </w:p>
        </w:tc>
      </w:tr>
      <w:tr w:rsidR="00550FEF">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right"/>
              <w:rPr>
                <w:rFonts w:ascii="宋体" w:hAnsi="宋体" w:cs="宋体"/>
                <w:color w:val="000000"/>
                <w:szCs w:val="21"/>
              </w:rPr>
            </w:pPr>
            <w:r>
              <w:rPr>
                <w:rFonts w:ascii="宋体" w:hAnsi="宋体" w:cs="宋体" w:hint="eastAsia"/>
                <w:color w:val="000000"/>
                <w:szCs w:val="21"/>
              </w:rPr>
              <w:t>6</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550FEF">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550FEF">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r>
      <w:tr w:rsidR="00550FEF">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12</w:t>
            </w:r>
          </w:p>
        </w:tc>
      </w:tr>
      <w:tr w:rsidR="00550FEF">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right"/>
              <w:rPr>
                <w:rFonts w:ascii="宋体" w:hAnsi="宋体" w:cs="宋体"/>
                <w:color w:val="000000"/>
                <w:szCs w:val="21"/>
              </w:rPr>
            </w:pPr>
            <w:r>
              <w:rPr>
                <w:rFonts w:ascii="宋体" w:hAnsi="宋体" w:cs="宋体" w:hint="eastAsia"/>
                <w:color w:val="000000"/>
                <w:szCs w:val="21"/>
              </w:rPr>
              <w:t>6</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left"/>
              <w:textAlignment w:val="center"/>
              <w:rPr>
                <w:rFonts w:ascii="宋体" w:hAnsi="宋体" w:cs="宋体"/>
                <w:color w:val="000000"/>
                <w:szCs w:val="21"/>
              </w:rPr>
            </w:pPr>
            <w:r>
              <w:rPr>
                <w:rFonts w:ascii="宋体" w:hAnsi="宋体" w:cs="宋体" w:hint="eastAsia"/>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ascii="宋体" w:hAnsi="宋体" w:cs="宋体" w:hint="eastAsia"/>
                <w:color w:val="000000"/>
                <w:kern w:val="0"/>
                <w:szCs w:val="21"/>
              </w:rPr>
              <w:t xml:space="preserve">           </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296"/>
        <w:gridCol w:w="191"/>
        <w:gridCol w:w="479"/>
        <w:gridCol w:w="669"/>
        <w:gridCol w:w="376"/>
        <w:gridCol w:w="1166"/>
        <w:gridCol w:w="840"/>
        <w:gridCol w:w="1191"/>
        <w:gridCol w:w="1192"/>
        <w:gridCol w:w="1192"/>
        <w:gridCol w:w="1268"/>
      </w:tblGrid>
      <w:tr w:rsidR="00550FEF">
        <w:trPr>
          <w:trHeight w:val="707"/>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550FEF">
        <w:trPr>
          <w:trHeight w:val="315"/>
        </w:trPr>
        <w:tc>
          <w:tcPr>
            <w:tcW w:w="296"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08</w:t>
            </w:r>
            <w:r>
              <w:rPr>
                <w:rFonts w:ascii="宋体" w:hAnsi="宋体" w:cs="宋体" w:hint="eastAsia"/>
                <w:color w:val="000000"/>
                <w:kern w:val="0"/>
                <w:szCs w:val="21"/>
              </w:rPr>
              <w:t>表</w:t>
            </w:r>
          </w:p>
        </w:tc>
      </w:tr>
      <w:tr w:rsidR="00550FEF">
        <w:trPr>
          <w:trHeight w:val="411"/>
        </w:trPr>
        <w:tc>
          <w:tcPr>
            <w:tcW w:w="3177" w:type="dxa"/>
            <w:gridSpan w:val="6"/>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50FEF">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550FEF">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r>
      <w:tr w:rsidR="00550FEF">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r>
      <w:tr w:rsidR="00550FEF">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center"/>
              <w:rPr>
                <w:rFonts w:ascii="宋体" w:hAnsi="宋体" w:cs="宋体"/>
                <w:color w:val="000000"/>
                <w:szCs w:val="21"/>
              </w:rPr>
            </w:pPr>
          </w:p>
        </w:tc>
      </w:tr>
      <w:tr w:rsidR="00550FEF">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1</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6</w:t>
            </w:r>
          </w:p>
        </w:tc>
      </w:tr>
      <w:tr w:rsidR="00550FEF">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b/>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right"/>
              <w:rPr>
                <w:rFonts w:ascii="宋体" w:hAnsi="宋体" w:cs="宋体"/>
                <w:color w:val="000000"/>
                <w:szCs w:val="21"/>
              </w:rPr>
            </w:pPr>
          </w:p>
        </w:tc>
      </w:tr>
      <w:tr w:rsidR="00550FEF">
        <w:trPr>
          <w:trHeight w:val="324"/>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textAlignment w:val="center"/>
              <w:rPr>
                <w:rFonts w:ascii="宋体" w:hAnsi="宋体" w:cs="宋体"/>
                <w:color w:val="000000"/>
                <w:szCs w:val="21"/>
              </w:rPr>
            </w:pPr>
            <w:r>
              <w:rPr>
                <w:rFonts w:ascii="宋体" w:hAnsi="宋体" w:cs="宋体" w:hint="eastAsia"/>
                <w:color w:val="000000"/>
                <w:kern w:val="0"/>
                <w:szCs w:val="21"/>
              </w:rPr>
              <w:t>注：本表反映部门本年度政府性基金预算财政拨款收入、支出及结转和结余情况。</w:t>
            </w:r>
            <w:r>
              <w:rPr>
                <w:rFonts w:ascii="宋体" w:hAnsi="宋体" w:cs="宋体" w:hint="eastAsia"/>
                <w:color w:val="000000"/>
                <w:kern w:val="0"/>
                <w:szCs w:val="21"/>
              </w:rPr>
              <w:t xml:space="preserve">         </w:t>
            </w:r>
          </w:p>
        </w:tc>
      </w:tr>
      <w:tr w:rsidR="00550FEF">
        <w:trPr>
          <w:trHeight w:val="324"/>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本部门本年度无相关收入（或支出、收支及结转结余等）情况，按要求空表列示</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550FEF">
        <w:trPr>
          <w:trHeight w:val="656"/>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550FEF">
        <w:trPr>
          <w:trHeight w:val="335"/>
        </w:trPr>
        <w:tc>
          <w:tcPr>
            <w:tcW w:w="442"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09</w:t>
            </w:r>
            <w:r>
              <w:rPr>
                <w:rFonts w:ascii="宋体" w:hAnsi="宋体" w:cs="宋体" w:hint="eastAsia"/>
                <w:color w:val="000000"/>
                <w:kern w:val="0"/>
                <w:sz w:val="22"/>
                <w:szCs w:val="22"/>
              </w:rPr>
              <w:t>表</w:t>
            </w:r>
          </w:p>
        </w:tc>
      </w:tr>
      <w:tr w:rsidR="00550FEF">
        <w:trPr>
          <w:trHeight w:val="335"/>
        </w:trPr>
        <w:tc>
          <w:tcPr>
            <w:tcW w:w="3357" w:type="dxa"/>
            <w:gridSpan w:val="7"/>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550FEF" w:rsidRDefault="00094B62">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550FEF">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550FEF">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550FEF">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550FEF">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jc w:val="right"/>
              <w:rPr>
                <w:rFonts w:ascii="宋体" w:hAnsi="宋体" w:cs="宋体"/>
                <w:color w:val="000000"/>
                <w:sz w:val="22"/>
                <w:szCs w:val="22"/>
              </w:rPr>
            </w:pPr>
          </w:p>
        </w:tc>
      </w:tr>
      <w:tr w:rsidR="00550FEF">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注：本表反映部门本年度国有资本经营预算财政拨款支出情况。</w:t>
            </w:r>
          </w:p>
        </w:tc>
      </w:tr>
      <w:tr w:rsidR="00550FEF">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本部门本年度无相关收入（或支出、收支及结转结余等）情况，按要求空表列示</w:t>
            </w:r>
          </w:p>
        </w:tc>
      </w:tr>
    </w:tbl>
    <w:p w:rsidR="00550FEF" w:rsidRDefault="00550FEF">
      <w:pPr>
        <w:widowControl/>
        <w:spacing w:line="560" w:lineRule="exact"/>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550FEF">
        <w:trPr>
          <w:trHeight w:val="635"/>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550FEF">
        <w:trPr>
          <w:trHeight w:val="326"/>
        </w:trPr>
        <w:tc>
          <w:tcPr>
            <w:tcW w:w="1901"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550FEF" w:rsidRDefault="00550FEF">
            <w:pPr>
              <w:widowControl/>
              <w:adjustRightInd w:val="0"/>
              <w:snapToGrid w:val="0"/>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10</w:t>
            </w:r>
            <w:r>
              <w:rPr>
                <w:rFonts w:ascii="宋体" w:hAnsi="宋体" w:cs="宋体" w:hint="eastAsia"/>
                <w:color w:val="000000"/>
                <w:kern w:val="0"/>
                <w:szCs w:val="21"/>
              </w:rPr>
              <w:t>表</w:t>
            </w:r>
          </w:p>
        </w:tc>
      </w:tr>
      <w:tr w:rsidR="00550FEF">
        <w:trPr>
          <w:trHeight w:val="360"/>
        </w:trPr>
        <w:tc>
          <w:tcPr>
            <w:tcW w:w="6440" w:type="dxa"/>
            <w:gridSpan w:val="7"/>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left"/>
              <w:textAlignment w:val="center"/>
              <w:rPr>
                <w:rFonts w:ascii="宋体" w:hAnsi="宋体" w:cs="宋体"/>
                <w:color w:val="000000"/>
                <w:szCs w:val="21"/>
              </w:rPr>
            </w:pPr>
            <w:r>
              <w:rPr>
                <w:rFonts w:ascii="宋体" w:hAnsi="宋体" w:cs="宋体" w:hint="eastAsia"/>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snapToGrid w:val="0"/>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50FEF">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550FEF">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550FEF">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r>
      <w:tr w:rsidR="00550FEF">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6</w:t>
            </w:r>
          </w:p>
        </w:tc>
      </w:tr>
      <w:tr w:rsidR="00550FEF">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550FEF">
        <w:trPr>
          <w:trHeight w:val="350"/>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550FEF">
        <w:trPr>
          <w:trHeight w:val="543"/>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center"/>
              <w:rPr>
                <w:rFonts w:ascii="宋体" w:hAnsi="宋体" w:cs="宋体"/>
                <w:color w:val="000000"/>
                <w:szCs w:val="21"/>
              </w:rPr>
            </w:pPr>
          </w:p>
        </w:tc>
      </w:tr>
      <w:tr w:rsidR="00550FEF">
        <w:trPr>
          <w:trHeight w:val="309"/>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6</w:t>
            </w:r>
          </w:p>
        </w:tc>
      </w:tr>
      <w:tr w:rsidR="00550FEF">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snapToGrid w:val="0"/>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snapToGrid w:val="0"/>
              <w:jc w:val="right"/>
              <w:rPr>
                <w:rFonts w:ascii="宋体" w:hAnsi="宋体" w:cs="宋体"/>
                <w:color w:val="000000"/>
                <w:szCs w:val="21"/>
              </w:rPr>
            </w:pPr>
          </w:p>
        </w:tc>
      </w:tr>
      <w:tr w:rsidR="00550FEF">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r>
      <w:tr w:rsidR="00550FEF">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50FEF" w:rsidRDefault="00550FEF">
            <w:pPr>
              <w:widowControl/>
              <w:adjustRightInd w:val="0"/>
              <w:jc w:val="left"/>
              <w:rPr>
                <w:rFonts w:ascii="宋体" w:hAnsi="宋体" w:cs="宋体"/>
                <w:color w:val="000000"/>
                <w:szCs w:val="21"/>
              </w:rPr>
            </w:pPr>
          </w:p>
        </w:tc>
      </w:tr>
      <w:tr w:rsidR="00550FEF">
        <w:trPr>
          <w:trHeight w:val="398"/>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注：本表反映部门本年度纳入部门预算范围的政府采购预算及支出情况。</w:t>
            </w:r>
            <w:r>
              <w:rPr>
                <w:rFonts w:ascii="宋体" w:hAnsi="宋体" w:cs="宋体" w:hint="eastAsia"/>
                <w:color w:val="000000"/>
                <w:szCs w:val="21"/>
              </w:rPr>
              <w:t xml:space="preserve">     </w:t>
            </w:r>
          </w:p>
        </w:tc>
      </w:tr>
      <w:tr w:rsidR="00550FEF">
        <w:trPr>
          <w:trHeight w:val="398"/>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550FEF" w:rsidRDefault="00094B62">
            <w:pPr>
              <w:widowControl/>
              <w:adjustRightInd w:val="0"/>
              <w:jc w:val="left"/>
              <w:rPr>
                <w:rFonts w:ascii="宋体" w:hAnsi="宋体" w:cs="宋体"/>
                <w:color w:val="000000"/>
                <w:szCs w:val="21"/>
              </w:rPr>
            </w:pPr>
            <w:r>
              <w:rPr>
                <w:rFonts w:ascii="宋体" w:hAnsi="宋体" w:cs="宋体" w:hint="eastAsia"/>
                <w:color w:val="000000"/>
                <w:szCs w:val="21"/>
              </w:rPr>
              <w:t>本部门本年度无相关收入（或支出、收支及结转结余等）情况，按要求空表列示</w:t>
            </w:r>
          </w:p>
        </w:tc>
      </w:tr>
    </w:tbl>
    <w:p w:rsidR="00550FEF" w:rsidRDefault="00550FEF">
      <w:pPr>
        <w:widowControl/>
        <w:spacing w:line="560" w:lineRule="exact"/>
        <w:jc w:val="left"/>
        <w:rPr>
          <w:rFonts w:ascii="仿宋_GB2312" w:eastAsia="仿宋_GB2312" w:hAnsiTheme="majorEastAsia"/>
          <w:b/>
          <w:sz w:val="28"/>
          <w:szCs w:val="28"/>
          <w:highlight w:val="yellow"/>
        </w:rPr>
      </w:pPr>
    </w:p>
    <w:p w:rsidR="00550FEF" w:rsidRDefault="00550FEF"/>
    <w:p w:rsidR="00550FEF" w:rsidRDefault="00550FEF"/>
    <w:p w:rsidR="00550FEF" w:rsidRDefault="00550FEF"/>
    <w:p w:rsidR="00550FEF" w:rsidRDefault="00094B62">
      <w:pPr>
        <w:tabs>
          <w:tab w:val="left" w:pos="1086"/>
        </w:tabs>
        <w:jc w:val="left"/>
        <w:rPr>
          <w:rFonts w:ascii="仿宋_GB2312" w:eastAsia="仿宋_GB2312" w:hAnsiTheme="majorEastAsia"/>
          <w:b/>
          <w:sz w:val="28"/>
          <w:szCs w:val="28"/>
          <w:highlight w:val="yellow"/>
        </w:rPr>
        <w:sectPr w:rsidR="00550FEF">
          <w:pgSz w:w="11906" w:h="16838"/>
          <w:pgMar w:top="2098" w:right="1474" w:bottom="1984" w:left="1588" w:header="851" w:footer="992" w:gutter="0"/>
          <w:cols w:space="0"/>
          <w:docGrid w:type="lines" w:linePitch="312"/>
        </w:sectPr>
      </w:pPr>
      <w:r>
        <w:rPr>
          <w:rFonts w:hint="eastAsia"/>
        </w:rPr>
        <w:tab/>
      </w:r>
    </w:p>
    <w:p w:rsidR="00550FEF" w:rsidRDefault="00094B62">
      <w:pPr>
        <w:rPr>
          <w:rFonts w:ascii="宋体" w:hAnsi="宋体" w:cs="ArialUnicodeMS"/>
          <w:color w:val="000000"/>
          <w:kern w:val="0"/>
        </w:rPr>
        <w:sectPr w:rsidR="00550FEF">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550FEF" w:rsidRPr="00550FEF">
        <w:rPr>
          <w:sz w:val="72"/>
        </w:rPr>
        <w:pict>
          <v:shape id="_x0000_s1028" type="#_x0000_t202" style="position:absolute;left:0;text-align:left;margin-left:-78.7pt;margin-top:232.8pt;width:596.2pt;height:159.1pt;z-index:251664384;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filled="f" stroked="f" strokeweight=".5pt">
            <v:textbox>
              <w:txbxContent>
                <w:p w:rsidR="00550FEF" w:rsidRDefault="00094B6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550FEF" w:rsidRDefault="00094B62">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550FEF" w:rsidRDefault="00094B62">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492.66</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年度决算相比，收支各增加</w:t>
      </w:r>
      <w:r>
        <w:rPr>
          <w:rFonts w:ascii="仿宋_GB2312" w:eastAsia="仿宋_GB2312" w:cs="DengXian-Regular" w:hint="eastAsia"/>
          <w:sz w:val="32"/>
          <w:szCs w:val="32"/>
        </w:rPr>
        <w:t>39.01</w:t>
      </w:r>
      <w:r>
        <w:rPr>
          <w:rFonts w:ascii="仿宋_GB2312" w:eastAsia="仿宋_GB2312" w:cs="DengXian-Regular" w:hint="eastAsia"/>
          <w:sz w:val="32"/>
          <w:szCs w:val="32"/>
        </w:rPr>
        <w:t>万元，增长</w:t>
      </w:r>
      <w:r>
        <w:rPr>
          <w:rFonts w:ascii="仿宋_GB2312" w:eastAsia="仿宋_GB2312" w:cs="DengXian-Regular" w:hint="eastAsia"/>
          <w:sz w:val="32"/>
          <w:szCs w:val="32"/>
        </w:rPr>
        <w:t>7.9%</w:t>
      </w:r>
      <w:r>
        <w:rPr>
          <w:rFonts w:ascii="仿宋_GB2312" w:eastAsia="仿宋_GB2312" w:cs="DengXian-Regular" w:hint="eastAsia"/>
          <w:sz w:val="32"/>
          <w:szCs w:val="32"/>
        </w:rPr>
        <w:t>，主要原因是调资人员经费增加。</w:t>
      </w:r>
    </w:p>
    <w:p w:rsidR="00550FEF" w:rsidRDefault="00094B62">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年度本年收入合计</w:t>
      </w:r>
      <w:r>
        <w:rPr>
          <w:rFonts w:hint="eastAsia"/>
          <w:sz w:val="32"/>
          <w:szCs w:val="32"/>
        </w:rPr>
        <w:t>492.66</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482.51</w:t>
      </w:r>
      <w:r>
        <w:rPr>
          <w:rFonts w:ascii="仿宋_GB2312" w:eastAsia="仿宋_GB2312" w:cs="DengXian-Regular" w:hint="eastAsia"/>
          <w:sz w:val="32"/>
          <w:szCs w:val="32"/>
        </w:rPr>
        <w:t>万元，占</w:t>
      </w:r>
      <w:r>
        <w:rPr>
          <w:rFonts w:ascii="宋体" w:hAnsi="宋体" w:cs="宋体" w:hint="eastAsia"/>
          <w:sz w:val="32"/>
          <w:szCs w:val="32"/>
        </w:rPr>
        <w:t>97.94</w:t>
      </w:r>
      <w:r>
        <w:rPr>
          <w:rFonts w:ascii="仿宋_GB2312" w:eastAsia="仿宋_GB2312" w:cs="DengXian-Regular" w:hint="eastAsia"/>
          <w:sz w:val="32"/>
          <w:szCs w:val="32"/>
        </w:rPr>
        <w:t>%</w:t>
      </w:r>
      <w:r>
        <w:rPr>
          <w:rFonts w:ascii="仿宋_GB2312" w:eastAsia="仿宋_GB2312" w:cs="DengXian-Regular" w:hint="eastAsia"/>
          <w:sz w:val="32"/>
          <w:szCs w:val="32"/>
        </w:rPr>
        <w:t>；其他收入</w:t>
      </w:r>
      <w:r>
        <w:rPr>
          <w:rFonts w:ascii="仿宋_GB2312" w:eastAsia="仿宋_GB2312" w:cs="DengXian-Regular" w:hint="eastAsia"/>
          <w:sz w:val="32"/>
          <w:szCs w:val="32"/>
        </w:rPr>
        <w:t>10.15</w:t>
      </w:r>
      <w:r>
        <w:rPr>
          <w:rFonts w:ascii="仿宋_GB2312" w:eastAsia="仿宋_GB2312" w:cs="DengXian-Regular" w:hint="eastAsia"/>
          <w:sz w:val="32"/>
          <w:szCs w:val="32"/>
        </w:rPr>
        <w:t>万元，占</w:t>
      </w:r>
      <w:r>
        <w:rPr>
          <w:rFonts w:ascii="仿宋_GB2312" w:eastAsia="仿宋_GB2312" w:cs="DengXian-Regular" w:hint="eastAsia"/>
          <w:sz w:val="32"/>
          <w:szCs w:val="32"/>
        </w:rPr>
        <w:t>2.</w:t>
      </w:r>
      <w:r>
        <w:rPr>
          <w:rFonts w:ascii="仿宋_GB2312" w:eastAsiaTheme="minorEastAsia" w:cs="DengXian-Regular" w:hint="eastAsia"/>
          <w:sz w:val="32"/>
          <w:szCs w:val="32"/>
        </w:rPr>
        <w:t>06</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550FEF" w:rsidRDefault="00550FEF">
      <w:pPr>
        <w:adjustRightInd w:val="0"/>
        <w:snapToGrid w:val="0"/>
        <w:spacing w:line="580" w:lineRule="exact"/>
        <w:ind w:firstLineChars="600" w:firstLine="1920"/>
        <w:rPr>
          <w:rFonts w:ascii="仿宋_GB2312" w:eastAsia="仿宋_GB2312" w:cs="DengXian-Regular"/>
          <w:sz w:val="32"/>
          <w:szCs w:val="32"/>
        </w:rPr>
      </w:pPr>
    </w:p>
    <w:p w:rsidR="00550FEF" w:rsidRDefault="00550FEF">
      <w:pPr>
        <w:adjustRightInd w:val="0"/>
        <w:snapToGrid w:val="0"/>
        <w:spacing w:line="580" w:lineRule="exact"/>
        <w:ind w:firstLineChars="600" w:firstLine="1920"/>
        <w:rPr>
          <w:rFonts w:ascii="仿宋_GB2312" w:eastAsia="仿宋_GB2312" w:cs="DengXian-Regular"/>
          <w:sz w:val="32"/>
          <w:szCs w:val="32"/>
        </w:rPr>
      </w:pPr>
    </w:p>
    <w:p w:rsidR="00550FEF" w:rsidRDefault="00094B62">
      <w:pPr>
        <w:adjustRightInd w:val="0"/>
        <w:snapToGrid w:val="0"/>
        <w:spacing w:line="580" w:lineRule="exact"/>
        <w:ind w:firstLineChars="600" w:firstLine="1920"/>
        <w:rPr>
          <w:rFonts w:ascii="仿宋_GB2312" w:eastAsia="仿宋_GB2312" w:cs="DengXian-Regular"/>
          <w:sz w:val="32"/>
          <w:szCs w:val="32"/>
        </w:rPr>
      </w:pPr>
      <w:r>
        <w:rPr>
          <w:rFonts w:ascii="仿宋_GB2312" w:eastAsia="仿宋_GB2312" w:cs="DengXian-Regular" w:hint="eastAsia"/>
          <w:noProof/>
          <w:sz w:val="32"/>
          <w:szCs w:val="32"/>
        </w:rPr>
        <w:drawing>
          <wp:anchor distT="0" distB="0" distL="114300" distR="114300" simplePos="0" relativeHeight="251674624" behindDoc="0" locked="0" layoutInCell="1" allowOverlap="1">
            <wp:simplePos x="0" y="0"/>
            <wp:positionH relativeFrom="column">
              <wp:posOffset>205740</wp:posOffset>
            </wp:positionH>
            <wp:positionV relativeFrom="paragraph">
              <wp:posOffset>74295</wp:posOffset>
            </wp:positionV>
            <wp:extent cx="4900930" cy="3006725"/>
            <wp:effectExtent l="5080" t="4445" r="8890" b="17780"/>
            <wp:wrapSquare wrapText="bothSides"/>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550FEF" w:rsidRDefault="00550FEF">
      <w:pPr>
        <w:adjustRightInd w:val="0"/>
        <w:snapToGrid w:val="0"/>
        <w:spacing w:line="580" w:lineRule="exact"/>
        <w:ind w:firstLineChars="600" w:firstLine="1920"/>
        <w:rPr>
          <w:rFonts w:ascii="仿宋_GB2312" w:eastAsia="仿宋_GB2312" w:cs="DengXian-Regular"/>
          <w:sz w:val="32"/>
          <w:szCs w:val="32"/>
        </w:rPr>
      </w:pPr>
    </w:p>
    <w:p w:rsidR="00550FEF" w:rsidRDefault="00550FEF">
      <w:pPr>
        <w:pStyle w:val="2"/>
        <w:spacing w:before="0" w:after="0" w:line="580" w:lineRule="exact"/>
        <w:rPr>
          <w:rFonts w:ascii="黑体" w:eastAsia="黑体"/>
        </w:rPr>
      </w:pPr>
    </w:p>
    <w:p w:rsidR="00550FEF" w:rsidRDefault="00550FEF">
      <w:pPr>
        <w:pStyle w:val="2"/>
        <w:spacing w:before="0" w:after="0" w:line="580" w:lineRule="exact"/>
        <w:rPr>
          <w:rFonts w:ascii="黑体" w:eastAsia="黑体"/>
          <w:b w:val="0"/>
          <w:bCs w:val="0"/>
        </w:rPr>
      </w:pPr>
    </w:p>
    <w:p w:rsidR="00550FEF" w:rsidRDefault="00094B62">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4</w:t>
      </w:r>
      <w:r>
        <w:rPr>
          <w:rFonts w:ascii="宋体" w:hAnsi="宋体" w:cs="宋体" w:hint="eastAsia"/>
          <w:sz w:val="32"/>
          <w:szCs w:val="32"/>
        </w:rPr>
        <w:t>9</w:t>
      </w:r>
      <w:r>
        <w:rPr>
          <w:rFonts w:ascii="仿宋_GB2312" w:eastAsia="仿宋_GB2312" w:cs="DengXian-Regular" w:hint="eastAsia"/>
          <w:sz w:val="32"/>
          <w:szCs w:val="32"/>
        </w:rPr>
        <w:t>0.53</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35</w:t>
      </w:r>
      <w:r>
        <w:rPr>
          <w:rFonts w:ascii="宋体" w:hAnsi="宋体" w:cs="宋体" w:hint="eastAsia"/>
          <w:sz w:val="32"/>
          <w:szCs w:val="32"/>
        </w:rPr>
        <w:t>9</w:t>
      </w:r>
      <w:r>
        <w:rPr>
          <w:rFonts w:ascii="仿宋_GB2312" w:eastAsia="仿宋_GB2312" w:cs="DengXian-Regular" w:hint="eastAsia"/>
          <w:sz w:val="32"/>
          <w:szCs w:val="32"/>
        </w:rPr>
        <w:t>.1</w:t>
      </w:r>
      <w:r>
        <w:rPr>
          <w:rFonts w:ascii="宋体" w:hAnsi="宋体" w:cs="宋体" w:hint="eastAsia"/>
          <w:sz w:val="32"/>
          <w:szCs w:val="32"/>
        </w:rPr>
        <w:t>9</w:t>
      </w:r>
      <w:r>
        <w:rPr>
          <w:rFonts w:ascii="仿宋_GB2312" w:eastAsia="仿宋_GB2312" w:cs="DengXian-Regular" w:hint="eastAsia"/>
          <w:sz w:val="32"/>
          <w:szCs w:val="32"/>
        </w:rPr>
        <w:t>万元，占</w:t>
      </w:r>
      <w:r>
        <w:rPr>
          <w:rFonts w:ascii="仿宋_GB2312" w:eastAsia="仿宋_GB2312" w:cs="DengXian-Regular" w:hint="eastAsia"/>
          <w:sz w:val="32"/>
          <w:szCs w:val="32"/>
        </w:rPr>
        <w:t>73.2%</w:t>
      </w:r>
      <w:r>
        <w:rPr>
          <w:rFonts w:ascii="仿宋_GB2312" w:eastAsia="仿宋_GB2312" w:cs="DengXian-Regular" w:hint="eastAsia"/>
          <w:sz w:val="32"/>
          <w:szCs w:val="32"/>
        </w:rPr>
        <w:t>；项目支出</w:t>
      </w:r>
      <w:r>
        <w:rPr>
          <w:rFonts w:ascii="仿宋_GB2312" w:eastAsia="仿宋_GB2312" w:cs="DengXian-Regular" w:hint="eastAsia"/>
          <w:sz w:val="32"/>
          <w:szCs w:val="32"/>
        </w:rPr>
        <w:t>131.34</w:t>
      </w:r>
      <w:r>
        <w:rPr>
          <w:rFonts w:ascii="仿宋_GB2312" w:eastAsia="仿宋_GB2312" w:cs="DengXian-Regular" w:hint="eastAsia"/>
          <w:sz w:val="32"/>
          <w:szCs w:val="32"/>
        </w:rPr>
        <w:t>万元，占</w:t>
      </w:r>
      <w:r>
        <w:rPr>
          <w:rFonts w:ascii="仿宋_GB2312" w:eastAsia="仿宋_GB2312" w:cs="DengXian-Regular" w:hint="eastAsia"/>
          <w:sz w:val="32"/>
          <w:szCs w:val="32"/>
        </w:rPr>
        <w:t>26.8%</w:t>
      </w:r>
      <w:r>
        <w:rPr>
          <w:rFonts w:ascii="仿宋_GB2312" w:eastAsia="仿宋_GB2312" w:cs="DengXian-Regular" w:hint="eastAsia"/>
          <w:sz w:val="32"/>
          <w:szCs w:val="32"/>
        </w:rPr>
        <w:t>；如图所示：</w:t>
      </w:r>
    </w:p>
    <w:p w:rsidR="00550FEF" w:rsidRDefault="00550FEF">
      <w:pPr>
        <w:pStyle w:val="2"/>
        <w:spacing w:before="0" w:after="0" w:line="580" w:lineRule="exact"/>
        <w:ind w:firstLineChars="200" w:firstLine="643"/>
        <w:rPr>
          <w:rFonts w:ascii="黑体" w:eastAsia="黑体"/>
        </w:rPr>
      </w:pPr>
    </w:p>
    <w:p w:rsidR="00550FEF" w:rsidRDefault="00094B62">
      <w:pPr>
        <w:pStyle w:val="2"/>
        <w:spacing w:before="0" w:after="0" w:line="580" w:lineRule="exact"/>
        <w:ind w:firstLineChars="200" w:firstLine="643"/>
        <w:rPr>
          <w:rFonts w:ascii="黑体" w:eastAsia="黑体"/>
        </w:rPr>
      </w:pPr>
      <w:r>
        <w:rPr>
          <w:noProof/>
        </w:rPr>
        <w:lastRenderedPageBreak/>
        <w:drawing>
          <wp:anchor distT="0" distB="0" distL="114300" distR="114300" simplePos="0" relativeHeight="251670528" behindDoc="1" locked="0" layoutInCell="1" allowOverlap="1">
            <wp:simplePos x="0" y="0"/>
            <wp:positionH relativeFrom="margin">
              <wp:posOffset>659130</wp:posOffset>
            </wp:positionH>
            <wp:positionV relativeFrom="margin">
              <wp:posOffset>467360</wp:posOffset>
            </wp:positionV>
            <wp:extent cx="4592955" cy="3093720"/>
            <wp:effectExtent l="4445" t="5080" r="12700" b="6350"/>
            <wp:wrapTight wrapText="bothSides">
              <wp:wrapPolygon edited="0">
                <wp:start x="-21" y="-35"/>
                <wp:lineTo x="-21" y="21511"/>
                <wp:lineTo x="21570" y="21511"/>
                <wp:lineTo x="21570" y="-35"/>
                <wp:lineTo x="-21" y="-35"/>
              </wp:wrapPolygon>
            </wp:wrapTight>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550FEF" w:rsidRDefault="00550FEF">
      <w:pPr>
        <w:pStyle w:val="2"/>
        <w:spacing w:before="0" w:after="0" w:line="580" w:lineRule="exact"/>
        <w:rPr>
          <w:rFonts w:ascii="黑体" w:eastAsia="黑体"/>
          <w:b w:val="0"/>
          <w:bCs w:val="0"/>
        </w:rPr>
      </w:pPr>
    </w:p>
    <w:p w:rsidR="00550FEF" w:rsidRDefault="00550FEF">
      <w:pPr>
        <w:pStyle w:val="2"/>
        <w:spacing w:before="0" w:after="0" w:line="580" w:lineRule="exact"/>
        <w:ind w:firstLineChars="200" w:firstLine="640"/>
        <w:rPr>
          <w:rFonts w:ascii="黑体" w:eastAsia="黑体"/>
          <w:b w:val="0"/>
          <w:bCs w:val="0"/>
        </w:rPr>
      </w:pPr>
    </w:p>
    <w:p w:rsidR="00550FEF" w:rsidRDefault="00550FEF">
      <w:pPr>
        <w:pStyle w:val="2"/>
        <w:spacing w:before="0" w:after="0" w:line="580" w:lineRule="exact"/>
        <w:ind w:firstLineChars="200" w:firstLine="640"/>
        <w:rPr>
          <w:rFonts w:ascii="黑体" w:eastAsia="黑体"/>
          <w:b w:val="0"/>
          <w:bCs w:val="0"/>
        </w:rPr>
      </w:pPr>
    </w:p>
    <w:p w:rsidR="00550FEF" w:rsidRDefault="00550FEF">
      <w:pPr>
        <w:pStyle w:val="2"/>
        <w:spacing w:before="0" w:after="0" w:line="580" w:lineRule="exact"/>
        <w:ind w:firstLineChars="200" w:firstLine="640"/>
        <w:rPr>
          <w:rFonts w:ascii="黑体" w:eastAsia="黑体"/>
          <w:b w:val="0"/>
          <w:bCs w:val="0"/>
        </w:rPr>
      </w:pPr>
    </w:p>
    <w:p w:rsidR="00550FEF" w:rsidRDefault="00550FEF">
      <w:pPr>
        <w:pStyle w:val="2"/>
        <w:spacing w:before="0" w:after="0" w:line="580" w:lineRule="exact"/>
        <w:ind w:firstLineChars="200" w:firstLine="640"/>
        <w:rPr>
          <w:rFonts w:ascii="黑体" w:eastAsia="黑体"/>
          <w:b w:val="0"/>
          <w:bCs w:val="0"/>
        </w:rPr>
      </w:pPr>
    </w:p>
    <w:p w:rsidR="00550FEF" w:rsidRDefault="00094B62">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550FEF" w:rsidRDefault="00094B62">
      <w:pPr>
        <w:spacing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宋体" w:hAnsi="宋体" w:cs="宋体" w:hint="eastAsia"/>
          <w:b/>
          <w:bCs/>
          <w:sz w:val="32"/>
          <w:szCs w:val="32"/>
        </w:rPr>
        <w:t>2017</w:t>
      </w:r>
      <w:r>
        <w:rPr>
          <w:rFonts w:ascii="楷体_GB2312" w:eastAsia="楷体_GB2312" w:cs="DengXian-Bold" w:hint="eastAsia"/>
          <w:b/>
          <w:bCs/>
          <w:sz w:val="32"/>
          <w:szCs w:val="32"/>
        </w:rPr>
        <w:t xml:space="preserve"> </w:t>
      </w:r>
      <w:r>
        <w:rPr>
          <w:rFonts w:ascii="楷体_GB2312" w:eastAsia="楷体_GB2312" w:cs="DengXian-Bold" w:hint="eastAsia"/>
          <w:b/>
          <w:bCs/>
          <w:sz w:val="32"/>
          <w:szCs w:val="32"/>
        </w:rPr>
        <w:t>年度决算对比情况</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年度形成的财政拨款收支均为一般公共预算财政拨款，其中一般公共预算财政拨款本年收入</w:t>
      </w:r>
      <w:r>
        <w:rPr>
          <w:rFonts w:ascii="仿宋_GB2312" w:eastAsia="仿宋_GB2312" w:cs="DengXian-Regular" w:hint="eastAsia"/>
          <w:sz w:val="32"/>
          <w:szCs w:val="32"/>
        </w:rPr>
        <w:t>482.51</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年度增加</w:t>
      </w:r>
      <w:r>
        <w:rPr>
          <w:rFonts w:ascii="仿宋_GB2312" w:eastAsia="仿宋_GB2312" w:cs="DengXian-Regular" w:hint="eastAsia"/>
          <w:sz w:val="32"/>
          <w:szCs w:val="32"/>
        </w:rPr>
        <w:t>54.86</w:t>
      </w:r>
      <w:r>
        <w:rPr>
          <w:rFonts w:ascii="仿宋_GB2312" w:eastAsia="仿宋_GB2312" w:cs="DengXian-Regular" w:hint="eastAsia"/>
          <w:sz w:val="32"/>
          <w:szCs w:val="32"/>
        </w:rPr>
        <w:t>万元，增长</w:t>
      </w:r>
      <w:r>
        <w:rPr>
          <w:rFonts w:ascii="仿宋_GB2312" w:eastAsia="仿宋_GB2312" w:cs="DengXian-Regular" w:hint="eastAsia"/>
          <w:sz w:val="32"/>
          <w:szCs w:val="32"/>
        </w:rPr>
        <w:t>112.8%</w:t>
      </w:r>
      <w:r>
        <w:rPr>
          <w:rFonts w:ascii="仿宋_GB2312" w:eastAsia="仿宋_GB2312" w:cs="DengXian-Regular" w:hint="eastAsia"/>
          <w:sz w:val="32"/>
          <w:szCs w:val="32"/>
        </w:rPr>
        <w:t>，主要是人员经费增加；本年支出</w:t>
      </w:r>
      <w:r>
        <w:rPr>
          <w:rFonts w:ascii="仿宋_GB2312" w:eastAsia="仿宋_GB2312" w:cs="DengXian-Regular" w:hint="eastAsia"/>
          <w:sz w:val="32"/>
          <w:szCs w:val="32"/>
        </w:rPr>
        <w:t>482.51</w:t>
      </w:r>
      <w:r>
        <w:rPr>
          <w:rFonts w:ascii="仿宋_GB2312" w:eastAsia="仿宋_GB2312" w:cs="DengXian-Regular" w:hint="eastAsia"/>
          <w:sz w:val="32"/>
          <w:szCs w:val="32"/>
        </w:rPr>
        <w:t>万元，增加</w:t>
      </w:r>
      <w:r>
        <w:rPr>
          <w:rFonts w:ascii="仿宋_GB2312" w:eastAsia="仿宋_GB2312" w:cs="DengXian-Regular" w:hint="eastAsia"/>
          <w:sz w:val="32"/>
          <w:szCs w:val="32"/>
        </w:rPr>
        <w:t>28.86</w:t>
      </w:r>
      <w:r>
        <w:rPr>
          <w:rFonts w:ascii="仿宋_GB2312" w:eastAsia="仿宋_GB2312" w:cs="DengXian-Regular" w:hint="eastAsia"/>
          <w:sz w:val="32"/>
          <w:szCs w:val="32"/>
        </w:rPr>
        <w:t>万元，增长</w:t>
      </w:r>
      <w:r>
        <w:rPr>
          <w:rFonts w:ascii="仿宋_GB2312" w:eastAsia="仿宋_GB2312" w:cs="DengXian-Regular" w:hint="eastAsia"/>
          <w:sz w:val="32"/>
          <w:szCs w:val="32"/>
        </w:rPr>
        <w:t>106.4%</w:t>
      </w:r>
      <w:r>
        <w:rPr>
          <w:rFonts w:ascii="仿宋_GB2312" w:eastAsia="仿宋_GB2312" w:cs="DengXian-Regular" w:hint="eastAsia"/>
          <w:sz w:val="32"/>
          <w:szCs w:val="32"/>
        </w:rPr>
        <w:t>，主要是人员经费增加。</w:t>
      </w:r>
    </w:p>
    <w:p w:rsidR="00550FEF" w:rsidRDefault="00094B62">
      <w:pPr>
        <w:adjustRightInd w:val="0"/>
        <w:snapToGrid w:val="0"/>
        <w:spacing w:line="580" w:lineRule="exact"/>
        <w:ind w:firstLineChars="200" w:firstLine="420"/>
        <w:rPr>
          <w:rFonts w:ascii="仿宋_GB2312" w:eastAsia="仿宋_GB2312" w:cs="DengXian-Regular"/>
          <w:sz w:val="32"/>
          <w:szCs w:val="32"/>
        </w:rPr>
      </w:pPr>
      <w:r>
        <w:rPr>
          <w:noProof/>
        </w:rPr>
        <w:drawing>
          <wp:anchor distT="0" distB="0" distL="114300" distR="114300" simplePos="0" relativeHeight="251672576" behindDoc="0" locked="0" layoutInCell="1" allowOverlap="1">
            <wp:simplePos x="0" y="0"/>
            <wp:positionH relativeFrom="column">
              <wp:posOffset>344170</wp:posOffset>
            </wp:positionH>
            <wp:positionV relativeFrom="paragraph">
              <wp:posOffset>368300</wp:posOffset>
            </wp:positionV>
            <wp:extent cx="4572000" cy="2030730"/>
            <wp:effectExtent l="5080" t="4445" r="13970" b="22225"/>
            <wp:wrapSquare wrapText="bothSides"/>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550FEF" w:rsidRDefault="00550FEF">
      <w:pPr>
        <w:adjustRightInd w:val="0"/>
        <w:snapToGrid w:val="0"/>
        <w:spacing w:line="580" w:lineRule="exact"/>
        <w:ind w:firstLineChars="200" w:firstLine="640"/>
        <w:rPr>
          <w:rFonts w:ascii="仿宋_GB2312" w:eastAsia="仿宋_GB2312" w:cs="DengXian-Regular"/>
          <w:sz w:val="32"/>
          <w:szCs w:val="32"/>
        </w:rPr>
      </w:pPr>
    </w:p>
    <w:p w:rsidR="00550FEF" w:rsidRDefault="00550FEF">
      <w:pPr>
        <w:adjustRightInd w:val="0"/>
        <w:snapToGrid w:val="0"/>
        <w:spacing w:line="580" w:lineRule="exact"/>
        <w:ind w:firstLineChars="200" w:firstLine="640"/>
        <w:rPr>
          <w:rFonts w:ascii="仿宋_GB2312" w:eastAsia="仿宋_GB2312" w:cs="DengXian-Regular"/>
          <w:sz w:val="32"/>
          <w:szCs w:val="32"/>
        </w:rPr>
      </w:pPr>
    </w:p>
    <w:p w:rsidR="00550FEF" w:rsidRDefault="00550FEF">
      <w:pPr>
        <w:adjustRightInd w:val="0"/>
        <w:snapToGrid w:val="0"/>
        <w:spacing w:line="580" w:lineRule="exact"/>
        <w:ind w:firstLineChars="200" w:firstLine="640"/>
        <w:rPr>
          <w:rFonts w:ascii="仿宋_GB2312" w:eastAsia="仿宋_GB2312" w:cs="DengXian-Regular"/>
          <w:sz w:val="32"/>
          <w:szCs w:val="32"/>
        </w:rPr>
      </w:pPr>
    </w:p>
    <w:p w:rsidR="00550FEF" w:rsidRDefault="00550FEF">
      <w:pPr>
        <w:adjustRightInd w:val="0"/>
        <w:snapToGrid w:val="0"/>
        <w:spacing w:line="580" w:lineRule="exact"/>
        <w:ind w:firstLineChars="200" w:firstLine="640"/>
        <w:rPr>
          <w:rFonts w:ascii="仿宋_GB2312" w:eastAsia="仿宋_GB2312" w:cs="DengXian-Regular"/>
          <w:sz w:val="32"/>
          <w:szCs w:val="32"/>
        </w:rPr>
      </w:pPr>
    </w:p>
    <w:p w:rsidR="00550FEF" w:rsidRDefault="00550FEF">
      <w:pPr>
        <w:adjustRightInd w:val="0"/>
        <w:snapToGrid w:val="0"/>
        <w:spacing w:line="580" w:lineRule="exact"/>
        <w:ind w:firstLineChars="200" w:firstLine="640"/>
        <w:rPr>
          <w:rFonts w:ascii="仿宋_GB2312" w:eastAsia="仿宋_GB2312" w:cs="DengXian-Regular"/>
          <w:sz w:val="32"/>
          <w:szCs w:val="32"/>
        </w:rPr>
      </w:pPr>
    </w:p>
    <w:p w:rsidR="00550FEF" w:rsidRDefault="00550FEF">
      <w:pPr>
        <w:adjustRightInd w:val="0"/>
        <w:snapToGrid w:val="0"/>
        <w:spacing w:line="580" w:lineRule="exact"/>
        <w:ind w:firstLineChars="200" w:firstLine="640"/>
        <w:rPr>
          <w:rFonts w:ascii="仿宋_GB2312" w:eastAsiaTheme="minorEastAsia" w:cs="DengXian-Regular"/>
          <w:sz w:val="32"/>
          <w:szCs w:val="32"/>
        </w:rPr>
      </w:pPr>
    </w:p>
    <w:p w:rsidR="00550FEF" w:rsidRDefault="00550FEF">
      <w:pPr>
        <w:adjustRightInd w:val="0"/>
        <w:snapToGrid w:val="0"/>
        <w:spacing w:line="580" w:lineRule="exact"/>
        <w:ind w:firstLineChars="200" w:firstLine="640"/>
        <w:jc w:val="left"/>
        <w:rPr>
          <w:rFonts w:asciiTheme="majorEastAsia" w:eastAsiaTheme="majorEastAsia" w:hAnsiTheme="majorEastAsia" w:cs="DengXian-Regular"/>
          <w:sz w:val="32"/>
          <w:szCs w:val="32"/>
        </w:rPr>
      </w:pPr>
    </w:p>
    <w:p w:rsidR="00550FEF" w:rsidRDefault="00094B62">
      <w:pPr>
        <w:spacing w:line="580" w:lineRule="exact"/>
        <w:ind w:firstLineChars="100" w:firstLine="321"/>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482.51</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79.9%,</w:t>
      </w:r>
      <w:r>
        <w:rPr>
          <w:rFonts w:ascii="仿宋_GB2312" w:eastAsia="仿宋_GB2312" w:cs="DengXian-Regular" w:hint="eastAsia"/>
          <w:sz w:val="32"/>
          <w:szCs w:val="32"/>
        </w:rPr>
        <w:t>比年初预算减少</w:t>
      </w:r>
      <w:r>
        <w:rPr>
          <w:rFonts w:ascii="仿宋_GB2312" w:eastAsia="仿宋_GB2312" w:cs="DengXian-Regular" w:hint="eastAsia"/>
          <w:sz w:val="32"/>
          <w:szCs w:val="32"/>
        </w:rPr>
        <w:t>121.49</w:t>
      </w:r>
      <w:r>
        <w:rPr>
          <w:rFonts w:ascii="仿宋_GB2312" w:eastAsia="仿宋_GB2312" w:cs="DengXian-Regular" w:hint="eastAsia"/>
          <w:sz w:val="32"/>
          <w:szCs w:val="32"/>
        </w:rPr>
        <w:t>万元，决算数小于预算数主要原因是有结余；本年支出</w:t>
      </w:r>
      <w:r>
        <w:rPr>
          <w:rFonts w:ascii="仿宋_GB2312" w:eastAsia="仿宋_GB2312" w:cs="DengXian-Regular" w:hint="eastAsia"/>
          <w:sz w:val="32"/>
          <w:szCs w:val="32"/>
        </w:rPr>
        <w:t>482.51</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79.9%,</w:t>
      </w:r>
      <w:r>
        <w:rPr>
          <w:rFonts w:ascii="仿宋_GB2312" w:eastAsia="仿宋_GB2312" w:cs="DengXian-Regular" w:hint="eastAsia"/>
          <w:sz w:val="32"/>
          <w:szCs w:val="32"/>
        </w:rPr>
        <w:t>比年初预算减少</w:t>
      </w:r>
      <w:r>
        <w:rPr>
          <w:rFonts w:ascii="仿宋_GB2312" w:eastAsia="仿宋_GB2312" w:cs="DengXian-Regular" w:hint="eastAsia"/>
          <w:sz w:val="32"/>
          <w:szCs w:val="32"/>
        </w:rPr>
        <w:t>121.49</w:t>
      </w:r>
      <w:r>
        <w:rPr>
          <w:rFonts w:ascii="仿宋_GB2312" w:eastAsia="仿宋_GB2312" w:cs="DengXian-Regular" w:hint="eastAsia"/>
          <w:sz w:val="32"/>
          <w:szCs w:val="32"/>
        </w:rPr>
        <w:t>万元，决算数小于预算数主要原因是压缩开支。</w:t>
      </w:r>
    </w:p>
    <w:p w:rsidR="00550FEF" w:rsidRDefault="00094B62">
      <w:pPr>
        <w:adjustRightInd w:val="0"/>
        <w:snapToGrid w:val="0"/>
        <w:spacing w:line="580" w:lineRule="exact"/>
        <w:ind w:firstLineChars="200" w:firstLine="420"/>
        <w:rPr>
          <w:rFonts w:ascii="仿宋_GB2312" w:eastAsia="仿宋_GB2312" w:cs="DengXian-Regular"/>
          <w:sz w:val="32"/>
          <w:szCs w:val="32"/>
          <w:highlight w:val="yellow"/>
        </w:rPr>
      </w:pPr>
      <w:r>
        <w:rPr>
          <w:noProof/>
        </w:rPr>
        <w:drawing>
          <wp:anchor distT="0" distB="0" distL="114300" distR="114300" simplePos="0" relativeHeight="251673600" behindDoc="0" locked="0" layoutInCell="1" allowOverlap="1">
            <wp:simplePos x="0" y="0"/>
            <wp:positionH relativeFrom="column">
              <wp:posOffset>363220</wp:posOffset>
            </wp:positionH>
            <wp:positionV relativeFrom="paragraph">
              <wp:posOffset>78105</wp:posOffset>
            </wp:positionV>
            <wp:extent cx="4572000" cy="3008630"/>
            <wp:effectExtent l="4445" t="4445" r="14605" b="15875"/>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550FEF">
      <w:pPr>
        <w:adjustRightInd w:val="0"/>
        <w:snapToGrid w:val="0"/>
        <w:spacing w:line="580" w:lineRule="exact"/>
        <w:ind w:firstLineChars="200" w:firstLine="640"/>
        <w:rPr>
          <w:rFonts w:ascii="仿宋_GB2312" w:eastAsia="仿宋_GB2312" w:cs="DengXian-Regular"/>
          <w:sz w:val="32"/>
          <w:szCs w:val="32"/>
          <w:highlight w:val="yellow"/>
        </w:rPr>
      </w:pPr>
    </w:p>
    <w:p w:rsidR="00550FEF" w:rsidRDefault="00094B62">
      <w:pPr>
        <w:numPr>
          <w:ilvl w:val="0"/>
          <w:numId w:val="1"/>
        </w:numPr>
        <w:adjustRightInd w:val="0"/>
        <w:snapToGrid w:val="0"/>
        <w:spacing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482.51</w:t>
      </w:r>
      <w:r>
        <w:rPr>
          <w:rFonts w:ascii="仿宋_GB2312" w:eastAsia="仿宋_GB2312" w:cs="DengXian-Regular" w:hint="eastAsia"/>
          <w:sz w:val="32"/>
          <w:szCs w:val="32"/>
        </w:rPr>
        <w:t>万元，主要用于以下方面：社会保障和就业（类）支出</w:t>
      </w:r>
      <w:r>
        <w:rPr>
          <w:rFonts w:ascii="仿宋_GB2312" w:eastAsia="仿宋_GB2312" w:cs="DengXian-Regular" w:hint="eastAsia"/>
          <w:sz w:val="32"/>
          <w:szCs w:val="32"/>
        </w:rPr>
        <w:t xml:space="preserve"> 7.46</w:t>
      </w:r>
      <w:r>
        <w:rPr>
          <w:rFonts w:ascii="仿宋_GB2312" w:eastAsia="仿宋_GB2312" w:cs="DengXian-Regular" w:hint="eastAsia"/>
          <w:sz w:val="32"/>
          <w:szCs w:val="32"/>
        </w:rPr>
        <w:t>万元，占</w:t>
      </w:r>
      <w:r>
        <w:rPr>
          <w:rFonts w:ascii="仿宋_GB2312" w:eastAsia="仿宋_GB2312" w:cs="DengXian-Regular" w:hint="eastAsia"/>
          <w:sz w:val="32"/>
          <w:szCs w:val="32"/>
        </w:rPr>
        <w:t>1.55%</w:t>
      </w:r>
      <w:r>
        <w:rPr>
          <w:rFonts w:ascii="仿宋_GB2312" w:eastAsia="仿宋_GB2312" w:cs="DengXian-Regular" w:hint="eastAsia"/>
          <w:sz w:val="32"/>
          <w:szCs w:val="32"/>
        </w:rPr>
        <w:t>；医疗卫生与</w:t>
      </w:r>
      <w:r>
        <w:rPr>
          <w:rFonts w:ascii="仿宋_GB2312" w:eastAsia="仿宋_GB2312" w:cs="DengXian-Regular" w:hint="eastAsia"/>
          <w:sz w:val="32"/>
          <w:szCs w:val="32"/>
        </w:rPr>
        <w:lastRenderedPageBreak/>
        <w:t>计划生育支出</w:t>
      </w:r>
      <w:r>
        <w:rPr>
          <w:rFonts w:ascii="仿宋_GB2312" w:eastAsia="仿宋_GB2312" w:cs="DengXian-Regular" w:hint="eastAsia"/>
          <w:sz w:val="32"/>
          <w:szCs w:val="32"/>
        </w:rPr>
        <w:t>475.05</w:t>
      </w:r>
      <w:r>
        <w:rPr>
          <w:rFonts w:ascii="仿宋_GB2312" w:eastAsia="仿宋_GB2312" w:cs="DengXian-Regular" w:hint="eastAsia"/>
          <w:sz w:val="32"/>
          <w:szCs w:val="32"/>
        </w:rPr>
        <w:t>万元，占</w:t>
      </w:r>
      <w:r>
        <w:rPr>
          <w:rFonts w:ascii="宋体" w:hAnsi="宋体" w:cs="宋体" w:hint="eastAsia"/>
          <w:sz w:val="32"/>
          <w:szCs w:val="32"/>
        </w:rPr>
        <w:t>9</w:t>
      </w:r>
      <w:r>
        <w:rPr>
          <w:rFonts w:ascii="仿宋_GB2312" w:eastAsia="仿宋_GB2312" w:cs="DengXian-Regular" w:hint="eastAsia"/>
          <w:sz w:val="32"/>
          <w:szCs w:val="32"/>
        </w:rPr>
        <w:t>8.45%</w:t>
      </w:r>
      <w:r>
        <w:rPr>
          <w:rFonts w:ascii="仿宋_GB2312" w:eastAsia="仿宋_GB2312" w:cs="DengXian-Regular" w:hint="eastAsia"/>
          <w:sz w:val="32"/>
          <w:szCs w:val="32"/>
        </w:rPr>
        <w:t>。</w:t>
      </w:r>
    </w:p>
    <w:p w:rsidR="00550FEF" w:rsidRDefault="00094B62">
      <w:pPr>
        <w:adjustRightInd w:val="0"/>
        <w:snapToGrid w:val="0"/>
        <w:spacing w:line="580" w:lineRule="exact"/>
        <w:rPr>
          <w:rFonts w:ascii="楷体_GB2312" w:eastAsia="楷体_GB2312" w:cs="DengXian-Bold"/>
          <w:b/>
          <w:bCs/>
          <w:sz w:val="32"/>
          <w:szCs w:val="32"/>
        </w:rPr>
      </w:pPr>
      <w:r>
        <w:rPr>
          <w:rFonts w:ascii="楷体_GB2312" w:eastAsia="楷体_GB2312" w:cs="DengXian-Bold"/>
          <w:b/>
          <w:bCs/>
          <w:noProof/>
          <w:sz w:val="32"/>
          <w:szCs w:val="32"/>
        </w:rPr>
        <w:drawing>
          <wp:anchor distT="0" distB="0" distL="114300" distR="114300" simplePos="0" relativeHeight="251671552" behindDoc="0" locked="0" layoutInCell="1" allowOverlap="1">
            <wp:simplePos x="0" y="0"/>
            <wp:positionH relativeFrom="margin">
              <wp:posOffset>897890</wp:posOffset>
            </wp:positionH>
            <wp:positionV relativeFrom="margin">
              <wp:posOffset>970915</wp:posOffset>
            </wp:positionV>
            <wp:extent cx="3752850" cy="3713480"/>
            <wp:effectExtent l="4445" t="4445" r="14605" b="15875"/>
            <wp:wrapSquare wrapText="bothSides"/>
            <wp:docPr id="18" name="图表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550FEF" w:rsidRDefault="00550FEF">
      <w:pPr>
        <w:adjustRightInd w:val="0"/>
        <w:snapToGrid w:val="0"/>
        <w:spacing w:line="580" w:lineRule="exact"/>
        <w:rPr>
          <w:rFonts w:ascii="楷体_GB2312" w:eastAsia="楷体_GB2312" w:cs="DengXian-Bold"/>
          <w:b/>
          <w:bCs/>
          <w:sz w:val="32"/>
          <w:szCs w:val="32"/>
        </w:rPr>
      </w:pPr>
    </w:p>
    <w:p w:rsidR="00550FEF" w:rsidRDefault="00550FEF">
      <w:pPr>
        <w:adjustRightInd w:val="0"/>
        <w:snapToGrid w:val="0"/>
        <w:spacing w:line="580" w:lineRule="exact"/>
        <w:rPr>
          <w:rFonts w:ascii="楷体_GB2312" w:eastAsia="楷体_GB2312" w:cs="DengXian-Bold"/>
          <w:b/>
          <w:bCs/>
          <w:sz w:val="32"/>
          <w:szCs w:val="32"/>
        </w:rPr>
      </w:pPr>
    </w:p>
    <w:p w:rsidR="00550FEF" w:rsidRDefault="00550FEF">
      <w:pPr>
        <w:adjustRightInd w:val="0"/>
        <w:snapToGrid w:val="0"/>
        <w:spacing w:line="580" w:lineRule="exact"/>
        <w:rPr>
          <w:rFonts w:ascii="楷体_GB2312" w:eastAsia="楷体_GB2312" w:cs="DengXian-Bold"/>
          <w:b/>
          <w:bCs/>
          <w:sz w:val="32"/>
          <w:szCs w:val="32"/>
        </w:rPr>
      </w:pPr>
    </w:p>
    <w:p w:rsidR="00550FEF" w:rsidRDefault="00550FEF">
      <w:pPr>
        <w:adjustRightInd w:val="0"/>
        <w:snapToGrid w:val="0"/>
        <w:spacing w:line="580" w:lineRule="exact"/>
        <w:ind w:leftChars="200" w:left="420"/>
        <w:rPr>
          <w:rFonts w:ascii="楷体_GB2312" w:eastAsia="楷体_GB2312" w:cs="DengXian-Bold"/>
          <w:b/>
          <w:bCs/>
          <w:sz w:val="32"/>
          <w:szCs w:val="32"/>
        </w:rPr>
      </w:pPr>
    </w:p>
    <w:p w:rsidR="00550FEF" w:rsidRDefault="00550FEF">
      <w:pPr>
        <w:adjustRightInd w:val="0"/>
        <w:snapToGrid w:val="0"/>
        <w:spacing w:line="580" w:lineRule="exact"/>
        <w:ind w:leftChars="200" w:left="420"/>
        <w:rPr>
          <w:rFonts w:ascii="楷体_GB2312" w:eastAsia="楷体_GB2312" w:cs="DengXian-Bold"/>
          <w:b/>
          <w:bCs/>
          <w:sz w:val="32"/>
          <w:szCs w:val="32"/>
        </w:rPr>
      </w:pPr>
    </w:p>
    <w:p w:rsidR="00550FEF" w:rsidRDefault="00550FEF">
      <w:pPr>
        <w:adjustRightInd w:val="0"/>
        <w:snapToGrid w:val="0"/>
        <w:spacing w:line="580" w:lineRule="exact"/>
        <w:rPr>
          <w:rFonts w:ascii="楷体_GB2312" w:eastAsiaTheme="minorEastAsia" w:cs="DengXian-Bold"/>
          <w:b/>
          <w:bCs/>
          <w:sz w:val="32"/>
          <w:szCs w:val="32"/>
        </w:rPr>
      </w:pPr>
    </w:p>
    <w:p w:rsidR="00550FEF" w:rsidRDefault="00550FEF">
      <w:pPr>
        <w:adjustRightInd w:val="0"/>
        <w:snapToGrid w:val="0"/>
        <w:spacing w:line="580" w:lineRule="exact"/>
        <w:ind w:leftChars="200" w:left="420"/>
        <w:rPr>
          <w:rFonts w:ascii="楷体_GB2312" w:eastAsiaTheme="minorEastAsia" w:cs="DengXian-Bold"/>
          <w:b/>
          <w:bCs/>
          <w:sz w:val="32"/>
          <w:szCs w:val="32"/>
        </w:rPr>
      </w:pPr>
    </w:p>
    <w:p w:rsidR="00550FEF" w:rsidRDefault="00550FEF">
      <w:pPr>
        <w:adjustRightInd w:val="0"/>
        <w:snapToGrid w:val="0"/>
        <w:spacing w:line="580" w:lineRule="exact"/>
        <w:ind w:leftChars="200" w:left="420"/>
        <w:rPr>
          <w:rFonts w:ascii="楷体_GB2312" w:eastAsiaTheme="minorEastAsia" w:cs="DengXian-Bold"/>
          <w:b/>
          <w:bCs/>
          <w:sz w:val="32"/>
          <w:szCs w:val="32"/>
        </w:rPr>
      </w:pPr>
    </w:p>
    <w:p w:rsidR="00550FEF" w:rsidRDefault="00550FEF">
      <w:pPr>
        <w:adjustRightInd w:val="0"/>
        <w:snapToGrid w:val="0"/>
        <w:spacing w:line="580" w:lineRule="exact"/>
        <w:ind w:leftChars="200" w:left="420"/>
        <w:rPr>
          <w:rFonts w:ascii="楷体_GB2312" w:eastAsia="楷体_GB2312" w:cs="DengXian-Bold"/>
          <w:b/>
          <w:bCs/>
          <w:sz w:val="32"/>
          <w:szCs w:val="32"/>
        </w:rPr>
      </w:pPr>
    </w:p>
    <w:p w:rsidR="00550FEF" w:rsidRDefault="00550FEF">
      <w:pPr>
        <w:adjustRightInd w:val="0"/>
        <w:snapToGrid w:val="0"/>
        <w:spacing w:line="580" w:lineRule="exact"/>
        <w:ind w:leftChars="200" w:left="420"/>
        <w:rPr>
          <w:rFonts w:ascii="楷体_GB2312" w:eastAsia="楷体_GB2312" w:cs="DengXian-Bold"/>
          <w:b/>
          <w:bCs/>
          <w:sz w:val="32"/>
          <w:szCs w:val="32"/>
        </w:rPr>
      </w:pPr>
    </w:p>
    <w:p w:rsidR="00550FEF" w:rsidRDefault="00550FEF">
      <w:pPr>
        <w:adjustRightInd w:val="0"/>
        <w:snapToGrid w:val="0"/>
        <w:spacing w:line="580" w:lineRule="exact"/>
        <w:ind w:leftChars="200" w:left="420"/>
        <w:rPr>
          <w:rFonts w:ascii="楷体_GB2312" w:eastAsia="楷体_GB2312" w:cs="DengXian-Bold"/>
          <w:b/>
          <w:bCs/>
          <w:sz w:val="32"/>
          <w:szCs w:val="32"/>
        </w:rPr>
      </w:pPr>
    </w:p>
    <w:p w:rsidR="00550FEF" w:rsidRDefault="00550FEF">
      <w:pPr>
        <w:adjustRightInd w:val="0"/>
        <w:snapToGrid w:val="0"/>
        <w:spacing w:line="580" w:lineRule="exact"/>
        <w:ind w:leftChars="200" w:left="420"/>
        <w:rPr>
          <w:rFonts w:ascii="楷体_GB2312" w:eastAsia="楷体_GB2312" w:cs="DengXian-Bold"/>
          <w:b/>
          <w:bCs/>
          <w:sz w:val="32"/>
          <w:szCs w:val="32"/>
        </w:rPr>
      </w:pPr>
    </w:p>
    <w:p w:rsidR="00550FEF" w:rsidRDefault="00094B62">
      <w:pPr>
        <w:adjustRightInd w:val="0"/>
        <w:snapToGrid w:val="0"/>
        <w:spacing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（四）一般公共预算财政拨款基本支出决算情况说明</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358.49</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 xml:space="preserve"> 309.51</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w:t>
      </w:r>
      <w:r>
        <w:rPr>
          <w:rFonts w:ascii="仿宋_GB2312" w:eastAsia="仿宋_GB2312" w:cs="DengXian-Regular" w:hint="eastAsia"/>
          <w:sz w:val="32"/>
          <w:szCs w:val="32"/>
        </w:rPr>
        <w:lastRenderedPageBreak/>
        <w:t>他对个人和家庭的补助支出；公用经费</w:t>
      </w:r>
      <w:r>
        <w:rPr>
          <w:rFonts w:ascii="仿宋_GB2312" w:eastAsia="仿宋_GB2312" w:cs="DengXian-Regular" w:hint="eastAsia"/>
          <w:sz w:val="32"/>
          <w:szCs w:val="32"/>
        </w:rPr>
        <w:t xml:space="preserve"> 48.98</w:t>
      </w:r>
      <w:r>
        <w:rPr>
          <w:rFonts w:ascii="仿宋_GB2312" w:eastAsia="仿宋_GB2312" w:cs="DengXian-Regular" w:hint="eastAsia"/>
          <w:sz w:val="32"/>
          <w:szCs w:val="32"/>
        </w:rPr>
        <w:t>万元，主要包括办公费、印刷费、咨询费、手续费、水费、电费、</w:t>
      </w:r>
      <w:r>
        <w:rPr>
          <w:rFonts w:ascii="仿宋_GB2312" w:eastAsia="仿宋_GB2312" w:cs="DengXian-Regular" w:hint="eastAsia"/>
          <w:sz w:val="32"/>
          <w:szCs w:val="32"/>
        </w:rPr>
        <w:t>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550FEF" w:rsidRDefault="00094B62">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6</w:t>
      </w:r>
      <w:r>
        <w:rPr>
          <w:rFonts w:ascii="仿宋_GB2312" w:eastAsia="仿宋_GB2312" w:cs="DengXian-Regular" w:hint="eastAsia"/>
          <w:sz w:val="32"/>
          <w:szCs w:val="32"/>
        </w:rPr>
        <w:t>万元，较年</w:t>
      </w:r>
      <w:r w:rsidR="005D188D">
        <w:rPr>
          <w:rFonts w:ascii="仿宋_GB2312" w:eastAsia="仿宋_GB2312" w:cs="DengXian-Regular" w:hint="eastAsia"/>
          <w:sz w:val="32"/>
          <w:szCs w:val="32"/>
        </w:rPr>
        <w:t>初</w:t>
      </w:r>
      <w:r>
        <w:rPr>
          <w:rFonts w:ascii="仿宋_GB2312" w:eastAsia="仿宋_GB2312" w:cs="DengXian-Regular" w:hint="eastAsia"/>
          <w:sz w:val="32"/>
          <w:szCs w:val="32"/>
        </w:rPr>
        <w:t>预算持平无增减变化，主要是控制“三公”经费支出。具体情况如下：</w:t>
      </w:r>
    </w:p>
    <w:p w:rsidR="00550FEF" w:rsidRDefault="00094B62">
      <w:pPr>
        <w:widowControl/>
        <w:adjustRightInd w:val="0"/>
        <w:ind w:firstLineChars="200" w:firstLine="643"/>
        <w:jc w:val="left"/>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人。未发生因公出国（境）支出，较年</w:t>
      </w:r>
      <w:r w:rsidR="005D188D">
        <w:rPr>
          <w:rFonts w:ascii="仿宋_GB2312" w:eastAsia="仿宋_GB2312" w:cs="DengXian-Regular" w:hint="eastAsia"/>
          <w:sz w:val="32"/>
          <w:szCs w:val="32"/>
        </w:rPr>
        <w:t>初</w:t>
      </w:r>
      <w:r>
        <w:rPr>
          <w:rFonts w:ascii="仿宋_GB2312" w:eastAsia="仿宋_GB2312" w:cs="DengXian-Regular" w:hint="eastAsia"/>
          <w:sz w:val="32"/>
          <w:szCs w:val="32"/>
        </w:rPr>
        <w:t>预算无增减变化。</w:t>
      </w:r>
    </w:p>
    <w:p w:rsidR="00550FEF" w:rsidRDefault="00094B62">
      <w:pPr>
        <w:adjustRightInd w:val="0"/>
        <w:snapToGrid w:val="0"/>
        <w:spacing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6</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年度公务用车购置及运行维护费未发生变化，与年</w:t>
      </w:r>
      <w:r w:rsidR="005D188D">
        <w:rPr>
          <w:rFonts w:ascii="仿宋_GB2312" w:eastAsia="仿宋_GB2312" w:cs="DengXian-Regular" w:hint="eastAsia"/>
          <w:sz w:val="32"/>
          <w:szCs w:val="32"/>
        </w:rPr>
        <w:t>初</w:t>
      </w:r>
      <w:r>
        <w:rPr>
          <w:rFonts w:ascii="仿宋_GB2312" w:eastAsia="仿宋_GB2312" w:cs="DengXian-Regular" w:hint="eastAsia"/>
          <w:sz w:val="32"/>
          <w:szCs w:val="32"/>
        </w:rPr>
        <w:t>预算持平。</w:t>
      </w:r>
    </w:p>
    <w:p w:rsidR="00550FEF" w:rsidRDefault="00094B62">
      <w:pPr>
        <w:adjustRightInd w:val="0"/>
        <w:snapToGrid w:val="0"/>
        <w:spacing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辆，未发生公务用车购置费支出，与年</w:t>
      </w:r>
      <w:r w:rsidR="005D188D">
        <w:rPr>
          <w:rFonts w:ascii="仿宋_GB2312" w:eastAsia="仿宋_GB2312" w:cs="DengXian-Regular" w:hint="eastAsia"/>
          <w:sz w:val="32"/>
          <w:szCs w:val="32"/>
        </w:rPr>
        <w:t>初</w:t>
      </w:r>
      <w:r>
        <w:rPr>
          <w:rFonts w:ascii="仿宋_GB2312" w:eastAsia="仿宋_GB2312" w:cs="DengXian-Regular" w:hint="eastAsia"/>
          <w:sz w:val="32"/>
          <w:szCs w:val="32"/>
        </w:rPr>
        <w:t>预算持平。</w:t>
      </w:r>
    </w:p>
    <w:p w:rsidR="00550FEF" w:rsidRDefault="00094B62">
      <w:pPr>
        <w:adjustRightInd w:val="0"/>
        <w:snapToGrid w:val="0"/>
        <w:spacing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w:t>
      </w:r>
      <w:r>
        <w:rPr>
          <w:rFonts w:ascii="仿宋_GB2312" w:eastAsia="仿宋_GB2312" w:cs="DengXian-Regular" w:hint="eastAsia"/>
          <w:sz w:val="32"/>
          <w:szCs w:val="32"/>
        </w:rPr>
        <w:lastRenderedPageBreak/>
        <w:t>量</w:t>
      </w:r>
      <w:r>
        <w:rPr>
          <w:rFonts w:ascii="仿宋_GB2312" w:eastAsia="仿宋_GB2312" w:cs="DengXian-Regular" w:hint="eastAsia"/>
          <w:sz w:val="32"/>
          <w:szCs w:val="32"/>
        </w:rPr>
        <w:t>1</w:t>
      </w:r>
      <w:r>
        <w:rPr>
          <w:rFonts w:ascii="仿宋_GB2312" w:eastAsia="仿宋_GB2312" w:cs="DengXian-Regular" w:hint="eastAsia"/>
          <w:sz w:val="32"/>
          <w:szCs w:val="32"/>
        </w:rPr>
        <w:t>辆。公务用车运行维护费金额</w:t>
      </w:r>
      <w:r>
        <w:rPr>
          <w:rFonts w:ascii="仿宋_GB2312" w:eastAsia="仿宋_GB2312" w:cs="DengXian-Regular" w:hint="eastAsia"/>
          <w:sz w:val="32"/>
          <w:szCs w:val="32"/>
        </w:rPr>
        <w:t>6</w:t>
      </w:r>
      <w:r>
        <w:rPr>
          <w:rFonts w:ascii="仿宋_GB2312" w:eastAsia="仿宋_GB2312" w:cs="DengXian-Regular" w:hint="eastAsia"/>
          <w:sz w:val="32"/>
          <w:szCs w:val="32"/>
        </w:rPr>
        <w:t>万元，与年</w:t>
      </w:r>
      <w:r w:rsidR="005D188D">
        <w:rPr>
          <w:rFonts w:ascii="仿宋_GB2312" w:eastAsia="仿宋_GB2312" w:cs="DengXian-Regular" w:hint="eastAsia"/>
          <w:sz w:val="32"/>
          <w:szCs w:val="32"/>
        </w:rPr>
        <w:t>初</w:t>
      </w:r>
      <w:r>
        <w:rPr>
          <w:rFonts w:ascii="仿宋_GB2312" w:eastAsia="仿宋_GB2312" w:cs="DengXian-Regular" w:hint="eastAsia"/>
          <w:sz w:val="32"/>
          <w:szCs w:val="32"/>
        </w:rPr>
        <w:t>预算</w:t>
      </w:r>
      <w:r w:rsidR="005D188D">
        <w:rPr>
          <w:rFonts w:ascii="仿宋_GB2312" w:eastAsia="仿宋_GB2312" w:cs="DengXian-Regular" w:hint="eastAsia"/>
          <w:sz w:val="32"/>
          <w:szCs w:val="32"/>
        </w:rPr>
        <w:t>持平，</w:t>
      </w:r>
      <w:r>
        <w:rPr>
          <w:rFonts w:ascii="仿宋_GB2312" w:eastAsia="仿宋_GB2312" w:cs="DengXian-Regular" w:hint="eastAsia"/>
          <w:sz w:val="32"/>
          <w:szCs w:val="32"/>
        </w:rPr>
        <w:t>未发生变化，</w:t>
      </w:r>
      <w:r>
        <w:rPr>
          <w:rFonts w:ascii="仿宋_GB2312" w:eastAsia="仿宋_GB2312" w:cs="DengXian-Regular" w:hint="eastAsia"/>
          <w:sz w:val="32"/>
          <w:szCs w:val="32"/>
        </w:rPr>
        <w:t>主要是控制“三公”经费。</w:t>
      </w:r>
    </w:p>
    <w:p w:rsidR="00550FEF" w:rsidRDefault="00094B62">
      <w:pPr>
        <w:adjustRightInd w:val="0"/>
        <w:snapToGrid w:val="0"/>
        <w:spacing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sidR="005D188D">
        <w:rPr>
          <w:rFonts w:ascii="仿宋_GB2312" w:eastAsia="仿宋_GB2312" w:cs="DengXian-Regular" w:hint="eastAsia"/>
          <w:sz w:val="32"/>
          <w:szCs w:val="32"/>
        </w:rPr>
        <w:t>。未发生公务接待费支出。</w:t>
      </w:r>
      <w:r w:rsidR="005D188D">
        <w:rPr>
          <w:rFonts w:ascii="仿宋_GB2312" w:eastAsia="仿宋_GB2312" w:cs="DengXian-Regular"/>
          <w:sz w:val="32"/>
          <w:szCs w:val="32"/>
        </w:rPr>
        <w:t xml:space="preserve"> </w:t>
      </w:r>
    </w:p>
    <w:p w:rsidR="00550FEF" w:rsidRDefault="00094B62">
      <w:pPr>
        <w:pStyle w:val="2"/>
        <w:spacing w:before="0" w:after="0" w:line="580" w:lineRule="exact"/>
        <w:ind w:firstLineChars="200" w:firstLine="643"/>
        <w:rPr>
          <w:rFonts w:ascii="黑体" w:eastAsia="黑体" w:cs="Times New Roman"/>
        </w:rPr>
      </w:pPr>
      <w:r>
        <w:rPr>
          <w:rFonts w:ascii="黑体" w:eastAsia="黑体" w:hint="eastAsia"/>
          <w:szCs w:val="40"/>
        </w:rPr>
        <w:t>六、</w:t>
      </w:r>
      <w:r>
        <w:rPr>
          <w:rFonts w:ascii="黑体" w:eastAsia="黑体" w:cs="Times New Roman" w:hint="eastAsia"/>
        </w:rPr>
        <w:t>绩效预算情况说明</w:t>
      </w:r>
    </w:p>
    <w:p w:rsidR="00550FEF" w:rsidRDefault="00094B62">
      <w:pPr>
        <w:adjustRightInd w:val="0"/>
        <w:snapToGrid w:val="0"/>
        <w:spacing w:line="58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（一）绩效管理工作开展情况。根据《关于开展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年度财政专项资金部门绩效自评价工作的通知》（无财</w:t>
      </w:r>
      <w:r>
        <w:rPr>
          <w:rFonts w:ascii="仿宋_GB2312" w:eastAsia="仿宋_GB2312" w:cs="DengXian-Regular" w:hint="eastAsia"/>
          <w:sz w:val="32"/>
          <w:szCs w:val="32"/>
        </w:rPr>
        <w:t>[2019]13</w:t>
      </w:r>
      <w:r>
        <w:rPr>
          <w:rFonts w:ascii="仿宋_GB2312" w:eastAsia="仿宋_GB2312" w:cs="DengXian-Regular" w:hint="eastAsia"/>
          <w:sz w:val="32"/>
          <w:szCs w:val="32"/>
        </w:rPr>
        <w:t>号），本单位认真开展了预算绩效管理改革开展情况自查，对部门全面规范绩效预算编制、严格预算执行管理、推进绩效评价工作、推进预决算信息公开等方面进行了自评，考核结果为</w:t>
      </w:r>
      <w:r>
        <w:rPr>
          <w:rFonts w:ascii="仿宋_GB2312" w:eastAsia="仿宋_GB2312" w:cs="DengXian-Regular" w:hint="eastAsia"/>
          <w:color w:val="000000" w:themeColor="text1"/>
          <w:sz w:val="32"/>
          <w:szCs w:val="32"/>
        </w:rPr>
        <w:t>良好。</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（二）预算项目绩效评价开展情况，根据预算绩</w:t>
      </w:r>
      <w:r>
        <w:rPr>
          <w:rFonts w:ascii="仿宋_GB2312" w:eastAsia="仿宋_GB2312" w:cs="DengXian-Regular" w:hint="eastAsia"/>
          <w:sz w:val="32"/>
          <w:szCs w:val="32"/>
        </w:rPr>
        <w:t>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年度一般公共预算项目支出全面开展绩效自评，涉及重大公共卫生专项、药品事务、食品安全事务、其他食品和药品监督管理事务支出等</w:t>
      </w:r>
      <w:r>
        <w:rPr>
          <w:rFonts w:ascii="仿宋_GB2312" w:eastAsia="仿宋_GB2312" w:cs="DengXian-Regular" w:hint="eastAsia"/>
          <w:sz w:val="32"/>
          <w:szCs w:val="32"/>
        </w:rPr>
        <w:t>4</w:t>
      </w:r>
      <w:r>
        <w:rPr>
          <w:rFonts w:ascii="仿宋_GB2312" w:eastAsia="仿宋_GB2312" w:cs="DengXian-Regular" w:hint="eastAsia"/>
          <w:sz w:val="32"/>
          <w:szCs w:val="32"/>
        </w:rPr>
        <w:t>个项目，涉及资金</w:t>
      </w:r>
      <w:r>
        <w:rPr>
          <w:rFonts w:ascii="仿宋_GB2312" w:eastAsia="仿宋_GB2312" w:cs="DengXian-Regular" w:hint="eastAsia"/>
          <w:sz w:val="32"/>
          <w:szCs w:val="32"/>
        </w:rPr>
        <w:t>113.34</w:t>
      </w:r>
      <w:r>
        <w:rPr>
          <w:rFonts w:ascii="仿宋_GB2312" w:eastAsia="仿宋_GB2312" w:cs="DengXian-Regular" w:hint="eastAsia"/>
          <w:sz w:val="32"/>
          <w:szCs w:val="32"/>
        </w:rPr>
        <w:t>万元。从评价情况看，评价结果为良好的项目有</w:t>
      </w:r>
      <w:r>
        <w:rPr>
          <w:rFonts w:ascii="仿宋_GB2312" w:eastAsia="仿宋_GB2312" w:cs="DengXian-Regular" w:hint="eastAsia"/>
          <w:sz w:val="32"/>
          <w:szCs w:val="32"/>
        </w:rPr>
        <w:t>2</w:t>
      </w:r>
      <w:r>
        <w:rPr>
          <w:rFonts w:ascii="仿宋_GB2312" w:eastAsia="仿宋_GB2312" w:cs="DengXian-Regular" w:hint="eastAsia"/>
          <w:sz w:val="32"/>
          <w:szCs w:val="32"/>
        </w:rPr>
        <w:t>个，一般的项目有</w:t>
      </w:r>
      <w:r>
        <w:rPr>
          <w:rFonts w:ascii="仿宋_GB2312" w:eastAsia="仿宋_GB2312" w:cs="DengXian-Regular" w:hint="eastAsia"/>
          <w:sz w:val="32"/>
          <w:szCs w:val="32"/>
        </w:rPr>
        <w:t>2</w:t>
      </w:r>
      <w:r>
        <w:rPr>
          <w:rFonts w:ascii="仿宋_GB2312" w:eastAsia="仿宋_GB2312" w:cs="DengXian-Regular" w:hint="eastAsia"/>
          <w:sz w:val="32"/>
          <w:szCs w:val="32"/>
        </w:rPr>
        <w:t>个。</w:t>
      </w:r>
    </w:p>
    <w:p w:rsidR="00550FEF" w:rsidRDefault="00094B62">
      <w:pPr>
        <w:adjustRightInd w:val="0"/>
        <w:snapToGrid w:val="0"/>
        <w:spacing w:line="580" w:lineRule="exact"/>
        <w:ind w:firstLineChars="200" w:firstLine="640"/>
        <w:rPr>
          <w:rFonts w:ascii="仿宋_GB2312" w:eastAsia="仿宋_GB2312" w:cs="DengXian-Regular" w:hint="eastAsia"/>
          <w:sz w:val="32"/>
          <w:szCs w:val="32"/>
        </w:rPr>
      </w:pPr>
      <w:r>
        <w:rPr>
          <w:rFonts w:ascii="仿宋_GB2312" w:eastAsia="仿宋_GB2312" w:cs="DengXian-Regular" w:hint="eastAsia"/>
          <w:sz w:val="32"/>
          <w:szCs w:val="32"/>
        </w:rPr>
        <w:t>（三）预算项目绩效自评选例</w:t>
      </w:r>
    </w:p>
    <w:p w:rsidR="00F3500A" w:rsidRDefault="00F3500A" w:rsidP="00F3500A">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本单位食品安全项目绩效自评：根据年初设定的绩效目标，食品安全项目绩效自评结果为优秀。项目全年预算数为93.26万元，执行数为93.26万元，完成预算的100%。主要产出和效果</w:t>
      </w:r>
      <w:r>
        <w:rPr>
          <w:rFonts w:ascii="仿宋_GB2312" w:eastAsia="仿宋_GB2312" w:cs="DengXian-Regular" w:hint="eastAsia"/>
          <w:sz w:val="32"/>
          <w:szCs w:val="32"/>
        </w:rPr>
        <w:lastRenderedPageBreak/>
        <w:t>是保证全县食品安全稳定。未发现其他问题。</w:t>
      </w:r>
    </w:p>
    <w:p w:rsidR="00F3500A" w:rsidRDefault="00F3500A">
      <w:pPr>
        <w:adjustRightInd w:val="0"/>
        <w:snapToGrid w:val="0"/>
        <w:spacing w:line="580" w:lineRule="exact"/>
        <w:ind w:firstLineChars="200" w:firstLine="640"/>
        <w:rPr>
          <w:rFonts w:ascii="仿宋_GB2312" w:eastAsia="仿宋_GB2312" w:cs="DengXian-Regular"/>
          <w:sz w:val="32"/>
          <w:szCs w:val="32"/>
        </w:rPr>
      </w:pPr>
    </w:p>
    <w:p w:rsidR="00550FEF" w:rsidRDefault="00094B62">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550FEF" w:rsidRDefault="00094B62">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482.51</w:t>
      </w:r>
      <w:r>
        <w:rPr>
          <w:rFonts w:ascii="仿宋_GB2312" w:eastAsia="仿宋_GB2312" w:cs="DengXian-Regular" w:hint="eastAsia"/>
          <w:sz w:val="32"/>
          <w:szCs w:val="32"/>
        </w:rPr>
        <w:t>万元，比年初预算数减少</w:t>
      </w:r>
      <w:r>
        <w:rPr>
          <w:rFonts w:ascii="仿宋_GB2312" w:eastAsia="仿宋_GB2312" w:cs="DengXian-Regular" w:hint="eastAsia"/>
          <w:sz w:val="32"/>
          <w:szCs w:val="32"/>
        </w:rPr>
        <w:t>121.49</w:t>
      </w:r>
      <w:r>
        <w:rPr>
          <w:rFonts w:ascii="仿宋_GB2312" w:eastAsia="仿宋_GB2312" w:cs="DengXian-Regular" w:hint="eastAsia"/>
          <w:sz w:val="32"/>
          <w:szCs w:val="32"/>
        </w:rPr>
        <w:t>万元，降低</w:t>
      </w:r>
      <w:r>
        <w:rPr>
          <w:rFonts w:ascii="仿宋_GB2312" w:eastAsia="仿宋_GB2312" w:cs="DengXian-Regular" w:hint="eastAsia"/>
          <w:sz w:val="32"/>
          <w:szCs w:val="32"/>
        </w:rPr>
        <w:t>21%</w:t>
      </w:r>
      <w:r>
        <w:rPr>
          <w:rFonts w:ascii="仿宋_GB2312" w:eastAsia="仿宋_GB2312" w:cs="DengXian-Regular" w:hint="eastAsia"/>
          <w:sz w:val="32"/>
          <w:szCs w:val="32"/>
        </w:rPr>
        <w:t>。主要原因是压缩开支。</w:t>
      </w:r>
    </w:p>
    <w:p w:rsidR="00550FEF" w:rsidRDefault="00094B62">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（二）政府采购情况</w:t>
      </w:r>
    </w:p>
    <w:p w:rsidR="00550FEF" w:rsidRDefault="00094B62">
      <w:pPr>
        <w:widowControl/>
        <w:spacing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r>
        <w:rPr>
          <w:rFonts w:ascii="仿宋_GB2312" w:eastAsia="仿宋_GB2312" w:hAnsi="仿宋_GB2312" w:cs="仿宋_GB2312"/>
          <w:color w:val="000000"/>
          <w:kern w:val="0"/>
          <w:sz w:val="32"/>
          <w:szCs w:val="32"/>
        </w:rPr>
        <w:t>。</w:t>
      </w:r>
    </w:p>
    <w:p w:rsidR="00550FEF" w:rsidRDefault="00094B62">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12</w:t>
      </w:r>
      <w:r>
        <w:rPr>
          <w:rFonts w:ascii="仿宋_GB2312" w:eastAsia="仿宋_GB2312" w:cs="DengXian-Regular" w:hint="eastAsia"/>
          <w:sz w:val="32"/>
          <w:szCs w:val="32"/>
        </w:rPr>
        <w:t>辆，比上年无增减变化。其中，主要领导干部用车</w:t>
      </w:r>
      <w:r>
        <w:rPr>
          <w:rFonts w:ascii="仿宋_GB2312" w:eastAsia="仿宋_GB2312" w:cs="DengXian-Regular" w:hint="eastAsia"/>
          <w:sz w:val="32"/>
          <w:szCs w:val="32"/>
        </w:rPr>
        <w:t>1</w:t>
      </w:r>
      <w:r>
        <w:rPr>
          <w:rFonts w:ascii="仿宋_GB2312" w:eastAsia="仿宋_GB2312" w:cs="DengXian-Regular" w:hint="eastAsia"/>
          <w:sz w:val="32"/>
          <w:szCs w:val="32"/>
        </w:rPr>
        <w:t>辆，机要通信用车</w:t>
      </w:r>
      <w:r>
        <w:rPr>
          <w:rFonts w:ascii="仿宋_GB2312" w:eastAsia="仿宋_GB2312" w:cs="DengXian-Regular" w:hint="eastAsia"/>
          <w:sz w:val="32"/>
          <w:szCs w:val="32"/>
        </w:rPr>
        <w:t>0</w:t>
      </w:r>
      <w:r>
        <w:rPr>
          <w:rFonts w:ascii="仿宋_GB2312" w:eastAsia="仿宋_GB2312" w:cs="DengXian-Regular" w:hint="eastAsia"/>
          <w:sz w:val="32"/>
          <w:szCs w:val="32"/>
        </w:rPr>
        <w:t>辆，执法执勤用车</w:t>
      </w:r>
      <w:r>
        <w:rPr>
          <w:rFonts w:ascii="仿宋_GB2312" w:eastAsia="仿宋_GB2312" w:cs="DengXian-Regular" w:hint="eastAsia"/>
          <w:sz w:val="32"/>
          <w:szCs w:val="32"/>
        </w:rPr>
        <w:t>11</w:t>
      </w:r>
      <w:r>
        <w:rPr>
          <w:rFonts w:ascii="仿宋_GB2312" w:eastAsia="仿宋_GB2312" w:cs="DengXian-Regular" w:hint="eastAsia"/>
          <w:sz w:val="32"/>
          <w:szCs w:val="32"/>
        </w:rPr>
        <w:t>辆，应急保障车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辆，离退休干部用车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辆，单价在</w:t>
      </w:r>
      <w:r>
        <w:rPr>
          <w:rFonts w:ascii="仿宋_GB2312" w:eastAsia="仿宋_GB2312" w:cs="DengXian-Regular"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0</w:t>
      </w:r>
      <w:r>
        <w:rPr>
          <w:rFonts w:ascii="仿宋_GB2312" w:eastAsia="仿宋_GB2312" w:cs="DengXian-Regular" w:hint="eastAsia"/>
          <w:sz w:val="32"/>
          <w:szCs w:val="32"/>
        </w:rPr>
        <w:t>台（套），未发生单价在</w:t>
      </w:r>
      <w:r>
        <w:rPr>
          <w:rFonts w:ascii="仿宋_GB2312" w:eastAsia="仿宋_GB2312" w:cs="DengXian-Regular" w:hint="eastAsia"/>
          <w:sz w:val="32"/>
          <w:szCs w:val="32"/>
        </w:rPr>
        <w:t>50</w:t>
      </w:r>
      <w:r>
        <w:rPr>
          <w:rFonts w:ascii="仿宋_GB2312" w:eastAsia="仿宋_GB2312" w:cs="DengXian-Regular" w:hint="eastAsia"/>
          <w:sz w:val="32"/>
          <w:szCs w:val="32"/>
        </w:rPr>
        <w:t>万元支出，较年初预算持平无增减变化。单位价值</w:t>
      </w:r>
      <w:r>
        <w:rPr>
          <w:rFonts w:ascii="仿宋_GB2312" w:eastAsia="仿宋_GB2312" w:cs="DengXian-Regular"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台（套），未发生价值</w:t>
      </w:r>
      <w:r>
        <w:rPr>
          <w:rFonts w:ascii="仿宋_GB2312" w:eastAsia="仿宋_GB2312" w:cs="DengXian-Regular"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台（套），较年初预算无增减变化。</w:t>
      </w:r>
    </w:p>
    <w:p w:rsidR="00550FEF" w:rsidRDefault="00094B62">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lastRenderedPageBreak/>
        <w:t>（四）其他需要说明的情况</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三公”经费支出决算、政府性基金、国有资本经营、政府采购无收支及结转结余情况，故一般公共预算财政拨款“三公”经费支出决算表、政府性基金预算财政拨款收入支出决算表、国有资本经营预算财政拨款支出决算表、政府采购情况表以空表列示。</w:t>
      </w:r>
    </w:p>
    <w:p w:rsidR="00550FEF" w:rsidRDefault="00094B62">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550FEF" w:rsidRDefault="00550FEF">
      <w:pPr>
        <w:widowControl/>
        <w:spacing w:line="580" w:lineRule="exact"/>
        <w:ind w:firstLineChars="200" w:firstLine="883"/>
        <w:jc w:val="left"/>
        <w:rPr>
          <w:rFonts w:asciiTheme="majorEastAsia" w:eastAsiaTheme="majorEastAsia" w:hAnsiTheme="majorEastAsia" w:cs="MS-UIGothic,Bold"/>
          <w:b/>
          <w:bCs/>
          <w:kern w:val="0"/>
          <w:sz w:val="44"/>
          <w:szCs w:val="44"/>
        </w:rPr>
        <w:sectPr w:rsidR="00550FEF">
          <w:pgSz w:w="11906" w:h="16838"/>
          <w:pgMar w:top="2098" w:right="1474" w:bottom="1984" w:left="1588" w:header="851" w:footer="992" w:gutter="0"/>
          <w:cols w:space="0"/>
          <w:docGrid w:type="lines" w:linePitch="312"/>
        </w:sectPr>
      </w:pPr>
    </w:p>
    <w:p w:rsidR="00550FEF" w:rsidRDefault="00094B62">
      <w:pPr>
        <w:rPr>
          <w:rFonts w:ascii="宋体" w:hAnsi="宋体" w:cs="ArialUnicodeMS"/>
          <w:color w:val="000000"/>
          <w:kern w:val="0"/>
        </w:rPr>
        <w:sectPr w:rsidR="00550FEF">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550FEF" w:rsidRPr="00550FEF">
        <w:rPr>
          <w:sz w:val="72"/>
        </w:rPr>
        <w:pict>
          <v:shape id="_x0000_s1027" type="#_x0000_t202" style="position:absolute;left:0;text-align:left;margin-left:-78.7pt;margin-top:232.8pt;width:596.2pt;height:159.1pt;z-index:251666432;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filled="f" stroked="f" strokeweight=".5pt">
            <v:textbox>
              <w:txbxContent>
                <w:p w:rsidR="00550FEF" w:rsidRDefault="00094B6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550FEF" w:rsidRDefault="00094B62">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w:t>
      </w:r>
      <w:r>
        <w:rPr>
          <w:rFonts w:ascii="仿宋_GB2312" w:eastAsia="仿宋_GB2312" w:hAnsiTheme="majorEastAsia" w:hint="eastAsia"/>
          <w:color w:val="000000"/>
          <w:kern w:val="0"/>
          <w:sz w:val="32"/>
          <w:szCs w:val="32"/>
        </w:rPr>
        <w:t>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w:t>
      </w:r>
      <w:r>
        <w:rPr>
          <w:rFonts w:ascii="仿宋_GB2312" w:eastAsia="仿宋_GB2312" w:hAnsiTheme="majorEastAsia" w:hint="eastAsia"/>
          <w:color w:val="000000"/>
          <w:kern w:val="0"/>
          <w:sz w:val="32"/>
          <w:szCs w:val="32"/>
        </w:rPr>
        <w:t>险费等。</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550FEF" w:rsidRDefault="00094B62">
      <w:pPr>
        <w:widowControl/>
        <w:spacing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w:t>
      </w:r>
      <w:r>
        <w:rPr>
          <w:rFonts w:ascii="仿宋_GB2312" w:eastAsia="仿宋_GB2312" w:hAnsiTheme="majorEastAsia" w:hint="eastAsia"/>
          <w:color w:val="000000"/>
          <w:kern w:val="0"/>
          <w:sz w:val="32"/>
          <w:szCs w:val="32"/>
        </w:rPr>
        <w:lastRenderedPageBreak/>
        <w:t>括办公及印刷费、邮电费、差旅费、会议费、福利费、日常维修费、专用材料以及一般设备购置费、办公用房水电费、办公用房取暖费、办公用房物业管理费、公务用车运行维护费以及其他费用。</w:t>
      </w:r>
    </w:p>
    <w:p w:rsidR="00550FEF" w:rsidRDefault="00094B62">
      <w:pPr>
        <w:widowControl/>
        <w:spacing w:line="560" w:lineRule="exact"/>
        <w:ind w:firstLineChars="200" w:firstLine="643"/>
        <w:rPr>
          <w:rFonts w:ascii="仿宋_GB2312" w:eastAsia="仿宋_GB2312" w:hAnsiTheme="minorHAnsi" w:cs="ArialUnicodeMS"/>
          <w:kern w:val="0"/>
          <w:sz w:val="32"/>
          <w:szCs w:val="32"/>
        </w:rPr>
        <w:sectPr w:rsidR="00550FEF">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550FEF" w:rsidRDefault="00094B62">
      <w:pPr>
        <w:widowControl/>
        <w:spacing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a:stretch>
                      <a:fillRect/>
                    </a:stretch>
                  </pic:blipFill>
                  <pic:spPr>
                    <a:xfrm>
                      <a:off x="0" y="0"/>
                      <a:ext cx="7590155" cy="10735945"/>
                    </a:xfrm>
                    <a:prstGeom prst="rect">
                      <a:avLst/>
                    </a:prstGeom>
                  </pic:spPr>
                </pic:pic>
              </a:graphicData>
            </a:graphic>
          </wp:anchor>
        </w:drawing>
      </w:r>
    </w:p>
    <w:sectPr w:rsidR="00550FEF" w:rsidSect="00550FEF">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4B62" w:rsidRDefault="00094B62" w:rsidP="005D188D">
      <w:r>
        <w:separator/>
      </w:r>
    </w:p>
  </w:endnote>
  <w:endnote w:type="continuationSeparator" w:id="1">
    <w:p w:rsidR="00094B62" w:rsidRDefault="00094B62" w:rsidP="005D18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45A687A4-6EAD-4791-833F-417ADB8F1600}"/>
    <w:embedBold r:id="rId2" w:subsetted="1" w:fontKey="{762C5C1E-D94F-4921-A76D-F0DC2B824B65}"/>
  </w:font>
  <w:font w:name="楷体">
    <w:panose1 w:val="02010609060101010101"/>
    <w:charset w:val="86"/>
    <w:family w:val="modern"/>
    <w:pitch w:val="fixed"/>
    <w:sig w:usb0="800002BF" w:usb1="38CF7CFA" w:usb2="00000016" w:usb3="00000000" w:csb0="00040001" w:csb1="00000000"/>
    <w:embedRegular r:id="rId3" w:subsetted="1" w:fontKey="{833EF899-84A9-4F42-8297-96B48190D181}"/>
  </w:font>
  <w:font w:name="楷体_GB2312">
    <w:altName w:val="楷体"/>
    <w:panose1 w:val="02010609030101010101"/>
    <w:charset w:val="86"/>
    <w:family w:val="modern"/>
    <w:pitch w:val="fixed"/>
    <w:sig w:usb0="00000001" w:usb1="080E0000" w:usb2="00000010" w:usb3="00000000" w:csb0="00040000" w:csb1="00000000"/>
    <w:embedBold r:id="rId4" w:subsetted="1" w:fontKey="{FB686B7B-89BC-4AA2-BD0E-00AA77C7F003}"/>
  </w:font>
  <w:font w:name="仿宋_GB2312">
    <w:altName w:val="仿宋"/>
    <w:panose1 w:val="02010609030101010101"/>
    <w:charset w:val="86"/>
    <w:family w:val="modern"/>
    <w:pitch w:val="fixed"/>
    <w:sig w:usb0="00000001" w:usb1="080E0000" w:usb2="00000010" w:usb3="00000000" w:csb0="00040000" w:csb1="00000000"/>
    <w:embedRegular r:id="rId5" w:subsetted="1" w:fontKey="{EB5FF59D-6F3C-4F9F-A2AB-2238154E8A64}"/>
    <w:embedBold r:id="rId6" w:subsetted="1" w:fontKey="{2E6AED59-9CC4-4F98-A015-8FC2C774CBA5}"/>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embedRegular r:id="rId7" w:subsetted="1" w:fontKey="{4E2E9151-D1FB-43A1-BE3C-F87454E6E11E}"/>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4B62" w:rsidRDefault="00094B62" w:rsidP="005D188D">
      <w:r>
        <w:separator/>
      </w:r>
    </w:p>
  </w:footnote>
  <w:footnote w:type="continuationSeparator" w:id="1">
    <w:p w:rsidR="00094B62" w:rsidRDefault="00094B62" w:rsidP="005D188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TrueTypeFonts/>
  <w:saveSubset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C1413"/>
    <w:rsid w:val="000045CF"/>
    <w:rsid w:val="00011C45"/>
    <w:rsid w:val="00024E7F"/>
    <w:rsid w:val="000475A0"/>
    <w:rsid w:val="00073CDE"/>
    <w:rsid w:val="000838C3"/>
    <w:rsid w:val="00094B62"/>
    <w:rsid w:val="000B2446"/>
    <w:rsid w:val="000D7C65"/>
    <w:rsid w:val="000E2F81"/>
    <w:rsid w:val="00117946"/>
    <w:rsid w:val="00117E2C"/>
    <w:rsid w:val="00146C47"/>
    <w:rsid w:val="00152FB8"/>
    <w:rsid w:val="00176658"/>
    <w:rsid w:val="0018239E"/>
    <w:rsid w:val="001B3410"/>
    <w:rsid w:val="001C030D"/>
    <w:rsid w:val="001C4A84"/>
    <w:rsid w:val="001D610B"/>
    <w:rsid w:val="001E5902"/>
    <w:rsid w:val="00221B5E"/>
    <w:rsid w:val="00224E91"/>
    <w:rsid w:val="00233705"/>
    <w:rsid w:val="00275CA2"/>
    <w:rsid w:val="002A65A5"/>
    <w:rsid w:val="002C04C4"/>
    <w:rsid w:val="002D08B0"/>
    <w:rsid w:val="002D1AE3"/>
    <w:rsid w:val="002F2ECE"/>
    <w:rsid w:val="003337B4"/>
    <w:rsid w:val="00341C8F"/>
    <w:rsid w:val="0035463A"/>
    <w:rsid w:val="00391D9D"/>
    <w:rsid w:val="00391E1D"/>
    <w:rsid w:val="00395345"/>
    <w:rsid w:val="003A7A6A"/>
    <w:rsid w:val="003B6C51"/>
    <w:rsid w:val="003C1413"/>
    <w:rsid w:val="003C549F"/>
    <w:rsid w:val="003D5A16"/>
    <w:rsid w:val="003E7DB3"/>
    <w:rsid w:val="003F7EC9"/>
    <w:rsid w:val="00431175"/>
    <w:rsid w:val="004B5D0D"/>
    <w:rsid w:val="004B6E37"/>
    <w:rsid w:val="004C32BA"/>
    <w:rsid w:val="00502871"/>
    <w:rsid w:val="005241EA"/>
    <w:rsid w:val="0053143B"/>
    <w:rsid w:val="00550FEF"/>
    <w:rsid w:val="00575922"/>
    <w:rsid w:val="00581C51"/>
    <w:rsid w:val="005A637B"/>
    <w:rsid w:val="005A6C90"/>
    <w:rsid w:val="005D0D64"/>
    <w:rsid w:val="005D188D"/>
    <w:rsid w:val="005E3FB0"/>
    <w:rsid w:val="005F4B66"/>
    <w:rsid w:val="005F5208"/>
    <w:rsid w:val="00641318"/>
    <w:rsid w:val="0064405D"/>
    <w:rsid w:val="00685302"/>
    <w:rsid w:val="00695557"/>
    <w:rsid w:val="006D4EA7"/>
    <w:rsid w:val="006E05AB"/>
    <w:rsid w:val="0070012A"/>
    <w:rsid w:val="0070664B"/>
    <w:rsid w:val="007071B8"/>
    <w:rsid w:val="007414DE"/>
    <w:rsid w:val="0074209C"/>
    <w:rsid w:val="00754C57"/>
    <w:rsid w:val="00762BEE"/>
    <w:rsid w:val="007905A9"/>
    <w:rsid w:val="007E5500"/>
    <w:rsid w:val="007F055B"/>
    <w:rsid w:val="0080644C"/>
    <w:rsid w:val="00811C2F"/>
    <w:rsid w:val="00833D46"/>
    <w:rsid w:val="00840A97"/>
    <w:rsid w:val="00856318"/>
    <w:rsid w:val="008C0149"/>
    <w:rsid w:val="008C689C"/>
    <w:rsid w:val="008D5DED"/>
    <w:rsid w:val="008E25CA"/>
    <w:rsid w:val="008F34FC"/>
    <w:rsid w:val="00935058"/>
    <w:rsid w:val="00944CD7"/>
    <w:rsid w:val="009831B2"/>
    <w:rsid w:val="009A1ABE"/>
    <w:rsid w:val="009E21A4"/>
    <w:rsid w:val="009F22C6"/>
    <w:rsid w:val="00A07E50"/>
    <w:rsid w:val="00A15397"/>
    <w:rsid w:val="00A20621"/>
    <w:rsid w:val="00A35CE0"/>
    <w:rsid w:val="00A4462E"/>
    <w:rsid w:val="00A44AA4"/>
    <w:rsid w:val="00A61623"/>
    <w:rsid w:val="00A84687"/>
    <w:rsid w:val="00AA00C1"/>
    <w:rsid w:val="00AB0A0E"/>
    <w:rsid w:val="00AD3B6E"/>
    <w:rsid w:val="00B07BC0"/>
    <w:rsid w:val="00B12736"/>
    <w:rsid w:val="00B1751F"/>
    <w:rsid w:val="00B56722"/>
    <w:rsid w:val="00B74D39"/>
    <w:rsid w:val="00B91DA4"/>
    <w:rsid w:val="00BA3BC0"/>
    <w:rsid w:val="00C04399"/>
    <w:rsid w:val="00C12630"/>
    <w:rsid w:val="00C34562"/>
    <w:rsid w:val="00C3774E"/>
    <w:rsid w:val="00C444BD"/>
    <w:rsid w:val="00C57456"/>
    <w:rsid w:val="00C61763"/>
    <w:rsid w:val="00C65387"/>
    <w:rsid w:val="00C87FAB"/>
    <w:rsid w:val="00C91FF7"/>
    <w:rsid w:val="00C94E53"/>
    <w:rsid w:val="00CA06A9"/>
    <w:rsid w:val="00CA0D28"/>
    <w:rsid w:val="00CE61DF"/>
    <w:rsid w:val="00D0048E"/>
    <w:rsid w:val="00D06D0E"/>
    <w:rsid w:val="00D23E7A"/>
    <w:rsid w:val="00D61063"/>
    <w:rsid w:val="00DB35AF"/>
    <w:rsid w:val="00DD72D7"/>
    <w:rsid w:val="00DF5B88"/>
    <w:rsid w:val="00E0589E"/>
    <w:rsid w:val="00E241FA"/>
    <w:rsid w:val="00E2595E"/>
    <w:rsid w:val="00E35374"/>
    <w:rsid w:val="00E47302"/>
    <w:rsid w:val="00E50C19"/>
    <w:rsid w:val="00E64655"/>
    <w:rsid w:val="00E73081"/>
    <w:rsid w:val="00E856C9"/>
    <w:rsid w:val="00E8744D"/>
    <w:rsid w:val="00EB6A8B"/>
    <w:rsid w:val="00EF0B21"/>
    <w:rsid w:val="00EF38C6"/>
    <w:rsid w:val="00F004B1"/>
    <w:rsid w:val="00F302E2"/>
    <w:rsid w:val="00F3500A"/>
    <w:rsid w:val="00F679C7"/>
    <w:rsid w:val="00F7711A"/>
    <w:rsid w:val="00F81509"/>
    <w:rsid w:val="00FA0D58"/>
    <w:rsid w:val="00FA1E12"/>
    <w:rsid w:val="00FA56F4"/>
    <w:rsid w:val="00FB4EDA"/>
    <w:rsid w:val="00FD3BD5"/>
    <w:rsid w:val="00FE3DC8"/>
    <w:rsid w:val="01A2031C"/>
    <w:rsid w:val="03C66120"/>
    <w:rsid w:val="03CF5268"/>
    <w:rsid w:val="04073F84"/>
    <w:rsid w:val="04A764EE"/>
    <w:rsid w:val="056D41B3"/>
    <w:rsid w:val="058E03AE"/>
    <w:rsid w:val="05E63992"/>
    <w:rsid w:val="07DA3F06"/>
    <w:rsid w:val="08EA7908"/>
    <w:rsid w:val="0B60750A"/>
    <w:rsid w:val="0D10386B"/>
    <w:rsid w:val="0D1E54E7"/>
    <w:rsid w:val="0E690C38"/>
    <w:rsid w:val="0F80626B"/>
    <w:rsid w:val="100F1639"/>
    <w:rsid w:val="10686488"/>
    <w:rsid w:val="10DF728A"/>
    <w:rsid w:val="11EB48F2"/>
    <w:rsid w:val="1264200E"/>
    <w:rsid w:val="13525B4F"/>
    <w:rsid w:val="141C5B77"/>
    <w:rsid w:val="141D3830"/>
    <w:rsid w:val="14B12481"/>
    <w:rsid w:val="15D8462A"/>
    <w:rsid w:val="15E76AA0"/>
    <w:rsid w:val="1733449C"/>
    <w:rsid w:val="17775110"/>
    <w:rsid w:val="18130241"/>
    <w:rsid w:val="1895004D"/>
    <w:rsid w:val="18D8339D"/>
    <w:rsid w:val="19155B08"/>
    <w:rsid w:val="1A21388F"/>
    <w:rsid w:val="1A570D2F"/>
    <w:rsid w:val="1A867B1D"/>
    <w:rsid w:val="1BE829C4"/>
    <w:rsid w:val="1C692A07"/>
    <w:rsid w:val="1CB62A5E"/>
    <w:rsid w:val="1CF131E4"/>
    <w:rsid w:val="1D07526D"/>
    <w:rsid w:val="226D47AC"/>
    <w:rsid w:val="231126FC"/>
    <w:rsid w:val="23560A2A"/>
    <w:rsid w:val="240E7A53"/>
    <w:rsid w:val="24AE3B45"/>
    <w:rsid w:val="28DB4159"/>
    <w:rsid w:val="28FB0B8D"/>
    <w:rsid w:val="291B062E"/>
    <w:rsid w:val="29671B86"/>
    <w:rsid w:val="2A9870FC"/>
    <w:rsid w:val="2C196DC1"/>
    <w:rsid w:val="2D2B7942"/>
    <w:rsid w:val="2D46481D"/>
    <w:rsid w:val="2E733B28"/>
    <w:rsid w:val="2EB00ABA"/>
    <w:rsid w:val="2F2666BA"/>
    <w:rsid w:val="31852B5A"/>
    <w:rsid w:val="32D01238"/>
    <w:rsid w:val="32E404B3"/>
    <w:rsid w:val="330F42EF"/>
    <w:rsid w:val="33365275"/>
    <w:rsid w:val="34E30A9D"/>
    <w:rsid w:val="371F1D04"/>
    <w:rsid w:val="383B4570"/>
    <w:rsid w:val="397C410C"/>
    <w:rsid w:val="3A5D60C1"/>
    <w:rsid w:val="3B3D2014"/>
    <w:rsid w:val="3C7C7334"/>
    <w:rsid w:val="3C7F2810"/>
    <w:rsid w:val="3DFC59A8"/>
    <w:rsid w:val="3E3566FE"/>
    <w:rsid w:val="3ECF245E"/>
    <w:rsid w:val="3FB96314"/>
    <w:rsid w:val="40BF7CC9"/>
    <w:rsid w:val="40E42674"/>
    <w:rsid w:val="41FC7C99"/>
    <w:rsid w:val="425D54FF"/>
    <w:rsid w:val="426D5BDA"/>
    <w:rsid w:val="43114521"/>
    <w:rsid w:val="45415567"/>
    <w:rsid w:val="45A07D46"/>
    <w:rsid w:val="464F20FF"/>
    <w:rsid w:val="48DB28E7"/>
    <w:rsid w:val="49063B83"/>
    <w:rsid w:val="4A9310F6"/>
    <w:rsid w:val="4AE40265"/>
    <w:rsid w:val="4C0E2142"/>
    <w:rsid w:val="4C5258FE"/>
    <w:rsid w:val="4C841B66"/>
    <w:rsid w:val="4CB970B4"/>
    <w:rsid w:val="4D9648A9"/>
    <w:rsid w:val="51F70216"/>
    <w:rsid w:val="53A44FAF"/>
    <w:rsid w:val="53B550C4"/>
    <w:rsid w:val="543B7EDB"/>
    <w:rsid w:val="546D76F1"/>
    <w:rsid w:val="54FA0B56"/>
    <w:rsid w:val="55C34620"/>
    <w:rsid w:val="560019BF"/>
    <w:rsid w:val="560B2C5F"/>
    <w:rsid w:val="563E0F6F"/>
    <w:rsid w:val="56BD5857"/>
    <w:rsid w:val="572D47E3"/>
    <w:rsid w:val="57FC128F"/>
    <w:rsid w:val="581A5D54"/>
    <w:rsid w:val="594329EC"/>
    <w:rsid w:val="5B4905B0"/>
    <w:rsid w:val="5BEE1540"/>
    <w:rsid w:val="5DE61A5D"/>
    <w:rsid w:val="5F2048F3"/>
    <w:rsid w:val="5F816622"/>
    <w:rsid w:val="5FA06741"/>
    <w:rsid w:val="60E31642"/>
    <w:rsid w:val="62D412DE"/>
    <w:rsid w:val="63C04243"/>
    <w:rsid w:val="649C01C7"/>
    <w:rsid w:val="6512787D"/>
    <w:rsid w:val="67671D71"/>
    <w:rsid w:val="69936881"/>
    <w:rsid w:val="699A3F60"/>
    <w:rsid w:val="6B242047"/>
    <w:rsid w:val="6B7B553C"/>
    <w:rsid w:val="6C0F561F"/>
    <w:rsid w:val="6DBC780F"/>
    <w:rsid w:val="6E7303EB"/>
    <w:rsid w:val="6EA367D9"/>
    <w:rsid w:val="72216ED8"/>
    <w:rsid w:val="72902E62"/>
    <w:rsid w:val="73C61104"/>
    <w:rsid w:val="742A5AFC"/>
    <w:rsid w:val="742C36ED"/>
    <w:rsid w:val="76201EC4"/>
    <w:rsid w:val="76DF65A0"/>
    <w:rsid w:val="772D35EA"/>
    <w:rsid w:val="776452EA"/>
    <w:rsid w:val="78F63F52"/>
    <w:rsid w:val="7DC663B9"/>
    <w:rsid w:val="7E5C6BC4"/>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Date" w:semiHidden="0" w:qFormat="1"/>
    <w:lsdException w:name="Strong" w:semiHidden="0" w:uiPriority="22" w:unhideWhenUsed="0" w:qFormat="1"/>
    <w:lsdException w:name="Emphasis" w:semiHidden="0" w:uiPriority="20" w:unhideWhenUsed="0" w:qFormat="1"/>
    <w:lsdException w:name="Normal Table" w:semiHidden="0" w:qFormat="1"/>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FEF"/>
    <w:pPr>
      <w:widowControl w:val="0"/>
      <w:jc w:val="both"/>
    </w:pPr>
    <w:rPr>
      <w:kern w:val="2"/>
      <w:sz w:val="21"/>
      <w:szCs w:val="24"/>
    </w:rPr>
  </w:style>
  <w:style w:type="paragraph" w:styleId="1">
    <w:name w:val="heading 1"/>
    <w:basedOn w:val="a"/>
    <w:next w:val="a"/>
    <w:link w:val="1Char"/>
    <w:uiPriority w:val="9"/>
    <w:qFormat/>
    <w:rsid w:val="00550FEF"/>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550FE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550FEF"/>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550FEF"/>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unhideWhenUsed/>
    <w:qFormat/>
    <w:rsid w:val="00550FEF"/>
    <w:pPr>
      <w:ind w:leftChars="2500" w:left="100"/>
    </w:pPr>
  </w:style>
  <w:style w:type="paragraph" w:styleId="a4">
    <w:name w:val="Balloon Text"/>
    <w:basedOn w:val="a"/>
    <w:link w:val="Char0"/>
    <w:uiPriority w:val="99"/>
    <w:unhideWhenUsed/>
    <w:qFormat/>
    <w:rsid w:val="00550FEF"/>
    <w:rPr>
      <w:sz w:val="18"/>
      <w:szCs w:val="18"/>
    </w:rPr>
  </w:style>
  <w:style w:type="paragraph" w:styleId="a5">
    <w:name w:val="footer"/>
    <w:basedOn w:val="a"/>
    <w:link w:val="Char1"/>
    <w:uiPriority w:val="99"/>
    <w:unhideWhenUsed/>
    <w:qFormat/>
    <w:rsid w:val="00550FEF"/>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550FE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550FEF"/>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550FEF"/>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550FEF"/>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550FEF"/>
    <w:rPr>
      <w:sz w:val="18"/>
      <w:szCs w:val="18"/>
    </w:rPr>
  </w:style>
  <w:style w:type="character" w:customStyle="1" w:styleId="Char1">
    <w:name w:val="页脚 Char"/>
    <w:basedOn w:val="a0"/>
    <w:link w:val="a5"/>
    <w:uiPriority w:val="99"/>
    <w:qFormat/>
    <w:rsid w:val="00550FEF"/>
    <w:rPr>
      <w:sz w:val="18"/>
      <w:szCs w:val="18"/>
    </w:rPr>
  </w:style>
  <w:style w:type="paragraph" w:customStyle="1" w:styleId="10">
    <w:name w:val="无间隔1"/>
    <w:link w:val="Char5"/>
    <w:uiPriority w:val="1"/>
    <w:qFormat/>
    <w:rsid w:val="00550FEF"/>
    <w:pPr>
      <w:spacing w:after="160" w:line="480" w:lineRule="auto"/>
    </w:pPr>
    <w:rPr>
      <w:rFonts w:asciiTheme="minorHAnsi" w:eastAsiaTheme="minorEastAsia" w:hAnsiTheme="minorHAnsi" w:cstheme="minorBidi"/>
      <w:sz w:val="22"/>
      <w:szCs w:val="22"/>
    </w:rPr>
  </w:style>
  <w:style w:type="character" w:customStyle="1" w:styleId="Char5">
    <w:name w:val="无间隔 Char"/>
    <w:basedOn w:val="a0"/>
    <w:link w:val="10"/>
    <w:uiPriority w:val="1"/>
    <w:qFormat/>
    <w:rsid w:val="00550FEF"/>
    <w:rPr>
      <w:kern w:val="0"/>
      <w:sz w:val="22"/>
    </w:rPr>
  </w:style>
  <w:style w:type="character" w:customStyle="1" w:styleId="Char0">
    <w:name w:val="批注框文本 Char"/>
    <w:basedOn w:val="a0"/>
    <w:link w:val="a4"/>
    <w:uiPriority w:val="99"/>
    <w:semiHidden/>
    <w:qFormat/>
    <w:rsid w:val="00550FEF"/>
    <w:rPr>
      <w:rFonts w:ascii="Times New Roman" w:eastAsia="宋体" w:hAnsi="Times New Roman" w:cs="Times New Roman"/>
      <w:sz w:val="18"/>
      <w:szCs w:val="18"/>
    </w:rPr>
  </w:style>
  <w:style w:type="character" w:customStyle="1" w:styleId="Char4">
    <w:name w:val="标题 Char"/>
    <w:basedOn w:val="a0"/>
    <w:link w:val="a8"/>
    <w:uiPriority w:val="10"/>
    <w:qFormat/>
    <w:rsid w:val="00550FEF"/>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550FEF"/>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550FEF"/>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550FEF"/>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550FEF"/>
    <w:rPr>
      <w:rFonts w:asciiTheme="minorHAnsi" w:eastAsiaTheme="minorEastAsia" w:hAnsiTheme="minorEastAsia" w:cstheme="minorBidi"/>
      <w:szCs w:val="22"/>
      <w:lang w:eastAsia="zh-CN"/>
    </w:rPr>
  </w:style>
  <w:style w:type="character" w:customStyle="1" w:styleId="Style4">
    <w:name w:val="Style4"/>
    <w:basedOn w:val="a0"/>
    <w:uiPriority w:val="1"/>
    <w:qFormat/>
    <w:rsid w:val="00550FEF"/>
    <w:rPr>
      <w:rFonts w:asciiTheme="minorHAnsi" w:eastAsiaTheme="minorEastAsia" w:hAnsiTheme="minorEastAsia" w:cstheme="minorBidi"/>
      <w:szCs w:val="22"/>
      <w:lang w:eastAsia="zh-CN"/>
    </w:rPr>
  </w:style>
  <w:style w:type="character" w:customStyle="1" w:styleId="Style5">
    <w:name w:val="Style5"/>
    <w:basedOn w:val="a0"/>
    <w:uiPriority w:val="1"/>
    <w:qFormat/>
    <w:rsid w:val="00550FEF"/>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550FEF"/>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550FEF"/>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550FEF"/>
    <w:rPr>
      <w:rFonts w:ascii="Times New Roman" w:eastAsia="宋体" w:hAnsi="Times New Roman" w:cs="Times New Roman"/>
      <w:b/>
      <w:bCs/>
      <w:sz w:val="32"/>
      <w:szCs w:val="32"/>
    </w:rPr>
  </w:style>
  <w:style w:type="character" w:customStyle="1" w:styleId="4Char">
    <w:name w:val="标题 4 Char"/>
    <w:basedOn w:val="a0"/>
    <w:link w:val="4"/>
    <w:uiPriority w:val="9"/>
    <w:qFormat/>
    <w:rsid w:val="00550FEF"/>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550FEF"/>
    <w:rPr>
      <w:rFonts w:ascii="Times New Roman" w:eastAsia="宋体" w:hAnsi="Times New Roman" w:cs="Times New Roman"/>
      <w:szCs w:val="24"/>
    </w:rPr>
  </w:style>
  <w:style w:type="paragraph" w:customStyle="1" w:styleId="11">
    <w:name w:val="列出段落1"/>
    <w:basedOn w:val="a"/>
    <w:uiPriority w:val="99"/>
    <w:unhideWhenUsed/>
    <w:qFormat/>
    <w:rsid w:val="00550FEF"/>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chart" Target="charts/chart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__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___2.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___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spPr>
        <a:noFill/>
        <a:ln>
          <a:noFill/>
        </a:ln>
        <a:effectLst/>
      </c:spPr>
      <c:txPr>
        <a:bodyPr rot="0" spcFirstLastPara="0" vertOverflow="ellipsis" vert="horz" wrap="square" anchor="ctr" anchorCtr="1"/>
        <a:lstStyle/>
        <a:p>
          <a:pPr>
            <a:defRPr lang="zh-CN" sz="1600" b="1" i="0" u="none" strike="noStrike" kern="1200" cap="all" baseline="0">
              <a:solidFill>
                <a:schemeClr val="tx1">
                  <a:lumMod val="65000"/>
                  <a:lumOff val="35000"/>
                </a:schemeClr>
              </a:solidFill>
              <a:latin typeface="+mn-lt"/>
              <a:ea typeface="+mn-ea"/>
              <a:cs typeface="+mn-cs"/>
            </a:defRPr>
          </a:pPr>
          <a:endParaRPr lang="zh-CN"/>
        </a:p>
      </c:txPr>
    </c:title>
    <c:plotArea>
      <c:layout/>
      <c:pieChart>
        <c:varyColors val="1"/>
        <c:ser>
          <c:idx val="0"/>
          <c:order val="0"/>
          <c:tx>
            <c:strRef>
              <c:f>Sheet1!$B$1</c:f>
              <c:strCache>
                <c:ptCount val="1"/>
                <c:pt idx="0">
                  <c:v>收入决算说明</c:v>
                </c:pt>
              </c:strCache>
            </c:strRef>
          </c:tx>
          <c:dPt>
            <c:idx val="0"/>
            <c:spPr>
              <a:solidFill>
                <a:schemeClr val="accent1"/>
              </a:solidFill>
              <a:ln>
                <a:noFill/>
              </a:ln>
              <a:effectLst>
                <a:outerShdw blurRad="63500" sx="102000" sy="102000" algn="ctr" rotWithShape="0">
                  <a:prstClr val="black">
                    <a:alpha val="20000"/>
                  </a:prstClr>
                </a:outerShdw>
              </a:effectLst>
            </c:spPr>
          </c:dPt>
          <c:dPt>
            <c:idx val="1"/>
            <c:spPr>
              <a:solidFill>
                <a:schemeClr val="accent2"/>
              </a:solidFill>
              <a:ln>
                <a:noFill/>
              </a:ln>
              <a:effectLst>
                <a:outerShdw blurRad="63500" sx="102000" sy="102000" algn="ctr" rotWithShape="0">
                  <a:prstClr val="black">
                    <a:alpha val="20000"/>
                  </a:prstClr>
                </a:outerShdw>
              </a:effectLst>
            </c:spPr>
          </c:dPt>
          <c:dLbls>
            <c:dLbl>
              <c:idx val="0"/>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solidFill>
                          <a:schemeClr val="tx1"/>
                        </a:solidFill>
                      </a:rPr>
                      <a:t>财政拨款收入</a:t>
                    </a:r>
                  </a:p>
                  <a:p>
                    <a:pPr defTabSz="914400">
                      <a:defRPr lang="zh-CN" sz="1000" b="1" i="0" u="none" strike="noStrike" kern="1200" spc="0" baseline="0">
                        <a:solidFill>
                          <a:schemeClr val="accent1"/>
                        </a:solidFill>
                        <a:latin typeface="+mn-lt"/>
                        <a:ea typeface="+mn-ea"/>
                        <a:cs typeface="+mn-cs"/>
                      </a:defRPr>
                    </a:pPr>
                    <a:r>
                      <a:rPr>
                        <a:solidFill>
                          <a:schemeClr val="tx1"/>
                        </a:solidFill>
                      </a:rPr>
                      <a:t>9</a:t>
                    </a:r>
                    <a:r>
                      <a:rPr lang="en-US" altLang="zh-CN">
                        <a:solidFill>
                          <a:schemeClr val="tx1"/>
                        </a:solidFill>
                      </a:rPr>
                      <a:t>7.94</a:t>
                    </a:r>
                    <a:r>
                      <a:rPr>
                        <a:solidFill>
                          <a:schemeClr val="tx1"/>
                        </a:solidFill>
                      </a:rPr>
                      <a:t>%</a:t>
                    </a:r>
                  </a:p>
                </c:rich>
              </c:tx>
              <c:spPr>
                <a:noFill/>
                <a:ln>
                  <a:noFill/>
                </a:ln>
                <a:effectLst/>
              </c:spPr>
              <c:dLblPos val="outEnd"/>
              <c:showCatName val="1"/>
              <c:showPercent val="1"/>
              <c:separator>
</c:separator>
              <c:extLst>
                <c:ext xmlns:c15="http://schemas.microsoft.com/office/drawing/2012/chart" uri="{CE6537A1-D6FC-4f65-9D91-7224C49458BB}"/>
              </c:extLst>
            </c:dLbl>
            <c:dLbl>
              <c:idx val="1"/>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rPr>
                        <a:solidFill>
                          <a:schemeClr val="tx1"/>
                        </a:solidFill>
                      </a:rPr>
                      <a:t>其他收入</a:t>
                    </a:r>
                  </a:p>
                  <a:p>
                    <a:pPr defTabSz="914400">
                      <a:defRPr lang="zh-CN" sz="1000" b="1" i="0" u="none" strike="noStrike" kern="1200" spc="0" baseline="0">
                        <a:solidFill>
                          <a:schemeClr val="accent2"/>
                        </a:solidFill>
                        <a:latin typeface="+mn-lt"/>
                        <a:ea typeface="+mn-ea"/>
                        <a:cs typeface="+mn-cs"/>
                      </a:defRPr>
                    </a:pPr>
                    <a:r>
                      <a:rPr>
                        <a:solidFill>
                          <a:schemeClr val="tx1"/>
                        </a:solidFill>
                      </a:rPr>
                      <a:t>2</a:t>
                    </a:r>
                    <a:r>
                      <a:rPr lang="en-US" altLang="zh-CN">
                        <a:solidFill>
                          <a:schemeClr val="tx1"/>
                        </a:solidFill>
                      </a:rPr>
                      <a:t>.06</a:t>
                    </a:r>
                    <a:r>
                      <a:rPr>
                        <a:solidFill>
                          <a:schemeClr val="tx1"/>
                        </a:solidFill>
                      </a:rPr>
                      <a:t>%</a:t>
                    </a:r>
                  </a:p>
                </c:rich>
              </c:tx>
              <c:spPr>
                <a:noFill/>
                <a:ln>
                  <a:noFill/>
                </a:ln>
                <a:effectLst/>
              </c:spPr>
              <c:dLblPos val="outEnd"/>
              <c:showCatName val="1"/>
              <c:showPercent val="1"/>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endParaRPr lang="zh-CN"/>
              </a:p>
            </c:txPr>
            <c:dLblPos val="outEnd"/>
            <c:showCatName val="1"/>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0.97940000000000005</c:v>
                </c:pt>
                <c:pt idx="1">
                  <c:v>2.0600000000000007E-2</c:v>
                </c:pt>
              </c:numCache>
            </c:numRef>
          </c:val>
        </c:ser>
        <c:dLbls>
          <c:showPercent val="1"/>
        </c:dLbls>
        <c:firstSliceAng val="0"/>
      </c:pie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dk1">
                    <a:lumMod val="65000"/>
                    <a:lumOff val="35000"/>
                  </a:schemeClr>
                </a:solidFill>
                <a:latin typeface="+mn-lt"/>
                <a:ea typeface="+mn-ea"/>
                <a:cs typeface="+mn-cs"/>
              </a:defRPr>
            </a:pPr>
            <a:r>
              <a:t>图2：支出构成情况表</a:t>
            </a:r>
          </a:p>
        </c:rich>
      </c:tx>
      <c:layout>
        <c:manualLayout>
          <c:xMode val="edge"/>
          <c:yMode val="edge"/>
          <c:x val="0.33603336927282423"/>
          <c:y val="0.91080977572706778"/>
        </c:manualLayout>
      </c:layout>
      <c:spPr>
        <a:noFill/>
        <a:ln>
          <a:noFill/>
        </a:ln>
        <a:effectLst/>
      </c:spPr>
    </c:title>
    <c:plotArea>
      <c:layout/>
      <c:pieChart>
        <c:varyColors val="1"/>
        <c:ser>
          <c:idx val="0"/>
          <c:order val="0"/>
          <c:dPt>
            <c:idx val="0"/>
            <c:spPr>
              <a:solidFill>
                <a:schemeClr val="accent1"/>
              </a:solidFill>
              <a:ln>
                <a:noFill/>
              </a:ln>
              <a:effectLst>
                <a:outerShdw blurRad="317500" algn="ctr" rotWithShape="0">
                  <a:prstClr val="black">
                    <a:alpha val="25000"/>
                  </a:prstClr>
                </a:outerShdw>
              </a:effectLst>
            </c:spPr>
          </c:dPt>
          <c:dPt>
            <c:idx val="1"/>
            <c:spPr>
              <a:solidFill>
                <a:schemeClr val="accent2"/>
              </a:solidFill>
              <a:ln>
                <a:noFill/>
              </a:ln>
              <a:effectLst>
                <a:outerShdw blurRad="317500" algn="ctr" rotWithShape="0">
                  <a:prstClr val="black">
                    <a:alpha val="25000"/>
                  </a:prstClr>
                </a:outerShdw>
              </a:effectLst>
            </c:spPr>
          </c:dPt>
          <c:dLbls>
            <c:dLbl>
              <c:idx val="0"/>
              <c:tx>
                <c:rich>
                  <a:bodyPr/>
                  <a:lstStyle/>
                  <a:p>
                    <a:r>
                      <a:t>73.2%</a:t>
                    </a:r>
                  </a:p>
                </c:rich>
              </c:tx>
              <c:dLblPos val="inEnd"/>
              <c:showPercent val="1"/>
              <c:extLst>
                <c:ext xmlns:c15="http://schemas.microsoft.com/office/drawing/2012/chart" uri="{CE6537A1-D6FC-4f65-9D91-7224C49458BB}"/>
              </c:extLst>
            </c:dLbl>
            <c:dLbl>
              <c:idx val="1"/>
              <c:tx>
                <c:rich>
                  <a:bodyPr/>
                  <a:lstStyle/>
                  <a:p>
                    <a:r>
                      <a:t>26.8%</a:t>
                    </a:r>
                  </a:p>
                </c:rich>
              </c:tx>
              <c:dLblPos val="inEnd"/>
              <c:showPercent val="1"/>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endParaRPr lang="zh-CN"/>
              </a:p>
            </c:txPr>
            <c:dLblPos val="inEnd"/>
            <c:showPercent val="1"/>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Sheet2!$B$2:$C$2</c:f>
              <c:strCache>
                <c:ptCount val="2"/>
                <c:pt idx="0">
                  <c:v>基本支出 </c:v>
                </c:pt>
                <c:pt idx="1">
                  <c:v>项目支出</c:v>
                </c:pt>
              </c:strCache>
            </c:strRef>
          </c:cat>
          <c:val>
            <c:numRef>
              <c:f>Sheet2!$B$3:$C$3</c:f>
              <c:numCache>
                <c:formatCode>General</c:formatCode>
                <c:ptCount val="2"/>
                <c:pt idx="0">
                  <c:v>359.19</c:v>
                </c:pt>
                <c:pt idx="1">
                  <c:v>131.34</c:v>
                </c:pt>
              </c:numCache>
            </c:numRef>
          </c:val>
        </c:ser>
        <c:dLbls>
          <c:showPercent val="1"/>
        </c:dLbls>
        <c:firstSliceAng val="0"/>
      </c:pieChart>
      <c:spPr>
        <a:noFill/>
        <a:ln>
          <a:noFill/>
        </a:ln>
        <a:effectLst/>
      </c:spPr>
    </c:plotArea>
    <c:legend>
      <c:legendPos val="b"/>
      <c:layout>
        <c:manualLayout>
          <c:xMode val="edge"/>
          <c:yMode val="edge"/>
          <c:x val="0.37771325867551492"/>
          <c:y val="0.84544334975369484"/>
        </c:manualLayout>
      </c:layout>
      <c:spPr>
        <a:solidFill>
          <a:schemeClr val="lt1">
            <a:alpha val="78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endParaRPr lang="zh-CN"/>
        </a:p>
      </c:txPr>
    </c:legend>
    <c:plotVisOnly val="1"/>
    <c:dispBlanksAs val="zero"/>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t>图3：2017-2018年财政拨款收支对比情况</a:t>
            </a:r>
          </a:p>
        </c:rich>
      </c:tx>
      <c:layout>
        <c:manualLayout>
          <c:xMode val="edge"/>
          <c:yMode val="edge"/>
          <c:x val="0.22222222222222204"/>
          <c:y val="0.86474973375931941"/>
        </c:manualLayout>
      </c:layout>
      <c:spPr>
        <a:noFill/>
        <a:ln>
          <a:noFill/>
        </a:ln>
        <a:effectLst/>
      </c:spPr>
    </c:title>
    <c:plotArea>
      <c:layout>
        <c:manualLayout>
          <c:layoutTarget val="inner"/>
          <c:xMode val="edge"/>
          <c:yMode val="edge"/>
          <c:x val="7.4599518810148507E-2"/>
          <c:y val="8.7554721701063237E-2"/>
          <c:w val="0.86928937007874119"/>
          <c:h val="0.60199340897084419"/>
        </c:manualLayout>
      </c:layout>
      <c:barChart>
        <c:barDir val="col"/>
        <c:grouping val="clustered"/>
        <c:ser>
          <c:idx val="0"/>
          <c:order val="0"/>
          <c:tx>
            <c:strRef>
              <c:f>'[部门决算公开制图模板（修改版）(1).xlsx]收支与决算对比'!$A$5</c:f>
              <c:strCache>
                <c:ptCount val="1"/>
                <c:pt idx="0">
                  <c:v>2018</c:v>
                </c:pt>
              </c:strCache>
            </c:strRef>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endParaRPr lang="zh-CN"/>
              </a:p>
            </c:txPr>
            <c:dLblPos val="inEnd"/>
            <c:showVal val="1"/>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482.51</c:v>
                </c:pt>
                <c:pt idx="1">
                  <c:v>482.51</c:v>
                </c:pt>
              </c:numCache>
            </c:numRef>
          </c:val>
        </c:ser>
        <c:ser>
          <c:idx val="1"/>
          <c:order val="1"/>
          <c:tx>
            <c:strRef>
              <c:f>'[部门决算公开制图模板（修改版）(1).xlsx]收支与决算对比'!$A$6</c:f>
              <c:strCache>
                <c:ptCount val="1"/>
                <c:pt idx="0">
                  <c:v>2017</c:v>
                </c:pt>
              </c:strCache>
            </c:strRef>
          </c:tx>
          <c:spPr>
            <a:solidFill>
              <a:schemeClr val="accent2">
                <a:alpha val="85000"/>
              </a:schemeClr>
            </a:solidFill>
            <a:ln w="9525" cap="flat" cmpd="sng" algn="ctr">
              <a:solidFill>
                <a:schemeClr val="lt1">
                  <a:alpha val="50000"/>
                </a:schemeClr>
              </a:solidFill>
              <a:round/>
            </a:ln>
            <a:effectLst/>
          </c:spPr>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endParaRPr lang="zh-CN"/>
              </a:p>
            </c:txPr>
            <c:dLblPos val="inEnd"/>
            <c:showVal val="1"/>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#,##0.00</c:formatCode>
                <c:ptCount val="2"/>
                <c:pt idx="0">
                  <c:v>427.65000000000009</c:v>
                </c:pt>
                <c:pt idx="1">
                  <c:v>453.65000000000009</c:v>
                </c:pt>
              </c:numCache>
            </c:numRef>
          </c:val>
        </c:ser>
        <c:dLbls>
          <c:showVal val="1"/>
        </c:dLbls>
        <c:gapWidth val="65"/>
        <c:axId val="238500480"/>
        <c:axId val="238547328"/>
      </c:barChart>
      <c:catAx>
        <c:axId val="238500480"/>
        <c:scaling>
          <c:orientation val="minMax"/>
        </c:scaling>
        <c:axPos val="b"/>
        <c:maj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endParaRPr lang="zh-CN"/>
          </a:p>
        </c:txPr>
        <c:crossAx val="238547328"/>
        <c:crosses val="autoZero"/>
        <c:auto val="1"/>
        <c:lblAlgn val="ctr"/>
        <c:lblOffset val="100"/>
      </c:catAx>
      <c:valAx>
        <c:axId val="238547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extTo"/>
        <c:crossAx val="238500480"/>
        <c:crosses val="autoZero"/>
        <c:crossBetween val="between"/>
      </c:valAx>
      <c:spPr>
        <a:noFill/>
        <a:ln>
          <a:noFill/>
        </a:ln>
        <a:effectLst/>
      </c:spPr>
    </c:plotArea>
    <c:legend>
      <c:legendPos val="b"/>
      <c:layout>
        <c:manualLayout>
          <c:xMode val="edge"/>
          <c:yMode val="edge"/>
          <c:x val="0.41701388888888913"/>
          <c:y val="0.71763602251407144"/>
        </c:manualLayout>
      </c:layout>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endParaRPr lang="zh-CN"/>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t>图4：财政拨款收支预决算对比情况</a:t>
            </a:r>
          </a:p>
        </c:rich>
      </c:tx>
      <c:layout>
        <c:manualLayout>
          <c:xMode val="edge"/>
          <c:yMode val="edge"/>
          <c:x val="0.21944444444444516"/>
          <c:y val="0.93187613843351524"/>
        </c:manualLayout>
      </c:layout>
      <c:spPr>
        <a:noFill/>
        <a:ln>
          <a:noFill/>
        </a:ln>
        <a:effectLst/>
      </c:spPr>
    </c:title>
    <c:plotArea>
      <c:layout>
        <c:manualLayout>
          <c:layoutTarget val="inner"/>
          <c:xMode val="edge"/>
          <c:yMode val="edge"/>
          <c:x val="0.10015507436570402"/>
          <c:y val="2.311560486757341E-2"/>
          <c:w val="0.86928937007874119"/>
          <c:h val="0.76881800286327939"/>
        </c:manualLayout>
      </c:layout>
      <c:barChart>
        <c:barDir val="col"/>
        <c:grouping val="clustered"/>
        <c:ser>
          <c:idx val="0"/>
          <c:order val="0"/>
          <c:tx>
            <c:strRef>
              <c:f>'[部门决算公开制图模板（修改版）(1).xlsx]收支与预算对比'!$A$5</c:f>
              <c:strCache>
                <c:ptCount val="1"/>
                <c:pt idx="0">
                  <c:v>年初预算数</c:v>
                </c:pt>
              </c:strCache>
            </c:strRef>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endParaRPr lang="zh-CN"/>
              </a:p>
            </c:txPr>
            <c:dLblPos val="inEnd"/>
            <c:showVal val="1"/>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604</c:v>
                </c:pt>
                <c:pt idx="1">
                  <c:v>604</c:v>
                </c:pt>
              </c:numCache>
            </c:numRef>
          </c:val>
        </c:ser>
        <c:ser>
          <c:idx val="1"/>
          <c:order val="1"/>
          <c:tx>
            <c:strRef>
              <c:f>'[部门决算公开制图模板（修改版）(1).xlsx]收支与预算对比'!$A$6</c:f>
              <c:strCache>
                <c:ptCount val="1"/>
                <c:pt idx="0">
                  <c:v>决算数</c:v>
                </c:pt>
              </c:strCache>
            </c:strRef>
          </c:tx>
          <c:spPr>
            <a:solidFill>
              <a:schemeClr val="accent2">
                <a:alpha val="85000"/>
              </a:schemeClr>
            </a:solidFill>
            <a:ln w="9525" cap="flat" cmpd="sng" algn="ctr">
              <a:solidFill>
                <a:schemeClr val="lt1">
                  <a:alpha val="50000"/>
                </a:schemeClr>
              </a:solidFill>
              <a:round/>
            </a:ln>
            <a:effectLst/>
          </c:spPr>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endParaRPr lang="zh-CN"/>
              </a:p>
            </c:txPr>
            <c:dLblPos val="inEnd"/>
            <c:showVal val="1"/>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#,##0.00</c:formatCode>
                <c:ptCount val="2"/>
                <c:pt idx="0">
                  <c:v>482.51</c:v>
                </c:pt>
                <c:pt idx="1">
                  <c:v>482.51</c:v>
                </c:pt>
              </c:numCache>
            </c:numRef>
          </c:val>
        </c:ser>
        <c:dLbls>
          <c:showVal val="1"/>
        </c:dLbls>
        <c:gapWidth val="65"/>
        <c:axId val="238573056"/>
        <c:axId val="238574592"/>
      </c:barChart>
      <c:catAx>
        <c:axId val="238573056"/>
        <c:scaling>
          <c:orientation val="minMax"/>
        </c:scaling>
        <c:axPos val="b"/>
        <c:maj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endParaRPr lang="zh-CN"/>
          </a:p>
        </c:txPr>
        <c:crossAx val="238574592"/>
        <c:crosses val="autoZero"/>
        <c:auto val="1"/>
        <c:lblAlgn val="ctr"/>
        <c:lblOffset val="100"/>
      </c:catAx>
      <c:valAx>
        <c:axId val="23857459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extTo"/>
        <c:crossAx val="238573056"/>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endParaRPr lang="zh-CN"/>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600" b="1" i="0" u="none" strike="noStrike" kern="1200" cap="all" baseline="0">
                <a:solidFill>
                  <a:schemeClr val="tx1">
                    <a:lumMod val="65000"/>
                    <a:lumOff val="35000"/>
                  </a:schemeClr>
                </a:solidFill>
                <a:latin typeface="+mn-lt"/>
                <a:ea typeface="+mn-ea"/>
                <a:cs typeface="+mn-cs"/>
              </a:defRPr>
            </a:pPr>
            <a:r>
              <a:t>图5：财政拨款支出情况结构</a:t>
            </a:r>
          </a:p>
        </c:rich>
      </c:tx>
      <c:layout>
        <c:manualLayout>
          <c:xMode val="edge"/>
          <c:yMode val="edge"/>
          <c:x val="0.165304768376035"/>
          <c:y val="1.6407330923580214E-2"/>
        </c:manualLayout>
      </c:layout>
      <c:spPr>
        <a:noFill/>
        <a:ln>
          <a:noFill/>
        </a:ln>
        <a:effectLst/>
      </c:spPr>
    </c:title>
    <c:plotArea>
      <c:layout/>
      <c:pieChart>
        <c:varyColors val="1"/>
        <c:ser>
          <c:idx val="0"/>
          <c:order val="0"/>
          <c:dPt>
            <c:idx val="0"/>
            <c:spPr>
              <a:solidFill>
                <a:schemeClr val="accent1"/>
              </a:solidFill>
              <a:ln>
                <a:noFill/>
              </a:ln>
              <a:effectLst>
                <a:outerShdw blurRad="63500" sx="102000" sy="102000" algn="ctr" rotWithShape="0">
                  <a:prstClr val="black">
                    <a:alpha val="20000"/>
                  </a:prstClr>
                </a:outerShdw>
              </a:effectLst>
            </c:spPr>
          </c:dPt>
          <c:dPt>
            <c:idx val="1"/>
            <c:spPr>
              <a:solidFill>
                <a:schemeClr val="accent2"/>
              </a:solidFill>
              <a:ln>
                <a:noFill/>
              </a:ln>
              <a:effectLst>
                <a:outerShdw blurRad="63500" sx="102000" sy="102000" algn="ctr" rotWithShape="0">
                  <a:prstClr val="black">
                    <a:alpha val="20000"/>
                  </a:prstClr>
                </a:outerShdw>
              </a:effectLst>
            </c:spPr>
          </c:dPt>
          <c:dLbls>
            <c:dLbl>
              <c:idx val="0"/>
              <c:layout>
                <c:manualLayout>
                  <c:x val="0"/>
                  <c:y val="2.7359781121751004E-3"/>
                </c:manualLayout>
              </c:layout>
              <c:tx>
                <c:rich>
                  <a:bodyPr/>
                  <a:lstStyle/>
                  <a:p>
                    <a:r>
                      <a:rPr>
                        <a:solidFill>
                          <a:schemeClr val="tx1"/>
                        </a:solidFill>
                      </a:rPr>
                      <a:t>社会保障和就业（类）支出1.55%</a:t>
                    </a:r>
                  </a:p>
                </c:rich>
              </c:tx>
              <c:dLblPos val="bestFit"/>
              <c:showCatName val="1"/>
              <c:showPercent val="1"/>
              <c:separator>
</c:separator>
              <c:extLst>
                <c:ext xmlns:c15="http://schemas.microsoft.com/office/drawing/2012/chart" uri="{CE6537A1-D6FC-4f65-9D91-7224C49458BB}">
                  <c15:layout>
                    <c:manualLayout>
                      <c:w val="0.653976311336717"/>
                      <c:h val="0.097640218878249"/>
                    </c:manualLayout>
                  </c15:layout>
                </c:ext>
              </c:extLst>
            </c:dLbl>
            <c:dLbl>
              <c:idx val="1"/>
              <c:tx>
                <c:rich>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r>
                      <a:rPr>
                        <a:solidFill>
                          <a:schemeClr val="tx1"/>
                        </a:solidFill>
                      </a:rPr>
                      <a:t>医疗卫生计划生育支出98.45%</a:t>
                    </a:r>
                  </a:p>
                </c:rich>
              </c:tx>
              <c:spPr>
                <a:noFill/>
                <a:ln>
                  <a:noFill/>
                </a:ln>
                <a:effectLst/>
              </c:spPr>
              <c:dLblPos val="outEnd"/>
              <c:showCatName val="1"/>
              <c:showPercent val="1"/>
              <c:separator>
</c:separator>
              <c:extLst>
                <c:ext xmlns:c15="http://schemas.microsoft.com/office/drawing/2012/chart" uri="{CE6537A1-D6FC-4f65-9D91-7224C49458BB}">
                  <c15:layout>
                    <c:manualLayout>
                      <c:w val="0.578003384094755"/>
                      <c:h val="0.101915184678523"/>
                    </c:manualLayout>
                  </c15:layout>
                </c:ext>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endParaRPr lang="zh-CN"/>
              </a:p>
            </c:txPr>
            <c:dLblPos val="outEnd"/>
            <c:showCatName val="1"/>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Sheet5!$C$6:$C$7</c:f>
              <c:strCache>
                <c:ptCount val="2"/>
                <c:pt idx="0">
                  <c:v>社会保障就业</c:v>
                </c:pt>
                <c:pt idx="1">
                  <c:v>医疗卫生与计划生育支出</c:v>
                </c:pt>
              </c:strCache>
            </c:strRef>
          </c:cat>
          <c:val>
            <c:numRef>
              <c:f>Sheet5!$D$6:$D$7</c:f>
              <c:numCache>
                <c:formatCode>General</c:formatCode>
                <c:ptCount val="2"/>
                <c:pt idx="0">
                  <c:v>7.46</c:v>
                </c:pt>
                <c:pt idx="1">
                  <c:v>475.06</c:v>
                </c:pt>
              </c:numCache>
            </c:numRef>
          </c:val>
        </c:ser>
        <c:dLbls>
          <c:showPercent val="1"/>
        </c:dLbls>
        <c:firstSliceAng val="0"/>
      </c:pie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F0F67C2D-C553-4111-B9E6-8CB52AF52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33</Pages>
  <Words>1704</Words>
  <Characters>9719</Characters>
  <Application>Microsoft Office Word</Application>
  <DocSecurity>0</DocSecurity>
  <Lines>80</Lines>
  <Paragraphs>22</Paragraphs>
  <ScaleCrop>false</ScaleCrop>
  <Company>Microsoft</Company>
  <LinksUpToDate>false</LinksUpToDate>
  <CharactersWithSpaces>11401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Administrator</cp:lastModifiedBy>
  <cp:revision>30</cp:revision>
  <cp:lastPrinted>2019-08-02T01:01:00Z</cp:lastPrinted>
  <dcterms:created xsi:type="dcterms:W3CDTF">2019-08-28T08:40:00Z</dcterms:created>
  <dcterms:modified xsi:type="dcterms:W3CDTF">2021-05-22T04:29:00Z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27284F89F2F849218BB5E0889FEB69E6</vt:lpwstr>
  </property>
</Properties>
</file>