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bookmarkStart w:id="0" w:name="_GoBack"/>
      <w:bookmarkEnd w:id="0"/>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AcM8NU2wAAAAwBAAAP&#10;AAAAAAAAAAEAIAAAACIAAABkcnMvZG93bnJldi54bWxQSwECFAAUAAAACACHTuJAy6SxeE4CAACB&#10;BAAADgAAAAAAAAABACAAAAAqAQAAZHJzL2Uyb0RvYy54bWxQSwUGAAAAAAYABgBZAQAA6g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无极县市场监督管理局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市场监管局</w:t>
      </w:r>
      <w:r>
        <w:rPr>
          <w:rFonts w:eastAsia="黑体"/>
          <w:sz w:val="32"/>
          <w:szCs w:val="32"/>
        </w:rPr>
        <w:t>部门201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a:stretch>
                      <a:fillRect/>
                    </a:stretch>
                  </pic:blipFill>
                  <pic:spPr>
                    <a:xfrm>
                      <a:off x="0" y="0"/>
                      <a:ext cx="7585710" cy="10727055"/>
                    </a:xfrm>
                    <a:prstGeom prst="rect">
                      <a:avLst/>
                    </a:prstGeom>
                  </pic:spPr>
                </pic:pic>
              </a:graphicData>
            </a:graphic>
          </wp:anchor>
        </w:drawing>
      </w:r>
      <w:r>
        <w:rPr>
          <w:sz w:val="72"/>
        </w:rPr>
        <w:pict>
          <v:shape id="_x0000_s1030" o:spid="_x0000_s1030" o:spt="202" type="#_x0000_t202" style="position:absolute;left:0pt;margin-left:-97.3pt;margin-top:259.1pt;height:81.7pt;width:613.65pt;z-index:251669504;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PV9lc0YCAAB5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Tb4qz8MmTII0lJ6k2K/6Dc4VVXeA6WmYleDkeYtSLkSIV8JjOIAM6xMvcdSakJI2&#10;EmcN+W//0id/9AxWzjoMW8nD17XwijP9waKbR+ODgzSd+XIwne3j4p9aVk8tdm1OCfM8xqI6mcXk&#10;H/VWrD2ZL9iyZcoKk7ASuUset+JpHFYAWyrVcpmdMI9OxAt77WQKPZC7XEeq28x7omngBk1IF0xk&#10;bsdme9LIP71nr8c/xuI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qIrDqd4AAAANAQAADwAAAAAA&#10;AAABACAAAAAiAAAAZHJzL2Rvd25yZXYueG1sUEsBAhQAFAAAAAgAh07iQD1fZXNGAgAAeQQAAA4A&#10;AAAAAAAAAQAgAAAALQEAAGRycy9lMm9Eb2MueG1sUEsFBgAAAAAGAAYAWQEAAOUFA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ind w:firstLine="660"/>
        <w:rPr>
          <w:rFonts w:ascii="楷体" w:hAnsi="楷体" w:eastAsia="楷体"/>
          <w:sz w:val="32"/>
          <w:szCs w:val="32"/>
        </w:rPr>
      </w:pPr>
      <w:r>
        <w:rPr>
          <w:rFonts w:hint="eastAsia" w:ascii="楷体" w:hAnsi="楷体" w:eastAsia="楷体"/>
          <w:sz w:val="32"/>
          <w:szCs w:val="32"/>
        </w:rPr>
        <w:t>（一）部门职责</w:t>
      </w:r>
    </w:p>
    <w:p>
      <w:pPr>
        <w:ind w:firstLine="660"/>
        <w:rPr>
          <w:rFonts w:ascii="仿宋" w:hAnsi="仿宋" w:eastAsia="仿宋"/>
          <w:sz w:val="32"/>
          <w:szCs w:val="32"/>
        </w:rPr>
      </w:pPr>
      <w:r>
        <w:rPr>
          <w:rFonts w:hint="eastAsia" w:ascii="仿宋" w:hAnsi="仿宋" w:eastAsia="仿宋"/>
          <w:sz w:val="32"/>
          <w:szCs w:val="32"/>
        </w:rPr>
        <w:t>1、依法负责全县各类市场监督管理和行政执法工作。贯彻执行国家和省关于工商行政管理的方针政策和法律法规;落实省、市工商行政管理局工作部署;拟定全县工商行政管理措施办法。</w:t>
      </w:r>
    </w:p>
    <w:p>
      <w:pPr>
        <w:ind w:firstLine="660"/>
        <w:rPr>
          <w:rFonts w:ascii="仿宋" w:hAnsi="仿宋" w:eastAsia="仿宋"/>
          <w:sz w:val="32"/>
          <w:szCs w:val="32"/>
        </w:rPr>
      </w:pPr>
      <w:r>
        <w:rPr>
          <w:rFonts w:hint="eastAsia" w:ascii="仿宋" w:hAnsi="仿宋" w:eastAsia="仿宋"/>
          <w:sz w:val="32"/>
          <w:szCs w:val="32"/>
        </w:rPr>
        <w:t>2、按照业务权限负责全县各类企业、农民专业合作社和从事经营活动的单位、个人以及外国（地区）企业驻辖区代表机构等市场主体的事中事后监督管理。在县政府领导下，按照职责分工依法查处取缔无照经营。负责工商行政管理业务信息库建设。</w:t>
      </w:r>
    </w:p>
    <w:p>
      <w:pPr>
        <w:ind w:firstLine="660"/>
        <w:rPr>
          <w:rFonts w:ascii="仿宋" w:hAnsi="仿宋" w:eastAsia="仿宋"/>
          <w:sz w:val="32"/>
          <w:szCs w:val="32"/>
        </w:rPr>
      </w:pPr>
      <w:r>
        <w:rPr>
          <w:rFonts w:hint="eastAsia" w:ascii="仿宋" w:hAnsi="仿宋" w:eastAsia="仿宋"/>
          <w:sz w:val="32"/>
          <w:szCs w:val="32"/>
        </w:rPr>
        <w:t>3、负责依法规范和维护辖区各类市场经营秩序，监督管理市场交易行为和网络商品交易及有关服务的行为。</w:t>
      </w:r>
    </w:p>
    <w:p>
      <w:pPr>
        <w:ind w:firstLine="660"/>
        <w:rPr>
          <w:rFonts w:ascii="仿宋" w:hAnsi="仿宋" w:eastAsia="仿宋"/>
          <w:sz w:val="32"/>
          <w:szCs w:val="32"/>
        </w:rPr>
      </w:pPr>
      <w:r>
        <w:rPr>
          <w:rFonts w:hint="eastAsia" w:ascii="仿宋" w:hAnsi="仿宋" w:eastAsia="仿宋"/>
          <w:sz w:val="32"/>
          <w:szCs w:val="32"/>
        </w:rPr>
        <w:t>4、在县政府的领导下，监督管理流通领域商品质量，组织开展有关服务领域消费维权工作，按分工查处假冒伪劣等违法行为，指导消费者咨询、申诉、举报受理、处理和网络体系建设等工作，保护消费者、经营者合法权益。</w:t>
      </w:r>
    </w:p>
    <w:p>
      <w:pPr>
        <w:ind w:firstLine="660"/>
        <w:rPr>
          <w:rFonts w:ascii="仿宋" w:hAnsi="仿宋" w:eastAsia="仿宋"/>
          <w:sz w:val="32"/>
          <w:szCs w:val="32"/>
        </w:rPr>
      </w:pPr>
      <w:r>
        <w:rPr>
          <w:rFonts w:hint="eastAsia" w:ascii="仿宋" w:hAnsi="仿宋" w:eastAsia="仿宋"/>
          <w:sz w:val="32"/>
          <w:szCs w:val="32"/>
        </w:rPr>
        <w:t>5、在县政府领导下，按照职责分工依法查处违法直销和传销行为，依法监督管理直销企业和直销员及其直销活动。</w:t>
      </w:r>
    </w:p>
    <w:p>
      <w:pPr>
        <w:ind w:firstLine="660"/>
        <w:rPr>
          <w:rFonts w:ascii="仿宋" w:hAnsi="仿宋" w:eastAsia="仿宋"/>
          <w:sz w:val="32"/>
          <w:szCs w:val="32"/>
        </w:rPr>
      </w:pPr>
      <w:r>
        <w:rPr>
          <w:rFonts w:hint="eastAsia" w:ascii="仿宋" w:hAnsi="仿宋" w:eastAsia="仿宋"/>
          <w:sz w:val="32"/>
          <w:szCs w:val="32"/>
        </w:rPr>
        <w:t>6、根据授权依法负责垄断协议、滥用市场支配地位、滥用行政权力排除限制竞争方面的反垄断执法工作（价格垄断行为除外）。依法查处不正当竞争、商业贿赂、走私贩私等经济违法行为。</w:t>
      </w:r>
    </w:p>
    <w:p>
      <w:pPr>
        <w:ind w:firstLine="660"/>
        <w:rPr>
          <w:rFonts w:ascii="仿宋" w:hAnsi="仿宋" w:eastAsia="仿宋"/>
          <w:sz w:val="32"/>
          <w:szCs w:val="32"/>
        </w:rPr>
      </w:pPr>
      <w:r>
        <w:rPr>
          <w:rFonts w:hint="eastAsia" w:ascii="仿宋" w:hAnsi="仿宋" w:eastAsia="仿宋"/>
          <w:sz w:val="32"/>
          <w:szCs w:val="32"/>
        </w:rPr>
        <w:t>7、依法监督管理经纪人、经纪机构及经纪活动。</w:t>
      </w:r>
    </w:p>
    <w:p>
      <w:pPr>
        <w:ind w:firstLine="660"/>
        <w:rPr>
          <w:rFonts w:ascii="仿宋" w:hAnsi="仿宋" w:eastAsia="仿宋"/>
          <w:sz w:val="32"/>
          <w:szCs w:val="32"/>
        </w:rPr>
      </w:pPr>
      <w:r>
        <w:rPr>
          <w:rFonts w:hint="eastAsia" w:ascii="仿宋" w:hAnsi="仿宋" w:eastAsia="仿宋"/>
          <w:sz w:val="32"/>
          <w:szCs w:val="32"/>
        </w:rPr>
        <w:t>8、依法实施合同行政监督管理，负责管理动产抵押物登记，组织监督管理拍卖行为，依法查处合同欺诈等违法行为。</w:t>
      </w:r>
    </w:p>
    <w:p>
      <w:pPr>
        <w:ind w:firstLine="660"/>
        <w:rPr>
          <w:rFonts w:ascii="仿宋" w:hAnsi="仿宋" w:eastAsia="仿宋"/>
          <w:sz w:val="32"/>
          <w:szCs w:val="32"/>
        </w:rPr>
      </w:pPr>
      <w:r>
        <w:rPr>
          <w:rFonts w:hint="eastAsia" w:ascii="仿宋" w:hAnsi="仿宋" w:eastAsia="仿宋"/>
          <w:sz w:val="32"/>
          <w:szCs w:val="32"/>
        </w:rPr>
        <w:t>9、指导广告业发展，负责广告活动的监督管理工作。</w:t>
      </w:r>
    </w:p>
    <w:p>
      <w:pPr>
        <w:ind w:firstLine="660"/>
        <w:rPr>
          <w:rFonts w:ascii="仿宋" w:hAnsi="仿宋" w:eastAsia="仿宋"/>
          <w:sz w:val="32"/>
          <w:szCs w:val="32"/>
        </w:rPr>
      </w:pPr>
      <w:r>
        <w:rPr>
          <w:rFonts w:hint="eastAsia" w:ascii="仿宋" w:hAnsi="仿宋" w:eastAsia="仿宋"/>
          <w:sz w:val="32"/>
          <w:szCs w:val="32"/>
        </w:rPr>
        <w:t>10、组织指导商标管理工作，依法保护商标专用权和查处商标侵权行为，负责驰名商标、著名商标的培堉推荐保护工作。负责特殊标志、官方标志的保护。</w:t>
      </w:r>
    </w:p>
    <w:p>
      <w:pPr>
        <w:ind w:firstLine="660"/>
        <w:rPr>
          <w:rFonts w:ascii="仿宋" w:hAnsi="仿宋" w:eastAsia="仿宋"/>
          <w:sz w:val="32"/>
          <w:szCs w:val="32"/>
        </w:rPr>
      </w:pPr>
      <w:r>
        <w:rPr>
          <w:rFonts w:hint="eastAsia" w:ascii="仿宋" w:hAnsi="仿宋" w:eastAsia="仿宋"/>
          <w:sz w:val="32"/>
          <w:szCs w:val="32"/>
        </w:rPr>
        <w:t>11、组织指导企业、个体工商户、商品交易市场信用分类管理，研究分析并依法发布市场主体登记注册基础信息等相关信息，为政府决策和社会公众提供信息服务。</w:t>
      </w:r>
    </w:p>
    <w:p>
      <w:pPr>
        <w:ind w:firstLine="660"/>
        <w:rPr>
          <w:rFonts w:ascii="仿宋" w:hAnsi="仿宋" w:eastAsia="仿宋"/>
          <w:sz w:val="32"/>
          <w:szCs w:val="32"/>
        </w:rPr>
      </w:pPr>
      <w:r>
        <w:rPr>
          <w:rFonts w:hint="eastAsia" w:ascii="仿宋" w:hAnsi="仿宋" w:eastAsia="仿宋"/>
          <w:sz w:val="32"/>
          <w:szCs w:val="32"/>
        </w:rPr>
        <w:t>12、负责个体工商户、私营企业经营行为的服务和监督管理。</w:t>
      </w:r>
    </w:p>
    <w:p>
      <w:pPr>
        <w:ind w:firstLine="660"/>
        <w:rPr>
          <w:rFonts w:ascii="仿宋" w:hAnsi="仿宋" w:eastAsia="仿宋"/>
          <w:sz w:val="32"/>
          <w:szCs w:val="32"/>
        </w:rPr>
      </w:pPr>
      <w:r>
        <w:rPr>
          <w:rFonts w:hint="eastAsia" w:ascii="仿宋" w:hAnsi="仿宋" w:eastAsia="仿宋"/>
          <w:sz w:val="32"/>
          <w:szCs w:val="32"/>
        </w:rPr>
        <w:t>13、按照规定管理所辖机关及直属单位的人事、财务、审计、监察、离退休干部、基层队伍建设、培训工作。</w:t>
      </w:r>
    </w:p>
    <w:p>
      <w:pPr>
        <w:ind w:firstLine="660"/>
        <w:rPr>
          <w:rFonts w:ascii="仿宋" w:hAnsi="仿宋" w:eastAsia="仿宋"/>
          <w:sz w:val="32"/>
          <w:szCs w:val="32"/>
        </w:rPr>
      </w:pPr>
      <w:r>
        <w:rPr>
          <w:rFonts w:hint="eastAsia" w:ascii="仿宋" w:hAnsi="仿宋" w:eastAsia="仿宋"/>
          <w:sz w:val="32"/>
          <w:szCs w:val="32"/>
        </w:rPr>
        <w:t>14组织指导县消费者协会、私营企业协会、个体劳动者协会、无极县维修行业服务中心等直属社团的工作。</w:t>
      </w:r>
    </w:p>
    <w:p>
      <w:pPr>
        <w:ind w:firstLine="660"/>
        <w:rPr>
          <w:rFonts w:ascii="仿宋" w:hAnsi="仿宋" w:eastAsia="仿宋"/>
          <w:sz w:val="32"/>
          <w:szCs w:val="32"/>
        </w:rPr>
      </w:pPr>
      <w:r>
        <w:rPr>
          <w:rFonts w:hint="eastAsia" w:ascii="仿宋" w:hAnsi="仿宋" w:eastAsia="仿宋"/>
          <w:sz w:val="32"/>
          <w:szCs w:val="32"/>
        </w:rPr>
        <w:t>15、承办上级交办的其他事项。</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cs="ArialUnicodeMS" w:hAnsiTheme="minorHAnsi" w:eastAsiaTheme="minorEastAsia"/>
                <w:kern w:val="0"/>
                <w:sz w:val="28"/>
                <w:szCs w:val="28"/>
              </w:rPr>
            </w:pPr>
            <w:r>
              <w:rPr>
                <w:rFonts w:hint="eastAsia" w:ascii="仿宋_GB2312" w:cs="ArialUnicodeMS" w:hAnsiTheme="minorHAnsi" w:eastAsiaTheme="minorEastAsia"/>
                <w:kern w:val="0"/>
                <w:sz w:val="28"/>
                <w:szCs w:val="28"/>
              </w:rPr>
              <w:t>无极县市场监督管理局</w:t>
            </w:r>
          </w:p>
        </w:tc>
        <w:tc>
          <w:tcPr>
            <w:tcW w:w="2445" w:type="dxa"/>
          </w:tcPr>
          <w:p>
            <w:pPr>
              <w:spacing w:after="0" w:line="560" w:lineRule="exact"/>
              <w:jc w:val="center"/>
              <w:rPr>
                <w:rFonts w:ascii="仿宋_GB2312" w:cs="ArialUnicodeMS" w:hAnsiTheme="minorHAnsi" w:eastAsiaTheme="minorEastAsia"/>
                <w:kern w:val="0"/>
                <w:sz w:val="28"/>
                <w:szCs w:val="28"/>
              </w:rPr>
            </w:pPr>
            <w:r>
              <w:rPr>
                <w:rFonts w:hint="eastAsia" w:ascii="仿宋_GB2312" w:cs="ArialUnicodeMS" w:hAnsiTheme="minorHAnsi" w:eastAsiaTheme="minorEastAsia"/>
                <w:kern w:val="0"/>
                <w:sz w:val="28"/>
                <w:szCs w:val="28"/>
              </w:rPr>
              <w:t>行政单位</w:t>
            </w:r>
          </w:p>
        </w:tc>
        <w:tc>
          <w:tcPr>
            <w:tcW w:w="2665" w:type="dxa"/>
          </w:tcPr>
          <w:p>
            <w:pPr>
              <w:spacing w:after="0" w:line="560" w:lineRule="exact"/>
              <w:jc w:val="center"/>
              <w:rPr>
                <w:rFonts w:ascii="仿宋_GB2312" w:cs="ArialUnicodeMS" w:hAnsiTheme="minorHAnsi" w:eastAsiaTheme="minorEastAsia"/>
                <w:kern w:val="0"/>
                <w:sz w:val="28"/>
                <w:szCs w:val="28"/>
              </w:rPr>
            </w:pPr>
            <w:r>
              <w:rPr>
                <w:rFonts w:hint="eastAsia" w:ascii="仿宋_GB2312" w:cs="ArialUnicodeMS" w:hAnsiTheme="minorHAnsi" w:eastAsiaTheme="minorEastAsia"/>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rPr>
                <w:rFonts w:ascii="仿宋_GB2312" w:eastAsia="仿宋_GB2312" w:cs="ArialUnicodeMS" w:hAnsiTheme="minorHAnsi"/>
                <w:kern w:val="0"/>
                <w:sz w:val="28"/>
                <w:szCs w:val="28"/>
              </w:rPr>
            </w:pP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jc w:val="left"/>
              <w:rPr>
                <w:rFonts w:ascii="仿宋_GB2312" w:cs="ArialUnicodeMS" w:hAnsiTheme="minorHAnsi" w:eastAsiaTheme="minorEastAsia"/>
                <w:kern w:val="0"/>
                <w:sz w:val="28"/>
                <w:szCs w:val="28"/>
              </w:rPr>
            </w:pPr>
          </w:p>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29" o:spid="_x0000_s1029" o:spt="202" type="#_x0000_t202" style="position:absolute;left:0pt;margin-left:-74.2pt;margin-top:120.3pt;height:159.1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EJ+BAJDAgAAdw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tvkq/I0bMMkSGPpSYrDetjiXFN9C5iexkkJTp51KOVchHgpPEYD5WN54gWORhNS0lbirCX/&#10;9V/65I+OwcpZj1GrePiyEV5xpt9b9PLN5DCxEvPlcDaf4uIfWtYPLXZjTgjTPMGaOpnF5B/1Tmw8&#10;mc/YsVXKCpOwErkrHnfiSRwXADsq1WqVnTCNTsRze+VkCj2Su9pEarrMe6Jp5AZNSBfMY27HdnfS&#10;wD+8Z6/7/8XyD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E5rPdDcAAAADQEAAA8AAAAAAAAAAQAg&#10;AAAAIgAAAGRycy9kb3ducmV2LnhtbFBLAQIUABQAAAAIAIdO4kBCfgQCQwIAAHcEAAAOAAAAAAAA&#10;AAEAIAAAACsBAABkcnMvZTJvRG9jLnhtbFBLBQYAAAAABgAGAFkBAADg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1302.38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1276.31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0.09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76.03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1302.47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1352.34</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56.69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6.82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1359.16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1359.16</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441"/>
        <w:gridCol w:w="1397"/>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441"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9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97"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1302.48</w:t>
            </w: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1302.38</w:t>
            </w: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0.09</w:t>
            </w:r>
          </w:p>
        </w:tc>
      </w:tr>
      <w:tr>
        <w:tblPrEx>
          <w:tblCellMar>
            <w:top w:w="0" w:type="dxa"/>
            <w:left w:w="0" w:type="dxa"/>
            <w:bottom w:w="0" w:type="dxa"/>
            <w:right w:w="0" w:type="dxa"/>
          </w:tblCellMar>
        </w:tblPrEx>
        <w:trPr>
          <w:trHeight w:val="371" w:hRule="atLeast"/>
          <w:jc w:val="center"/>
        </w:trPr>
        <w:tc>
          <w:tcPr>
            <w:tcW w:w="9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3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kern w:val="0"/>
                <w:sz w:val="20"/>
                <w:szCs w:val="20"/>
              </w:rPr>
              <w:t>一般公共服务支出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1226.45</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1226.36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0.09</w:t>
            </w:r>
          </w:p>
        </w:tc>
      </w:tr>
      <w:tr>
        <w:tblPrEx>
          <w:tblCellMar>
            <w:top w:w="0" w:type="dxa"/>
            <w:left w:w="0" w:type="dxa"/>
            <w:bottom w:w="0" w:type="dxa"/>
            <w:right w:w="0" w:type="dxa"/>
          </w:tblCellMar>
        </w:tblPrEx>
        <w:trPr>
          <w:trHeight w:val="371" w:hRule="atLeast"/>
          <w:jc w:val="center"/>
        </w:trPr>
        <w:tc>
          <w:tcPr>
            <w:tcW w:w="9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w:t>
            </w:r>
          </w:p>
        </w:tc>
        <w:tc>
          <w:tcPr>
            <w:tcW w:w="13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工商行政管理事务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1226.45</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1226.36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0.09</w:t>
            </w:r>
          </w:p>
        </w:tc>
      </w:tr>
      <w:tr>
        <w:tblPrEx>
          <w:tblCellMar>
            <w:top w:w="0" w:type="dxa"/>
            <w:left w:w="0" w:type="dxa"/>
            <w:bottom w:w="0" w:type="dxa"/>
            <w:right w:w="0" w:type="dxa"/>
          </w:tblCellMar>
        </w:tblPrEx>
        <w:trPr>
          <w:trHeight w:val="371" w:hRule="atLeast"/>
          <w:jc w:val="center"/>
        </w:trPr>
        <w:tc>
          <w:tcPr>
            <w:tcW w:w="9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2011501</w:t>
            </w:r>
          </w:p>
        </w:tc>
        <w:tc>
          <w:tcPr>
            <w:tcW w:w="13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1012.67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1012.58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0.09</w:t>
            </w:r>
          </w:p>
        </w:tc>
      </w:tr>
      <w:tr>
        <w:tblPrEx>
          <w:tblCellMar>
            <w:top w:w="0" w:type="dxa"/>
            <w:left w:w="0" w:type="dxa"/>
            <w:bottom w:w="0" w:type="dxa"/>
            <w:right w:w="0" w:type="dxa"/>
          </w:tblCellMar>
        </w:tblPrEx>
        <w:trPr>
          <w:trHeight w:val="371" w:hRule="atLeast"/>
          <w:jc w:val="center"/>
        </w:trPr>
        <w:tc>
          <w:tcPr>
            <w:tcW w:w="9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2011502</w:t>
            </w:r>
          </w:p>
        </w:tc>
        <w:tc>
          <w:tcPr>
            <w:tcW w:w="13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71.37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71.37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9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2011504</w:t>
            </w:r>
          </w:p>
        </w:tc>
        <w:tc>
          <w:tcPr>
            <w:tcW w:w="13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工商行政管理专项</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116.51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116.51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9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2011505</w:t>
            </w:r>
          </w:p>
        </w:tc>
        <w:tc>
          <w:tcPr>
            <w:tcW w:w="13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执法办案专项</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9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2011506</w:t>
            </w:r>
          </w:p>
        </w:tc>
        <w:tc>
          <w:tcPr>
            <w:tcW w:w="13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消费者权益保护</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9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2011507</w:t>
            </w:r>
          </w:p>
        </w:tc>
        <w:tc>
          <w:tcPr>
            <w:tcW w:w="13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信息化建设</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9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3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76.03</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76.03</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9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3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10.56</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9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3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10.56</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9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13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65.47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65.47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95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13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65.47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65.47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446"/>
        <w:gridCol w:w="318"/>
        <w:gridCol w:w="657"/>
        <w:gridCol w:w="461"/>
        <w:gridCol w:w="589"/>
        <w:gridCol w:w="531"/>
        <w:gridCol w:w="444"/>
        <w:gridCol w:w="674"/>
        <w:gridCol w:w="406"/>
        <w:gridCol w:w="714"/>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44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82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975"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50"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975"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0"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08"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4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975"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50"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75"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0"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08"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20" w:hRule="atLeast"/>
        </w:trPr>
        <w:tc>
          <w:tcPr>
            <w:tcW w:w="28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8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1352.34</w:t>
            </w: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1119.55</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232.78</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504"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4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kern w:val="0"/>
                <w:sz w:val="20"/>
                <w:szCs w:val="20"/>
              </w:rPr>
              <w:t>一般公共服务支出</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1276.31</w:t>
            </w: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1043.53</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232.78</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w:t>
            </w:r>
          </w:p>
        </w:tc>
        <w:tc>
          <w:tcPr>
            <w:tcW w:w="14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工商行政管理事务</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1276.31</w:t>
            </w: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1043.53</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232.78</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3"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2011501</w:t>
            </w:r>
          </w:p>
        </w:tc>
        <w:tc>
          <w:tcPr>
            <w:tcW w:w="14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1043.53</w:t>
            </w: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1043.53</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2011502</w:t>
            </w:r>
          </w:p>
        </w:tc>
        <w:tc>
          <w:tcPr>
            <w:tcW w:w="14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90.37</w:t>
            </w: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90.37</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2011504</w:t>
            </w:r>
          </w:p>
        </w:tc>
        <w:tc>
          <w:tcPr>
            <w:tcW w:w="14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工商行政管理专项</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116.51</w:t>
            </w: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116.51</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2011505</w:t>
            </w:r>
          </w:p>
        </w:tc>
        <w:tc>
          <w:tcPr>
            <w:tcW w:w="14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执法办案专项</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14.90</w:t>
            </w: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2011506</w:t>
            </w:r>
          </w:p>
        </w:tc>
        <w:tc>
          <w:tcPr>
            <w:tcW w:w="14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消费者权益保护</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3"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2011507</w:t>
            </w:r>
          </w:p>
        </w:tc>
        <w:tc>
          <w:tcPr>
            <w:tcW w:w="14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信息化建设</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4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76.03</w:t>
            </w: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76.03</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4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10.56</w:t>
            </w: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10.56</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203"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4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10.56</w:t>
            </w: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10.56</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3"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14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65.47</w:t>
            </w: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65.47</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3"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14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65.47</w:t>
            </w:r>
          </w:p>
        </w:tc>
        <w:tc>
          <w:tcPr>
            <w:tcW w:w="10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65.47</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1302.38</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1276.22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1276.22</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76.03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76.03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1302.38</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1352.25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1352.25</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56.69</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6.82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6.82</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56.69</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1359.07</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1359.07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1359.07</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1352.25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1119.47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232.78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kern w:val="0"/>
                <w:sz w:val="20"/>
                <w:szCs w:val="20"/>
              </w:rPr>
              <w:t>一般公共服务支出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1276.22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1043.44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232.78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工商行政管理事务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1276.22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1043.44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232.78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1043.44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1043.44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90.37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90.37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2011504</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工商行政管理专项</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116.51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116.51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执法办案专项</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2011506</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消费者权益保护</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2011507</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信息化建设</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76.03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76.03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65.47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65.47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65.47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65.47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815.45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123.23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429.32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10.07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219.43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128.23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0.14</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27.92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0.78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0.14</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10.56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4.12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19.68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11.74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180.64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18.42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96.71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65.47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13.54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10.73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36.88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996.09</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123.37</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 本部门本年度无相关收入（或支出、收支及结转结余等）情况，按要求空表列示。</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kern w:val="0"/>
                <w:szCs w:val="21"/>
              </w:rPr>
            </w:pP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 xml:space="preserve">注：本表反映部门本年度政府性基金预算财政拨款收入、支出及结转和结余情况。         </w:t>
            </w: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 w:val="22"/>
                <w:szCs w:val="22"/>
              </w:rPr>
            </w:pPr>
            <w:r>
              <w:rPr>
                <w:rFonts w:hint="eastAsia" w:ascii="宋体" w:hAnsi="宋体" w:cs="宋体"/>
                <w:color w:val="000000"/>
                <w:kern w:val="0"/>
                <w:szCs w:val="21"/>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 xml:space="preserve">注：本表反映部门本年度纳入部门预算范围的政府采购预算及支出情况。     </w:t>
            </w: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pPr>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w:pict>
          <v:shape id="_x0000_s1028" o:spid="_x0000_s1028"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2WaejN4AAAANAQAADwAAAAAAAAAB&#10;ACAAAAAiAAAAZHJzL2Rvd25yZXYueG1sUEsBAhQAFAAAAAgAh07iQMA3zLNDAgAAdQQAAA4AAAAA&#10;AAAAAQAgAAAALQEAAGRycy9lMm9Eb2MueG1sUEsFBgAAAAAGAAYAWQEAAOI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cs="DengXian-Regular" w:eastAsiaTheme="minorEastAsia"/>
          <w:sz w:val="32"/>
          <w:szCs w:val="32"/>
        </w:rPr>
      </w:pPr>
      <w:r>
        <w:rPr>
          <w:rFonts w:hint="eastAsia" w:ascii="仿宋_GB2312" w:eastAsia="仿宋_GB2312" w:cs="DengXian-Regular"/>
          <w:sz w:val="32"/>
          <w:szCs w:val="32"/>
        </w:rPr>
        <w:t>本部门2018年度收支总计（含结转和结余）135</w:t>
      </w:r>
      <w:r>
        <w:rPr>
          <w:rFonts w:hint="eastAsia" w:ascii="仿宋" w:hAnsi="仿宋" w:eastAsia="仿宋" w:cs="宋体"/>
          <w:sz w:val="32"/>
          <w:szCs w:val="32"/>
        </w:rPr>
        <w:t>9</w:t>
      </w:r>
      <w:r>
        <w:rPr>
          <w:rFonts w:hint="eastAsia" w:ascii="仿宋_GB2312" w:eastAsia="仿宋_GB2312" w:cs="DengXian-Regular"/>
          <w:sz w:val="32"/>
          <w:szCs w:val="32"/>
        </w:rPr>
        <w:t>.16万元，。与2017年度决算相比，收支各减少334.18万元，下降了24.59%，主要原因是2018年有结余。</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本部门2018年度本年收入合计1302.48万元，其中：财政拨款收入1302.38万元，占</w:t>
      </w:r>
      <w:r>
        <w:rPr>
          <w:rFonts w:hint="eastAsia" w:ascii="宋体" w:hAnsi="宋体" w:cs="宋体"/>
          <w:sz w:val="32"/>
          <w:szCs w:val="32"/>
        </w:rPr>
        <w:t>99.99</w:t>
      </w:r>
      <w:r>
        <w:rPr>
          <w:rFonts w:hint="eastAsia" w:ascii="仿宋_GB2312" w:eastAsia="仿宋_GB2312" w:cs="DengXian-Regular"/>
          <w:sz w:val="32"/>
          <w:szCs w:val="32"/>
        </w:rPr>
        <w:t>%；其他收入</w:t>
      </w:r>
      <w:r>
        <w:rPr>
          <w:rFonts w:hint="eastAsia" w:ascii="宋体" w:hAnsi="宋体" w:cs="宋体"/>
          <w:sz w:val="32"/>
          <w:szCs w:val="32"/>
        </w:rPr>
        <w:t>0.091</w:t>
      </w:r>
      <w:r>
        <w:rPr>
          <w:rFonts w:hint="eastAsia" w:ascii="仿宋_GB2312" w:eastAsia="仿宋_GB2312" w:cs="DengXian-Regular"/>
          <w:sz w:val="32"/>
          <w:szCs w:val="32"/>
        </w:rPr>
        <w:t>万元，占0.01%。如图所示：</w:t>
      </w:r>
    </w:p>
    <w:p>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70528" behindDoc="0" locked="0" layoutInCell="1" allowOverlap="1">
            <wp:simplePos x="0" y="0"/>
            <wp:positionH relativeFrom="margin">
              <wp:posOffset>719455</wp:posOffset>
            </wp:positionH>
            <wp:positionV relativeFrom="margin">
              <wp:posOffset>3551555</wp:posOffset>
            </wp:positionV>
            <wp:extent cx="3841115" cy="2860675"/>
            <wp:effectExtent l="4445" t="4445" r="21590" b="11430"/>
            <wp:wrapSquare wrapText="bothSides"/>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本部门2018年度本年支出合计1352.34万元，其中：基本支出1119.55万元，占82.79%；项目支出232.78万元，占17.21%；如图所示：</w:t>
      </w:r>
    </w:p>
    <w:p>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71552" behindDoc="0" locked="0" layoutInCell="1" allowOverlap="1">
            <wp:simplePos x="0" y="0"/>
            <wp:positionH relativeFrom="margin">
              <wp:posOffset>753745</wp:posOffset>
            </wp:positionH>
            <wp:positionV relativeFrom="margin">
              <wp:posOffset>525145</wp:posOffset>
            </wp:positionV>
            <wp:extent cx="4219575" cy="2514600"/>
            <wp:effectExtent l="4445" t="4445" r="5080" b="14605"/>
            <wp:wrapSquare wrapText="bothSides"/>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本部门2018年度形成的财政拨款收支均为一般公共预算财政拨款，其中一般公共预算财政拨款本年收入1302.38万元,比2017年度减少353.28万元，降低27.13%，主要是</w:t>
      </w:r>
      <w:r>
        <w:rPr>
          <w:rFonts w:hint="eastAsia" w:ascii="仿宋" w:hAnsi="仿宋" w:eastAsia="仿宋" w:cs="DengXian-Regular"/>
          <w:sz w:val="32"/>
          <w:szCs w:val="32"/>
        </w:rPr>
        <w:t>因为2018年有结余。</w:t>
      </w:r>
      <w:r>
        <w:rPr>
          <w:rFonts w:hint="eastAsia" w:ascii="仿宋_GB2312" w:eastAsia="仿宋_GB2312" w:cs="DengXian-Regular"/>
          <w:sz w:val="32"/>
          <w:szCs w:val="32"/>
        </w:rPr>
        <w:t>本年支出1352.25万元，减少284.4万元，降低21.03%，主要是因为压缩开支</w:t>
      </w:r>
      <w:r>
        <w:rPr>
          <w:rFonts w:hint="eastAsia" w:ascii="仿宋" w:hAnsi="仿宋" w:eastAsia="仿宋" w:cs="DengXian-Regular"/>
          <w:sz w:val="32"/>
          <w:szCs w:val="32"/>
        </w:rPr>
        <w:t>。</w:t>
      </w:r>
    </w:p>
    <w:p>
      <w:pPr>
        <w:adjustRightInd w:val="0"/>
        <w:snapToGrid w:val="0"/>
        <w:spacing w:after="0" w:line="580" w:lineRule="exact"/>
        <w:ind w:firstLine="420" w:firstLineChars="200"/>
        <w:rPr>
          <w:rFonts w:ascii="仿宋_GB2312" w:eastAsia="仿宋_GB2312" w:cs="DengXian-Regular"/>
          <w:sz w:val="32"/>
          <w:szCs w:val="32"/>
        </w:rPr>
      </w:pPr>
      <w:r>
        <w:drawing>
          <wp:anchor distT="0" distB="0" distL="114300" distR="114300" simplePos="0" relativeHeight="251672576" behindDoc="0" locked="0" layoutInCell="1" allowOverlap="1">
            <wp:simplePos x="0" y="0"/>
            <wp:positionH relativeFrom="margin">
              <wp:posOffset>752475</wp:posOffset>
            </wp:positionH>
            <wp:positionV relativeFrom="margin">
              <wp:posOffset>5982335</wp:posOffset>
            </wp:positionV>
            <wp:extent cx="4237355" cy="2508885"/>
            <wp:effectExtent l="4445" t="4445" r="6350" b="20320"/>
            <wp:wrapSquare wrapText="bothSides"/>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spacing w:after="0" w:line="580" w:lineRule="exact"/>
        <w:rPr>
          <w:rFonts w:ascii="楷体_GB2312" w:eastAsia="楷体_GB2312" w:cs="DengXian-Bold"/>
          <w:b/>
          <w:bCs/>
          <w:sz w:val="32"/>
          <w:szCs w:val="32"/>
        </w:rPr>
      </w:pPr>
    </w:p>
    <w:p>
      <w:pPr>
        <w:spacing w:after="0" w:line="580" w:lineRule="exact"/>
        <w:rPr>
          <w:rFonts w:ascii="楷体_GB2312" w:cs="DengXian-Bold" w:eastAsiaTheme="minorEastAsia"/>
          <w:b/>
          <w:bCs/>
          <w:sz w:val="32"/>
          <w:szCs w:val="32"/>
        </w:rPr>
      </w:pPr>
    </w:p>
    <w:p>
      <w:pPr>
        <w:spacing w:after="0" w:line="580" w:lineRule="exact"/>
        <w:rPr>
          <w:rFonts w:ascii="楷体_GB2312" w:cs="DengXian-Bold" w:eastAsiaTheme="minorEastAsia"/>
          <w:b/>
          <w:bCs/>
          <w:sz w:val="32"/>
          <w:szCs w:val="32"/>
        </w:rPr>
      </w:pPr>
    </w:p>
    <w:p>
      <w:pPr>
        <w:spacing w:after="0" w:line="580" w:lineRule="exact"/>
        <w:rPr>
          <w:rFonts w:ascii="楷体_GB2312" w:cs="DengXian-Bold" w:eastAsiaTheme="minorEastAsia"/>
          <w:b/>
          <w:bCs/>
          <w:sz w:val="32"/>
          <w:szCs w:val="32"/>
        </w:rPr>
      </w:pPr>
    </w:p>
    <w:p>
      <w:pPr>
        <w:spacing w:after="0" w:line="580" w:lineRule="exact"/>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_GB2312" w:eastAsia="仿宋_GB2312" w:cs="DengXian-Regular"/>
          <w:sz w:val="32"/>
          <w:szCs w:val="32"/>
        </w:rPr>
        <w:t>本部门2018年度一般公共预算财政拨款收入1302.38万元，完成年初预算的104.2%,比年初预算增加52.23万元，决算数大于预算数主要原因是</w:t>
      </w:r>
      <w:r>
        <w:rPr>
          <w:rFonts w:hint="eastAsia" w:ascii="仿宋" w:hAnsi="仿宋" w:eastAsia="仿宋" w:cs="DengXian-Regular"/>
          <w:sz w:val="32"/>
          <w:szCs w:val="32"/>
        </w:rPr>
        <w:t>因调资人员经费增加</w:t>
      </w:r>
      <w:r>
        <w:rPr>
          <w:rFonts w:hint="eastAsia" w:ascii="仿宋_GB2312" w:eastAsia="仿宋_GB2312" w:cs="DengXian-Regular"/>
          <w:sz w:val="32"/>
          <w:szCs w:val="32"/>
        </w:rPr>
        <w:t>；本年支出1352.25万元，完成年初预算的108.2%,比年初预算增加102.1万元，决算数大于预算数主要原因是</w:t>
      </w:r>
      <w:r>
        <w:rPr>
          <w:rFonts w:hint="eastAsia" w:ascii="仿宋" w:hAnsi="仿宋" w:eastAsia="仿宋" w:cs="DengXian-Regular"/>
          <w:sz w:val="32"/>
          <w:szCs w:val="32"/>
        </w:rPr>
        <w:t>因调资人员经费增加。</w:t>
      </w:r>
    </w:p>
    <w:p>
      <w:pPr>
        <w:adjustRightInd w:val="0"/>
        <w:snapToGrid w:val="0"/>
        <w:spacing w:after="0" w:line="580" w:lineRule="exact"/>
        <w:rPr>
          <w:rFonts w:ascii="仿宋_GB2312" w:eastAsia="仿宋_GB2312" w:cs="DengXian-Regular"/>
          <w:sz w:val="32"/>
          <w:szCs w:val="32"/>
          <w:highlight w:val="yellow"/>
        </w:rPr>
      </w:pPr>
      <w:r>
        <w:drawing>
          <wp:anchor distT="0" distB="0" distL="114300" distR="114300" simplePos="0" relativeHeight="251673600" behindDoc="0" locked="0" layoutInCell="1" allowOverlap="1">
            <wp:simplePos x="0" y="0"/>
            <wp:positionH relativeFrom="margin">
              <wp:posOffset>363220</wp:posOffset>
            </wp:positionH>
            <wp:positionV relativeFrom="margin">
              <wp:posOffset>2402840</wp:posOffset>
            </wp:positionV>
            <wp:extent cx="5100320" cy="4011930"/>
            <wp:effectExtent l="4445" t="4445" r="19685" b="22225"/>
            <wp:wrapSquare wrapText="bothSides"/>
            <wp:docPr id="14" name="图表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pPr>
        <w:adjustRightInd w:val="0"/>
        <w:snapToGrid w:val="0"/>
        <w:spacing w:after="0" w:line="580" w:lineRule="exact"/>
        <w:ind w:firstLine="640" w:firstLineChars="200"/>
        <w:rPr>
          <w:rFonts w:ascii="仿宋_GB2312" w:cs="DengXian-Regular" w:eastAsiaTheme="minorEastAsia"/>
          <w:sz w:val="32"/>
          <w:szCs w:val="32"/>
          <w:highlight w:val="yellow"/>
        </w:rPr>
      </w:pPr>
    </w:p>
    <w:p>
      <w:pPr>
        <w:adjustRightInd w:val="0"/>
        <w:snapToGrid w:val="0"/>
        <w:spacing w:after="0" w:line="580" w:lineRule="exact"/>
        <w:ind w:firstLine="640" w:firstLineChars="200"/>
        <w:rPr>
          <w:rFonts w:ascii="仿宋_GB2312" w:cs="DengXian-Regular" w:eastAsiaTheme="minorEastAsia"/>
          <w:sz w:val="32"/>
          <w:szCs w:val="32"/>
          <w:highlight w:val="yellow"/>
        </w:rPr>
      </w:pPr>
    </w:p>
    <w:p>
      <w:pPr>
        <w:adjustRightInd w:val="0"/>
        <w:snapToGrid w:val="0"/>
        <w:spacing w:after="0" w:line="580" w:lineRule="exact"/>
        <w:ind w:firstLine="640" w:firstLineChars="200"/>
        <w:rPr>
          <w:rFonts w:ascii="仿宋_GB2312" w:cs="DengXian-Regular" w:eastAsiaTheme="minorEastAsia"/>
          <w:sz w:val="32"/>
          <w:szCs w:val="32"/>
          <w:highlight w:val="yellow"/>
        </w:rPr>
      </w:pPr>
    </w:p>
    <w:p>
      <w:pPr>
        <w:adjustRightInd w:val="0"/>
        <w:snapToGrid w:val="0"/>
        <w:spacing w:after="0" w:line="580" w:lineRule="exact"/>
        <w:ind w:firstLine="640" w:firstLineChars="200"/>
        <w:rPr>
          <w:rFonts w:ascii="仿宋_GB2312" w:cs="DengXian-Regular" w:eastAsiaTheme="minorEastAsia"/>
          <w:sz w:val="32"/>
          <w:szCs w:val="32"/>
          <w:highlight w:val="yellow"/>
        </w:rPr>
      </w:pPr>
    </w:p>
    <w:p>
      <w:pPr>
        <w:adjustRightInd w:val="0"/>
        <w:snapToGrid w:val="0"/>
        <w:spacing w:after="0" w:line="580" w:lineRule="exact"/>
        <w:rPr>
          <w:rFonts w:ascii="仿宋_GB2312" w:cs="DengXian-Regular" w:eastAsiaTheme="minorEastAsia"/>
          <w:sz w:val="32"/>
          <w:szCs w:val="32"/>
          <w:highlight w:val="yellow"/>
        </w:rPr>
      </w:pPr>
    </w:p>
    <w:p>
      <w:pPr>
        <w:adjustRightInd w:val="0"/>
        <w:snapToGrid w:val="0"/>
        <w:spacing w:after="0" w:line="580" w:lineRule="exact"/>
        <w:rPr>
          <w:rFonts w:ascii="楷体_GB2312" w:cs="DengXian-Bold" w:eastAsiaTheme="minorEastAsia"/>
          <w:b/>
          <w:bCs/>
          <w:sz w:val="32"/>
          <w:szCs w:val="32"/>
        </w:rPr>
      </w:pPr>
    </w:p>
    <w:p>
      <w:pPr>
        <w:adjustRightInd w:val="0"/>
        <w:snapToGrid w:val="0"/>
        <w:spacing w:after="0" w:line="580" w:lineRule="exact"/>
        <w:rPr>
          <w:rFonts w:ascii="楷体_GB2312" w:cs="DengXian-Bold" w:eastAsiaTheme="minorEastAsia"/>
          <w:b/>
          <w:bCs/>
          <w:sz w:val="32"/>
          <w:szCs w:val="32"/>
        </w:rPr>
      </w:pPr>
    </w:p>
    <w:p>
      <w:pPr>
        <w:adjustRightInd w:val="0"/>
        <w:snapToGrid w:val="0"/>
        <w:spacing w:after="0" w:line="580" w:lineRule="exact"/>
        <w:rPr>
          <w:rFonts w:ascii="楷体_GB2312" w:cs="DengXian-Bold" w:eastAsiaTheme="minorEastAsia"/>
          <w:b/>
          <w:bCs/>
          <w:sz w:val="32"/>
          <w:szCs w:val="32"/>
        </w:rPr>
      </w:pPr>
    </w:p>
    <w:p>
      <w:pPr>
        <w:adjustRightInd w:val="0"/>
        <w:snapToGrid w:val="0"/>
        <w:spacing w:after="0" w:line="580" w:lineRule="exact"/>
        <w:rPr>
          <w:rFonts w:ascii="楷体_GB2312" w:cs="DengXian-Bold" w:eastAsiaTheme="minorEastAsia"/>
          <w:b/>
          <w:bCs/>
          <w:sz w:val="32"/>
          <w:szCs w:val="32"/>
        </w:rPr>
      </w:pPr>
    </w:p>
    <w:p>
      <w:pPr>
        <w:adjustRightInd w:val="0"/>
        <w:snapToGrid w:val="0"/>
        <w:spacing w:after="0" w:line="580" w:lineRule="exact"/>
        <w:rPr>
          <w:rFonts w:ascii="楷体_GB2312" w:cs="DengXian-Bold" w:eastAsiaTheme="minorEastAsia"/>
          <w:b/>
          <w:bCs/>
          <w:sz w:val="32"/>
          <w:szCs w:val="32"/>
        </w:rPr>
      </w:pPr>
    </w:p>
    <w:p>
      <w:pPr>
        <w:adjustRightInd w:val="0"/>
        <w:snapToGrid w:val="0"/>
        <w:spacing w:after="0" w:line="580" w:lineRule="exact"/>
        <w:rPr>
          <w:rFonts w:ascii="楷体_GB2312" w:cs="DengXian-Bold" w:eastAsiaTheme="minorEastAsia"/>
          <w:b/>
          <w:bCs/>
          <w:sz w:val="32"/>
          <w:szCs w:val="32"/>
        </w:rPr>
      </w:pPr>
    </w:p>
    <w:p>
      <w:pPr>
        <w:adjustRightInd w:val="0"/>
        <w:snapToGrid w:val="0"/>
        <w:spacing w:after="0" w:line="580" w:lineRule="exact"/>
        <w:rPr>
          <w:rFonts w:ascii="楷体_GB2312" w:eastAsia="楷体_GB2312" w:cs="DengXian-Bold"/>
          <w:b/>
          <w:bCs/>
          <w:sz w:val="32"/>
          <w:szCs w:val="32"/>
        </w:rPr>
      </w:pPr>
      <w:r>
        <w:rPr>
          <w:rFonts w:hint="eastAsia" w:ascii="楷体_GB2312" w:cs="DengXian-Bold" w:eastAsiaTheme="minorEastAsia"/>
          <w:b/>
          <w:bCs/>
          <w:sz w:val="32"/>
          <w:szCs w:val="32"/>
        </w:rPr>
        <w:t>（三）</w:t>
      </w:r>
      <w:r>
        <w:rPr>
          <w:rFonts w:hint="eastAsia" w:ascii="楷体_GB2312" w:eastAsia="楷体_GB2312" w:cs="DengXian-Bold"/>
          <w:b/>
          <w:bCs/>
          <w:sz w:val="32"/>
          <w:szCs w:val="32"/>
        </w:rPr>
        <w:t>财政拨款支出决算结构情况。</w:t>
      </w:r>
    </w:p>
    <w:p>
      <w:pPr>
        <w:adjustRightInd w:val="0"/>
        <w:snapToGrid w:val="0"/>
        <w:spacing w:after="0" w:line="580" w:lineRule="exact"/>
        <w:rPr>
          <w:rFonts w:ascii="楷体_GB2312" w:eastAsia="楷体_GB2312" w:cs="DengXian-Bold"/>
          <w:b/>
          <w:bCs/>
          <w:sz w:val="32"/>
          <w:szCs w:val="32"/>
        </w:rPr>
      </w:pPr>
      <w:r>
        <w:rPr>
          <w:rFonts w:hint="eastAsia" w:ascii="仿宋_GB2312" w:eastAsia="仿宋_GB2312" w:cs="DengXian-Regular"/>
          <w:sz w:val="32"/>
          <w:szCs w:val="32"/>
        </w:rPr>
        <w:t>2018 年度财政拨款支出1352.34万元，主要用于以下方面一般公共服务（类）支出1276.31万元，占94.38%；社会保障和就业（类）支出 76.03万元，占5.62%；</w:t>
      </w:r>
    </w:p>
    <w:p>
      <w:pPr>
        <w:adjustRightInd w:val="0"/>
        <w:snapToGrid w:val="0"/>
        <w:spacing w:after="0" w:line="580" w:lineRule="exact"/>
        <w:rPr>
          <w:rFonts w:ascii="楷体_GB2312" w:eastAsia="楷体_GB2312" w:cs="DengXian-Bold"/>
          <w:b/>
          <w:bCs/>
          <w:sz w:val="32"/>
          <w:szCs w:val="32"/>
        </w:rPr>
      </w:pPr>
      <w:r>
        <w:drawing>
          <wp:anchor distT="0" distB="0" distL="114300" distR="114300" simplePos="0" relativeHeight="251674624" behindDoc="0" locked="0" layoutInCell="1" allowOverlap="1">
            <wp:simplePos x="0" y="0"/>
            <wp:positionH relativeFrom="margin">
              <wp:posOffset>511175</wp:posOffset>
            </wp:positionH>
            <wp:positionV relativeFrom="margin">
              <wp:posOffset>729615</wp:posOffset>
            </wp:positionV>
            <wp:extent cx="4963795" cy="3105785"/>
            <wp:effectExtent l="4445" t="4445" r="22860" b="13970"/>
            <wp:wrapSquare wrapText="bothSides"/>
            <wp:docPr id="15" name="图表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年度一般公共预算财政拨款基本支出1119.46万元，其中：人员经费 996.09万元，主要包括基本工资、                                        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123.37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未发生“三公”经费支出，</w:t>
      </w:r>
      <w:r>
        <w:rPr>
          <w:rFonts w:hint="eastAsia" w:ascii="仿宋_GB2312" w:eastAsia="仿宋_GB2312" w:cs="DengXian-Regular"/>
          <w:b/>
          <w:bCs/>
          <w:sz w:val="32"/>
          <w:szCs w:val="32"/>
        </w:rPr>
        <w:t>较年度预算</w:t>
      </w:r>
      <w:r>
        <w:rPr>
          <w:rFonts w:hint="eastAsia" w:ascii="仿宋_GB2312" w:hAnsi="宋体" w:eastAsia="仿宋_GB2312" w:cs="宋体"/>
          <w:b/>
          <w:bCs/>
          <w:sz w:val="32"/>
          <w:szCs w:val="32"/>
        </w:rPr>
        <w:t>持平</w:t>
      </w:r>
      <w:r>
        <w:rPr>
          <w:rFonts w:hint="eastAsia" w:ascii="仿宋_GB2312" w:eastAsia="仿宋_GB2312" w:cs="DengXian-Regular"/>
          <w:sz w:val="32"/>
          <w:szCs w:val="32"/>
        </w:rPr>
        <w:t>。具体情况如下：</w:t>
      </w:r>
    </w:p>
    <w:p>
      <w:pPr>
        <w:widowControl/>
        <w:numPr>
          <w:ilvl w:val="0"/>
          <w:numId w:val="1"/>
        </w:numPr>
        <w:adjustRightInd w:val="0"/>
        <w:ind w:firstLine="643" w:firstLineChars="200"/>
        <w:jc w:val="left"/>
        <w:rPr>
          <w:rFonts w:ascii="仿宋_GB2312" w:eastAsia="仿宋_GB2312" w:cs="DengXian-Regular"/>
          <w:sz w:val="32"/>
          <w:szCs w:val="32"/>
        </w:rPr>
      </w:pPr>
      <w:r>
        <w:rPr>
          <w:rFonts w:hint="eastAsia" w:ascii="楷体_GB2312" w:eastAsia="楷体_GB2312" w:cs="DengXian-Bold"/>
          <w:b/>
          <w:bCs/>
          <w:sz w:val="32"/>
          <w:szCs w:val="32"/>
        </w:rPr>
        <w:t>因公出国（境）费支出0万元。</w:t>
      </w:r>
      <w:r>
        <w:rPr>
          <w:rFonts w:hint="eastAsia" w:ascii="仿宋_GB2312" w:eastAsia="仿宋_GB2312" w:cs="DengXian-Regular"/>
          <w:sz w:val="32"/>
          <w:szCs w:val="32"/>
        </w:rPr>
        <w:t>本部门2018年度因公出国（境）团组0个，共0人。未发生因公出国（境）费支出，较年初预算持平无增减变化。</w:t>
      </w:r>
    </w:p>
    <w:p>
      <w:pPr>
        <w:widowControl/>
        <w:adjustRightInd w:val="0"/>
        <w:ind w:firstLine="643" w:firstLineChars="200"/>
        <w:jc w:val="left"/>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本部门2018年度公务用车购置及运行维护费，较年度预算减少0万元，降低0%。未发生公务用车购置购置及运行维护费支出，与年初预算持平。</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本部门2018年度公务用车购置量0辆。未发生“公务用车购置”经费支出，较年初预算持平无增减变化。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本部门2018年度单位公务用车保有量0辆。</w:t>
      </w:r>
      <w:r>
        <w:rPr>
          <w:rFonts w:hint="eastAsia" w:ascii="仿宋_GB2312" w:hAnsi="宋体" w:eastAsia="仿宋_GB2312" w:cs="宋体"/>
          <w:sz w:val="32"/>
          <w:szCs w:val="32"/>
        </w:rPr>
        <w:t>未发生</w:t>
      </w:r>
      <w:r>
        <w:rPr>
          <w:rFonts w:hint="eastAsia" w:ascii="仿宋_GB2312" w:eastAsia="仿宋_GB2312" w:cs="DengXian-Regular"/>
          <w:sz w:val="32"/>
          <w:szCs w:val="32"/>
        </w:rPr>
        <w:t>公车运行维护费支出，较年初预算持平无增减变化。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Bold"/>
          <w:b/>
          <w:bCs/>
          <w:sz w:val="32"/>
          <w:szCs w:val="32"/>
        </w:rPr>
        <w:t>（三）公务接待费支出0万元。</w:t>
      </w:r>
      <w:r>
        <w:rPr>
          <w:rFonts w:hint="eastAsia" w:ascii="仿宋_GB2312" w:eastAsia="仿宋_GB2312" w:cs="DengXian-Regular"/>
          <w:sz w:val="32"/>
          <w:szCs w:val="32"/>
        </w:rPr>
        <w:t>本部门2018年度公务接待共0批次、0人次。未发生公务接待费支出，较年初预算持平无增减变化。</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color w:val="000000" w:themeColor="text1"/>
          <w:sz w:val="32"/>
          <w:szCs w:val="32"/>
        </w:rPr>
        <w:t>良好。</w:t>
      </w:r>
    </w:p>
    <w:p>
      <w:pPr>
        <w:numPr>
          <w:ilvl w:val="0"/>
          <w:numId w:val="1"/>
        </w:num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预算项目绩效评价开展情况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根据预算绩效管理要求，本单位组织对2017年度一般公共预算项目支出全面开展绩效自评，涉及一般行政管理事务、工商行政管理专项、执法办案专项、</w:t>
      </w:r>
      <w:r>
        <w:rPr>
          <w:rFonts w:hint="eastAsia" w:ascii="仿宋" w:hAnsi="仿宋" w:eastAsia="仿宋" w:cs="DengXian-Regular"/>
          <w:sz w:val="32"/>
          <w:szCs w:val="32"/>
        </w:rPr>
        <w:t>消费者</w:t>
      </w:r>
      <w:r>
        <w:rPr>
          <w:rFonts w:hint="eastAsia" w:ascii="宋体" w:hAnsi="宋体" w:cs="宋体"/>
          <w:sz w:val="32"/>
          <w:szCs w:val="32"/>
        </w:rPr>
        <w:t>权</w:t>
      </w:r>
      <w:r>
        <w:rPr>
          <w:rFonts w:hint="eastAsia" w:ascii="仿宋_GB2312" w:eastAsia="仿宋_GB2312" w:cs="DengXian-Regular"/>
          <w:sz w:val="32"/>
          <w:szCs w:val="32"/>
        </w:rPr>
        <w:t>益保护、信息化建设、其他支中小企业发展和管理支出等6个项目，涉及资金296.46万元。从评价情况看，评价结果为良好的项目有3个，一般的项目有3个。</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工商专项项目绩效自评：根据年初设定的绩效目标，工商专项项目绩效自评结果为良好。项目全年预算数为147.2万元，执行数为147.2万元，完成预算的100%。主要产出和效果是建立和维护了市场秩序，服务了地方经济发展。未发现其他问题</w:t>
      </w:r>
    </w:p>
    <w:p>
      <w:pPr>
        <w:adjustRightInd w:val="0"/>
        <w:snapToGrid w:val="0"/>
        <w:spacing w:after="0" w:line="580" w:lineRule="exact"/>
        <w:ind w:firstLine="640" w:firstLineChars="200"/>
        <w:rPr>
          <w:rFonts w:ascii="仿宋_GB2312" w:eastAsia="仿宋_GB2312" w:cs="DengXian-Regular"/>
          <w:sz w:val="32"/>
          <w:szCs w:val="32"/>
        </w:rPr>
      </w:pP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本部门2018年度机关运行经费支出123.37万元，比年初预算数增加12.75万元，增长11.53%。主要原因是调资人员经费增加。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7辆，比上年没有增减情况。其中，副部（省）级以上领导用车0辆，执法执勤用车7辆，特种专业技术用车0辆，离退休干部用车0辆，其他用车0辆，与上年持平；单位单价50万元以上通用设备0台（套），未发生单价50万元以上通用设备0台（套），较年初持平无增减变化。单位价值100万元以上专用设备0台（套），未发生价值100元以上专用设备0台（套），较年初持平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一般公共预算财政拨款“三公”经费支出决算、政府性基金、国有资本经营、政府采购无收支及结转结余情况，故一般公共预算财政拨款“三公”经费支出决算表、政府性基金预算财政拨款收入支出决算表、国有资本经营预算财政拨款支出决算表、政府采购情况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EVGE7UQCAAB3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kdfkaZhHyZCGkqPUuhX/R7nylRbwHRmmBRv+VWLUq6ZD7fMYTRQPpYn3OCopUFKs5co&#10;aYz79i999EfHYKWkw6iV1H9dMycokR80evl2dBpZCelyOp4UuLjHltVji16rC4NpHmFNLU9i9A/y&#10;INbOqC/YsUXMChPTHLlLGg7iRRgWADvKxWKRnDCNloVrvbQ8hh7IXayDqdvEe6Rp4AZNiBfMY2rH&#10;fnfiwD++J6+H/8X8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NlmnozeAAAADQEAAA8AAAAAAAAA&#10;AQAgAAAAIgAAAGRycy9kb3ducmV2LnhtbFBLAQIUABQAAAAIAIdO4kARUYTtRAIAAHcEAAAOAAAA&#10;AAAAAAEAIAAAAC0BAABkcnMvZTJvRG9jLnhtbFBLBQYAAAAABgAGAFkBAADj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848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15B94B5-2247-464E-9933-1D3473AD83D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2" w:fontKey="{978E4CB5-89D6-49B6-9116-A800524DBA26}"/>
  </w:font>
  <w:font w:name="楷体">
    <w:panose1 w:val="02010609060101010101"/>
    <w:charset w:val="86"/>
    <w:family w:val="modern"/>
    <w:pitch w:val="default"/>
    <w:sig w:usb0="800002BF" w:usb1="38CF7CFA" w:usb2="00000016" w:usb3="00000000" w:csb0="00040001" w:csb1="00000000"/>
    <w:embedRegular r:id="rId3" w:fontKey="{37178383-5D4A-4835-A230-D194AC1155F1}"/>
  </w:font>
  <w:font w:name="楷体_GB2312">
    <w:panose1 w:val="02010609030101010101"/>
    <w:charset w:val="86"/>
    <w:family w:val="modern"/>
    <w:pitch w:val="default"/>
    <w:sig w:usb0="00000001" w:usb1="080E0000" w:usb2="00000000" w:usb3="00000000" w:csb0="00040000" w:csb1="00000000"/>
    <w:embedRegular r:id="rId4" w:fontKey="{014F8873-D0C1-44A5-92D6-693077784A5C}"/>
  </w:font>
  <w:font w:name="仿宋_GB2312">
    <w:panose1 w:val="02010609030101010101"/>
    <w:charset w:val="86"/>
    <w:family w:val="modern"/>
    <w:pitch w:val="default"/>
    <w:sig w:usb0="00000001" w:usb1="080E0000" w:usb2="00000000" w:usb3="00000000" w:csb0="00040000" w:csb1="00000000"/>
    <w:embedRegular r:id="rId5" w:fontKey="{86A58AE0-5EF8-4395-A1BD-9E2B1956DBD4}"/>
  </w:font>
  <w:font w:name="ArialUnicodeMS">
    <w:altName w:val="Malgun Gothic"/>
    <w:panose1 w:val="00000000000000000000"/>
    <w:charset w:val="81"/>
    <w:family w:val="auto"/>
    <w:pitch w:val="default"/>
    <w:sig w:usb0="00000000" w:usb1="00000000" w:usb2="00000010" w:usb3="00000000" w:csb0="00080001" w:csb1="00000000"/>
    <w:embedRegular r:id="rId6" w:fontKey="{4541951C-0CBD-4204-B3DF-905A25690F9D}"/>
  </w:font>
  <w:font w:name="Malgun Gothic">
    <w:panose1 w:val="020B0503020000020004"/>
    <w:charset w:val="81"/>
    <w:family w:val="auto"/>
    <w:pitch w:val="default"/>
    <w:sig w:usb0="9000002F" w:usb1="29D77CFB" w:usb2="00000012" w:usb3="00000000" w:csb0="00080001" w:csb1="00000000"/>
  </w:font>
  <w:font w:name="仿宋">
    <w:panose1 w:val="02010609060101010101"/>
    <w:charset w:val="86"/>
    <w:family w:val="modern"/>
    <w:pitch w:val="default"/>
    <w:sig w:usb0="800002BF" w:usb1="38CF7CFA" w:usb2="00000016" w:usb3="00000000" w:csb0="00040001" w:csb1="00000000"/>
    <w:embedRegular r:id="rId7" w:fontKey="{E8DAEAE6-A2F6-4500-B3B6-D10F4D186AAE}"/>
  </w:font>
  <w:font w:name="MS-UIGothic,Bold">
    <w:altName w:val="Malgun Gothic"/>
    <w:panose1 w:val="00000000000000000000"/>
    <w:charset w:val="81"/>
    <w:family w:val="auto"/>
    <w:pitch w:val="default"/>
    <w:sig w:usb0="00000000" w:usb1="00000000" w:usb2="00000010" w:usb3="00000000" w:csb0="00080000" w:csb1="00000000"/>
    <w:embedRegular r:id="rId8" w:fontKey="{C8F72D83-5D9A-4EF6-8F83-5528B56D47D5}"/>
  </w:font>
  <w:font w:name="Arial">
    <w:panose1 w:val="020B0604020202020204"/>
    <w:charset w:val="00"/>
    <w:family w:val="swiss"/>
    <w:pitch w:val="default"/>
    <w:sig w:usb0="E0002EFF" w:usb1="C000785B" w:usb2="00000009" w:usb3="00000000" w:csb0="400001FF" w:csb1="FFFF0000"/>
    <w:embedRegular r:id="rId9" w:fontKey="{C85C8072-C178-41BC-92F8-C51C3FFA4740}"/>
  </w:font>
  <w:font w:name="DengXian-Regular">
    <w:altName w:val="宋体"/>
    <w:panose1 w:val="00000000000000000000"/>
    <w:charset w:val="86"/>
    <w:family w:val="auto"/>
    <w:pitch w:val="default"/>
    <w:sig w:usb0="00000000" w:usb1="00000000" w:usb2="00000010" w:usb3="00000000" w:csb0="00040001" w:csb1="00000000"/>
    <w:embedRegular r:id="rId10" w:fontKey="{702CFB4B-19BE-4CEE-A1E3-7913F9FB1F84}"/>
  </w:font>
  <w:font w:name="DengXian-Bold">
    <w:altName w:val="宋体"/>
    <w:panose1 w:val="00000000000000000000"/>
    <w:charset w:val="86"/>
    <w:family w:val="auto"/>
    <w:pitch w:val="default"/>
    <w:sig w:usb0="00000000" w:usb1="00000000" w:usb2="00000010" w:usb3="00000000" w:csb0="00040001" w:csb1="00000000"/>
    <w:embedRegular r:id="rId11" w:fontKey="{5AB56394-181E-47E3-A048-0485B3C469F7}"/>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FC72F0"/>
    <w:multiLevelType w:val="singleLevel"/>
    <w:tmpl w:val="5DFC72F0"/>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C1413"/>
    <w:rsid w:val="00024E7F"/>
    <w:rsid w:val="000475A0"/>
    <w:rsid w:val="00050C17"/>
    <w:rsid w:val="000838C3"/>
    <w:rsid w:val="000B2446"/>
    <w:rsid w:val="000D3EC9"/>
    <w:rsid w:val="000D7C65"/>
    <w:rsid w:val="000E2F81"/>
    <w:rsid w:val="000F6BC3"/>
    <w:rsid w:val="00117946"/>
    <w:rsid w:val="00117E2C"/>
    <w:rsid w:val="00146C47"/>
    <w:rsid w:val="00152FB8"/>
    <w:rsid w:val="00166E3E"/>
    <w:rsid w:val="00176658"/>
    <w:rsid w:val="0018239E"/>
    <w:rsid w:val="001B3410"/>
    <w:rsid w:val="001C030D"/>
    <w:rsid w:val="001C4A84"/>
    <w:rsid w:val="001E5902"/>
    <w:rsid w:val="00221B5E"/>
    <w:rsid w:val="00223C2D"/>
    <w:rsid w:val="00224E91"/>
    <w:rsid w:val="00233705"/>
    <w:rsid w:val="00275CA2"/>
    <w:rsid w:val="002A65A5"/>
    <w:rsid w:val="002C04C4"/>
    <w:rsid w:val="002D08B0"/>
    <w:rsid w:val="002D1AE3"/>
    <w:rsid w:val="002F2ECE"/>
    <w:rsid w:val="00341C8F"/>
    <w:rsid w:val="0035463A"/>
    <w:rsid w:val="00370F71"/>
    <w:rsid w:val="00391D9D"/>
    <w:rsid w:val="00391E1D"/>
    <w:rsid w:val="003B6C51"/>
    <w:rsid w:val="003C1413"/>
    <w:rsid w:val="003C549F"/>
    <w:rsid w:val="003D5A16"/>
    <w:rsid w:val="003E7DB3"/>
    <w:rsid w:val="003F7EC9"/>
    <w:rsid w:val="00431175"/>
    <w:rsid w:val="0047354C"/>
    <w:rsid w:val="004B6E37"/>
    <w:rsid w:val="004C32BA"/>
    <w:rsid w:val="00502871"/>
    <w:rsid w:val="00575922"/>
    <w:rsid w:val="005A6C90"/>
    <w:rsid w:val="005E3FB0"/>
    <w:rsid w:val="005F3ADF"/>
    <w:rsid w:val="005F4B66"/>
    <w:rsid w:val="005F5208"/>
    <w:rsid w:val="00641318"/>
    <w:rsid w:val="0064405D"/>
    <w:rsid w:val="00644142"/>
    <w:rsid w:val="00685302"/>
    <w:rsid w:val="00695557"/>
    <w:rsid w:val="00696791"/>
    <w:rsid w:val="006D4EA7"/>
    <w:rsid w:val="0070012A"/>
    <w:rsid w:val="0070664B"/>
    <w:rsid w:val="007071B8"/>
    <w:rsid w:val="00715627"/>
    <w:rsid w:val="00735EFD"/>
    <w:rsid w:val="007414DE"/>
    <w:rsid w:val="0074209C"/>
    <w:rsid w:val="007905A9"/>
    <w:rsid w:val="007E5500"/>
    <w:rsid w:val="007F055B"/>
    <w:rsid w:val="0080644C"/>
    <w:rsid w:val="00811C2F"/>
    <w:rsid w:val="00833D46"/>
    <w:rsid w:val="00840A97"/>
    <w:rsid w:val="008746C1"/>
    <w:rsid w:val="008B4CDF"/>
    <w:rsid w:val="008C0149"/>
    <w:rsid w:val="008C689C"/>
    <w:rsid w:val="008D5DED"/>
    <w:rsid w:val="008E25CA"/>
    <w:rsid w:val="008F34FC"/>
    <w:rsid w:val="00935058"/>
    <w:rsid w:val="00944CD7"/>
    <w:rsid w:val="00966287"/>
    <w:rsid w:val="009831B2"/>
    <w:rsid w:val="009A1ABE"/>
    <w:rsid w:val="009B6D1F"/>
    <w:rsid w:val="009E21A4"/>
    <w:rsid w:val="009F22C6"/>
    <w:rsid w:val="00A06C13"/>
    <w:rsid w:val="00A07E50"/>
    <w:rsid w:val="00A15397"/>
    <w:rsid w:val="00A35CE0"/>
    <w:rsid w:val="00A4462E"/>
    <w:rsid w:val="00A44AA4"/>
    <w:rsid w:val="00A61623"/>
    <w:rsid w:val="00A84687"/>
    <w:rsid w:val="00AB0A0E"/>
    <w:rsid w:val="00AC648F"/>
    <w:rsid w:val="00AD3B6E"/>
    <w:rsid w:val="00AF23D2"/>
    <w:rsid w:val="00B1751F"/>
    <w:rsid w:val="00B356C9"/>
    <w:rsid w:val="00B56722"/>
    <w:rsid w:val="00B74D39"/>
    <w:rsid w:val="00B85ED4"/>
    <w:rsid w:val="00B91DA4"/>
    <w:rsid w:val="00C0313B"/>
    <w:rsid w:val="00C12630"/>
    <w:rsid w:val="00C34562"/>
    <w:rsid w:val="00C3774E"/>
    <w:rsid w:val="00C57456"/>
    <w:rsid w:val="00C65387"/>
    <w:rsid w:val="00C87FAB"/>
    <w:rsid w:val="00C91FF7"/>
    <w:rsid w:val="00C94E53"/>
    <w:rsid w:val="00D0048E"/>
    <w:rsid w:val="00D20A35"/>
    <w:rsid w:val="00D23E7A"/>
    <w:rsid w:val="00D61063"/>
    <w:rsid w:val="00DB35AF"/>
    <w:rsid w:val="00DB7BB0"/>
    <w:rsid w:val="00DD72D7"/>
    <w:rsid w:val="00DF1432"/>
    <w:rsid w:val="00DF5B88"/>
    <w:rsid w:val="00E0589E"/>
    <w:rsid w:val="00E241FA"/>
    <w:rsid w:val="00E2595E"/>
    <w:rsid w:val="00E35374"/>
    <w:rsid w:val="00E50C19"/>
    <w:rsid w:val="00E64655"/>
    <w:rsid w:val="00E73081"/>
    <w:rsid w:val="00E81BD1"/>
    <w:rsid w:val="00E856C9"/>
    <w:rsid w:val="00E8744D"/>
    <w:rsid w:val="00EA5E23"/>
    <w:rsid w:val="00EB6A8B"/>
    <w:rsid w:val="00EE2922"/>
    <w:rsid w:val="00EF38C6"/>
    <w:rsid w:val="00F679C7"/>
    <w:rsid w:val="00F7711A"/>
    <w:rsid w:val="00FA0D58"/>
    <w:rsid w:val="00FA56F4"/>
    <w:rsid w:val="00FB4EDA"/>
    <w:rsid w:val="00FD3BD5"/>
    <w:rsid w:val="00FE3DC8"/>
    <w:rsid w:val="011C6278"/>
    <w:rsid w:val="03E92AE0"/>
    <w:rsid w:val="04073F84"/>
    <w:rsid w:val="048E656B"/>
    <w:rsid w:val="055F0847"/>
    <w:rsid w:val="06D5131F"/>
    <w:rsid w:val="07C116BE"/>
    <w:rsid w:val="09816CF2"/>
    <w:rsid w:val="0B0F0353"/>
    <w:rsid w:val="0B323810"/>
    <w:rsid w:val="0B60750A"/>
    <w:rsid w:val="0EF550CB"/>
    <w:rsid w:val="104A7764"/>
    <w:rsid w:val="10686488"/>
    <w:rsid w:val="10DF728A"/>
    <w:rsid w:val="10F77B0F"/>
    <w:rsid w:val="111A6DAF"/>
    <w:rsid w:val="11EA302C"/>
    <w:rsid w:val="1264200E"/>
    <w:rsid w:val="14056F8A"/>
    <w:rsid w:val="141C5B77"/>
    <w:rsid w:val="147E774B"/>
    <w:rsid w:val="14A61983"/>
    <w:rsid w:val="14AD42F9"/>
    <w:rsid w:val="16503E19"/>
    <w:rsid w:val="166409A4"/>
    <w:rsid w:val="1730673C"/>
    <w:rsid w:val="18D8339D"/>
    <w:rsid w:val="18FD59C3"/>
    <w:rsid w:val="1A21388F"/>
    <w:rsid w:val="1A570D2F"/>
    <w:rsid w:val="1B0E61C4"/>
    <w:rsid w:val="1B173FD3"/>
    <w:rsid w:val="1EEF5534"/>
    <w:rsid w:val="1F4210E4"/>
    <w:rsid w:val="1FEC2BE0"/>
    <w:rsid w:val="23E75986"/>
    <w:rsid w:val="24B440DA"/>
    <w:rsid w:val="25B4274C"/>
    <w:rsid w:val="267E320A"/>
    <w:rsid w:val="270302DB"/>
    <w:rsid w:val="27D36ED5"/>
    <w:rsid w:val="28FB0B8D"/>
    <w:rsid w:val="2A1D06D8"/>
    <w:rsid w:val="2A3D7945"/>
    <w:rsid w:val="2A7D451E"/>
    <w:rsid w:val="2A9870FC"/>
    <w:rsid w:val="2AF72332"/>
    <w:rsid w:val="2D2B7942"/>
    <w:rsid w:val="2D46481D"/>
    <w:rsid w:val="2E102B55"/>
    <w:rsid w:val="2E722C07"/>
    <w:rsid w:val="2E733B28"/>
    <w:rsid w:val="2F566619"/>
    <w:rsid w:val="30E749BD"/>
    <w:rsid w:val="31852B5A"/>
    <w:rsid w:val="32473C1C"/>
    <w:rsid w:val="32BA0BAC"/>
    <w:rsid w:val="32D01238"/>
    <w:rsid w:val="32DA6F8E"/>
    <w:rsid w:val="34C6568F"/>
    <w:rsid w:val="358F67A5"/>
    <w:rsid w:val="38BE216A"/>
    <w:rsid w:val="38DC1243"/>
    <w:rsid w:val="3A034D3C"/>
    <w:rsid w:val="3A0C0453"/>
    <w:rsid w:val="3A5F7D85"/>
    <w:rsid w:val="3DFC59A8"/>
    <w:rsid w:val="3E241B01"/>
    <w:rsid w:val="3ECF245E"/>
    <w:rsid w:val="3ED00B6D"/>
    <w:rsid w:val="3FB96314"/>
    <w:rsid w:val="3FDC49EE"/>
    <w:rsid w:val="437C7DA5"/>
    <w:rsid w:val="46236D44"/>
    <w:rsid w:val="4A6A7BF4"/>
    <w:rsid w:val="4B276985"/>
    <w:rsid w:val="4C1B52A4"/>
    <w:rsid w:val="4CBF2BCD"/>
    <w:rsid w:val="4D397720"/>
    <w:rsid w:val="4F242E65"/>
    <w:rsid w:val="4FA57777"/>
    <w:rsid w:val="51F74872"/>
    <w:rsid w:val="520720F0"/>
    <w:rsid w:val="53353556"/>
    <w:rsid w:val="53A44FAF"/>
    <w:rsid w:val="556F7B30"/>
    <w:rsid w:val="567E41B2"/>
    <w:rsid w:val="593B3667"/>
    <w:rsid w:val="594329EC"/>
    <w:rsid w:val="59C54BBB"/>
    <w:rsid w:val="5B8F08F9"/>
    <w:rsid w:val="5BE8332B"/>
    <w:rsid w:val="5BEE1540"/>
    <w:rsid w:val="5CB07D6B"/>
    <w:rsid w:val="5DE61A5D"/>
    <w:rsid w:val="5E1A25D7"/>
    <w:rsid w:val="5EC11193"/>
    <w:rsid w:val="5F426C99"/>
    <w:rsid w:val="5F82620B"/>
    <w:rsid w:val="5FEB61BD"/>
    <w:rsid w:val="616F4C50"/>
    <w:rsid w:val="63C04243"/>
    <w:rsid w:val="649C01C7"/>
    <w:rsid w:val="65696B9C"/>
    <w:rsid w:val="66F63A84"/>
    <w:rsid w:val="67FB58E0"/>
    <w:rsid w:val="699A3F60"/>
    <w:rsid w:val="6A85313B"/>
    <w:rsid w:val="6ABC0BAD"/>
    <w:rsid w:val="6BE03BC8"/>
    <w:rsid w:val="6BFB1927"/>
    <w:rsid w:val="6E900712"/>
    <w:rsid w:val="6FAB3A8D"/>
    <w:rsid w:val="6FCE3736"/>
    <w:rsid w:val="71233EBC"/>
    <w:rsid w:val="72902E62"/>
    <w:rsid w:val="73C61104"/>
    <w:rsid w:val="74DC6920"/>
    <w:rsid w:val="75E41582"/>
    <w:rsid w:val="776452EA"/>
    <w:rsid w:val="7A61463D"/>
    <w:rsid w:val="7ADB0700"/>
    <w:rsid w:val="7DC663B9"/>
    <w:rsid w:val="7E9E49C3"/>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3.jpeg"/><Relationship Id="rId12" Type="http://schemas.openxmlformats.org/officeDocument/2006/relationships/chart" Target="charts/chart5.xml"/><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600" b="1" i="0" u="none" strike="noStrike" kern="1200" cap="all" baseline="0">
                <a:solidFill>
                  <a:schemeClr val="tx1">
                    <a:lumMod val="65000"/>
                    <a:lumOff val="35000"/>
                  </a:schemeClr>
                </a:solidFill>
                <a:latin typeface="+mn-lt"/>
                <a:ea typeface="+mn-ea"/>
                <a:cs typeface="+mn-cs"/>
              </a:defRPr>
            </a:pPr>
            <a:r>
              <a:t>图1：收入构成情况</a:t>
            </a:r>
          </a:p>
        </c:rich>
      </c:tx>
      <c:layout>
        <c:manualLayout>
          <c:xMode val="edge"/>
          <c:yMode val="edge"/>
          <c:x val="0.366550862270199"/>
          <c:y val="0.850746268656717"/>
        </c:manualLayout>
      </c:layout>
      <c:overlay val="0"/>
      <c:spPr>
        <a:noFill/>
        <a:ln>
          <a:noFill/>
        </a:ln>
        <a:effectLst/>
      </c:spPr>
    </c:title>
    <c:autoTitleDeleted val="0"/>
    <c:plotArea>
      <c:layout>
        <c:manualLayout>
          <c:layoutTarget val="inner"/>
          <c:xMode val="edge"/>
          <c:yMode val="edge"/>
          <c:x val="0.123074855492147"/>
          <c:y val="0.0713875805707983"/>
          <c:w val="0.811370238156239"/>
          <c:h val="0.765547851294708"/>
        </c:manualLayout>
      </c:layout>
      <c:pieChart>
        <c:varyColors val="1"/>
        <c:ser>
          <c:idx val="0"/>
          <c:order val="0"/>
          <c:explosion val="0"/>
          <c:dPt>
            <c:idx val="0"/>
            <c:bubble3D val="0"/>
            <c:spPr>
              <a:solidFill>
                <a:schemeClr val="accent1"/>
              </a:solidFill>
              <a:ln>
                <a:noFill/>
              </a:ln>
              <a:effectLst>
                <a:outerShdw blurRad="63500" sx="102000" sy="102000" algn="ctr" rotWithShape="0">
                  <a:prstClr val="black">
                    <a:alpha val="20000"/>
                  </a:prstClr>
                </a:outerShdw>
              </a:effectLst>
            </c:spPr>
          </c:dPt>
          <c:dPt>
            <c:idx val="1"/>
            <c:bubble3D val="0"/>
            <c:spPr>
              <a:solidFill>
                <a:schemeClr val="accent2"/>
              </a:solidFill>
              <a:ln>
                <a:noFill/>
              </a:ln>
              <a:effectLst>
                <a:outerShdw blurRad="63500" sx="102000" sy="102000" algn="ctr" rotWithShape="0">
                  <a:prstClr val="black">
                    <a:alpha val="20000"/>
                  </a:prstClr>
                </a:outerShdw>
              </a:effectLst>
            </c:spPr>
          </c:dPt>
          <c:dPt>
            <c:idx val="2"/>
            <c:bubble3D val="0"/>
            <c:spPr>
              <a:solidFill>
                <a:schemeClr val="accent3"/>
              </a:solidFill>
              <a:ln>
                <a:noFill/>
              </a:ln>
              <a:effectLst>
                <a:outerShdw blurRad="63500" sx="102000" sy="102000" algn="ctr" rotWithShape="0">
                  <a:prstClr val="black">
                    <a:alpha val="20000"/>
                  </a:prstClr>
                </a:outerShdw>
              </a:effectLst>
            </c:spPr>
          </c:dPt>
          <c:dPt>
            <c:idx val="3"/>
            <c:bubble3D val="0"/>
            <c:spPr>
              <a:solidFill>
                <a:schemeClr val="accent4"/>
              </a:solidFill>
              <a:ln>
                <a:noFill/>
              </a:ln>
              <a:effectLst>
                <a:outerShdw blurRad="63500" sx="102000" sy="102000" algn="ctr" rotWithShape="0">
                  <a:prstClr val="black">
                    <a:alpha val="20000"/>
                  </a:prstClr>
                </a:outerShdw>
              </a:effectLst>
            </c:spPr>
          </c:dPt>
          <c:dLbls>
            <c:dLbl>
              <c:idx val="0"/>
              <c:layout>
                <c:manualLayout>
                  <c:x val="-0.31145643908084"/>
                  <c:y val="-0.170255271920089"/>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1"/>
                        </a:solidFill>
                        <a:latin typeface="+mn-lt"/>
                        <a:ea typeface="+mn-ea"/>
                        <a:cs typeface="+mn-cs"/>
                      </a:defRPr>
                    </a:pPr>
                    <a:r>
                      <a:rPr>
                        <a:solidFill>
                          <a:schemeClr val="tx1"/>
                        </a:solidFill>
                      </a:rPr>
                      <a:t>财政拨款收入</a:t>
                    </a:r>
                    <a:endParaRPr>
                      <a:solidFill>
                        <a:schemeClr val="tx1"/>
                      </a:solidFill>
                    </a:endParaRPr>
                  </a:p>
                  <a:p>
                    <a:pPr defTabSz="914400">
                      <a:defRPr lang="zh-CN" sz="1000" b="1" i="0" u="none" strike="noStrike" kern="1200" spc="0" baseline="0">
                        <a:solidFill>
                          <a:schemeClr val="accent1"/>
                        </a:solidFill>
                        <a:latin typeface="+mn-lt"/>
                        <a:ea typeface="+mn-ea"/>
                        <a:cs typeface="+mn-cs"/>
                      </a:defRPr>
                    </a:pPr>
                    <a:r>
                      <a:rPr>
                        <a:solidFill>
                          <a:schemeClr val="tx1"/>
                        </a:solidFill>
                      </a:rPr>
                      <a:t>99.99%</a:t>
                    </a:r>
                    <a:endParaRPr>
                      <a:solidFill>
                        <a:schemeClr val="tx1"/>
                      </a:solidFill>
                    </a:endParaRPr>
                  </a:p>
                </c:rich>
              </c:tx>
              <c:numFmt formatCode="0.00%" sourceLinked="0"/>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delete val="1"/>
            </c:dLbl>
            <c:dLbl>
              <c:idx val="2"/>
              <c:delete val="1"/>
            </c:dLbl>
            <c:dLbl>
              <c:idx val="3"/>
              <c:layout>
                <c:manualLayout>
                  <c:x val="0.212101173747727"/>
                  <c:y val="0"/>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4"/>
                        </a:solidFill>
                        <a:latin typeface="+mn-lt"/>
                        <a:ea typeface="+mn-ea"/>
                        <a:cs typeface="+mn-cs"/>
                      </a:defRPr>
                    </a:pPr>
                    <a:r>
                      <a:rPr>
                        <a:solidFill>
                          <a:schemeClr val="tx1"/>
                        </a:solidFill>
                      </a:rPr>
                      <a:t>其他收入</a:t>
                    </a:r>
                    <a:endParaRPr>
                      <a:solidFill>
                        <a:schemeClr val="tx1"/>
                      </a:solidFill>
                    </a:endParaRPr>
                  </a:p>
                  <a:p>
                    <a:pPr defTabSz="914400">
                      <a:defRPr lang="zh-CN" sz="1000" b="1" i="0" u="none" strike="noStrike" kern="1200" spc="0" baseline="0">
                        <a:solidFill>
                          <a:schemeClr val="accent4"/>
                        </a:solidFill>
                        <a:latin typeface="+mn-lt"/>
                        <a:ea typeface="+mn-ea"/>
                        <a:cs typeface="+mn-cs"/>
                      </a:defRPr>
                    </a:pPr>
                    <a:r>
                      <a:rPr>
                        <a:solidFill>
                          <a:schemeClr val="tx1"/>
                        </a:solidFill>
                      </a:rPr>
                      <a:t>0.01%</a:t>
                    </a:r>
                    <a:endParaRPr>
                      <a:solidFill>
                        <a:schemeClr val="tx1"/>
                      </a:solidFill>
                    </a:endParaRPr>
                  </a:p>
                </c:rich>
              </c:tx>
              <c:numFmt formatCode="0.00%" sourceLinked="0"/>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4"/>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out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1302.38</c:v>
                </c:pt>
                <c:pt idx="3">
                  <c:v>0.091</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600" b="1" i="0" u="none" strike="noStrike" kern="1200" cap="all" baseline="0">
                <a:solidFill>
                  <a:schemeClr val="tx1">
                    <a:lumMod val="65000"/>
                    <a:lumOff val="35000"/>
                  </a:schemeClr>
                </a:solidFill>
                <a:latin typeface="+mn-lt"/>
                <a:ea typeface="+mn-ea"/>
                <a:cs typeface="+mn-cs"/>
              </a:defRPr>
            </a:pPr>
            <a:r>
              <a:t>图2：支出构成情况</a:t>
            </a:r>
          </a:p>
        </c:rich>
      </c:tx>
      <c:layout>
        <c:manualLayout>
          <c:xMode val="edge"/>
          <c:yMode val="edge"/>
          <c:x val="0.364138331467032"/>
          <c:y val="0.823232323232323"/>
        </c:manualLayout>
      </c:layout>
      <c:overlay val="0"/>
      <c:spPr>
        <a:noFill/>
        <a:ln>
          <a:noFill/>
        </a:ln>
        <a:effectLst/>
      </c:spPr>
    </c:title>
    <c:autoTitleDeleted val="0"/>
    <c:plotArea>
      <c:layout>
        <c:manualLayout>
          <c:layoutTarget val="inner"/>
          <c:xMode val="edge"/>
          <c:yMode val="edge"/>
          <c:x val="0.101627059597234"/>
          <c:y val="0.103243458204088"/>
          <c:w val="0.808785007968812"/>
          <c:h val="0.65515469657202"/>
        </c:manualLayout>
      </c:layout>
      <c:pieChart>
        <c:varyColors val="1"/>
        <c:ser>
          <c:idx val="0"/>
          <c:order val="0"/>
          <c:explosion val="0"/>
          <c:dPt>
            <c:idx val="0"/>
            <c:bubble3D val="0"/>
            <c:spPr>
              <a:solidFill>
                <a:schemeClr val="accent1"/>
              </a:solidFill>
              <a:ln>
                <a:noFill/>
              </a:ln>
              <a:effectLst>
                <a:outerShdw blurRad="63500" sx="102000" sy="102000" algn="ctr" rotWithShape="0">
                  <a:prstClr val="black">
                    <a:alpha val="20000"/>
                  </a:prstClr>
                </a:outerShdw>
              </a:effectLst>
            </c:spPr>
          </c:dPt>
          <c:dPt>
            <c:idx val="1"/>
            <c:bubble3D val="0"/>
            <c:spPr>
              <a:solidFill>
                <a:schemeClr val="accent2"/>
              </a:solidFill>
              <a:ln>
                <a:noFill/>
              </a:ln>
              <a:effectLst>
                <a:outerShdw blurRad="63500" sx="102000" sy="102000" algn="ctr" rotWithShape="0">
                  <a:prstClr val="black">
                    <a:alpha val="20000"/>
                  </a:prstClr>
                </a:outerShdw>
              </a:effectLst>
            </c:spPr>
          </c:dPt>
          <c:dPt>
            <c:idx val="2"/>
            <c:bubble3D val="0"/>
            <c:spPr>
              <a:solidFill>
                <a:schemeClr val="accent3"/>
              </a:solidFill>
              <a:ln>
                <a:noFill/>
              </a:ln>
              <a:effectLst>
                <a:outerShdw blurRad="63500" sx="102000" sy="102000" algn="ctr" rotWithShape="0">
                  <a:prstClr val="black">
                    <a:alpha val="20000"/>
                  </a:prstClr>
                </a:outerShdw>
              </a:effectLst>
            </c:spPr>
          </c:dPt>
          <c:dLbls>
            <c:dLbl>
              <c:idx val="0"/>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1"/>
                        </a:solidFill>
                        <a:latin typeface="+mn-lt"/>
                        <a:ea typeface="+mn-ea"/>
                        <a:cs typeface="+mn-cs"/>
                      </a:defRPr>
                    </a:pPr>
                    <a:r>
                      <a:rPr>
                        <a:solidFill>
                          <a:schemeClr val="tx1"/>
                        </a:solidFill>
                      </a:rPr>
                      <a:t>基本支出</a:t>
                    </a:r>
                    <a:endParaRPr>
                      <a:solidFill>
                        <a:schemeClr val="tx1"/>
                      </a:solidFill>
                    </a:endParaRPr>
                  </a:p>
                  <a:p>
                    <a:pPr defTabSz="914400">
                      <a:defRPr lang="zh-CN" sz="1000" b="1" i="0" u="none" strike="noStrike" kern="1200" spc="0" baseline="0">
                        <a:solidFill>
                          <a:schemeClr val="accent1"/>
                        </a:solidFill>
                        <a:latin typeface="+mn-lt"/>
                        <a:ea typeface="+mn-ea"/>
                        <a:cs typeface="+mn-cs"/>
                      </a:defRPr>
                    </a:pPr>
                    <a:r>
                      <a:rPr>
                        <a:solidFill>
                          <a:schemeClr val="tx1"/>
                        </a:solidFill>
                      </a:rPr>
                      <a:t>82.79%</a:t>
                    </a:r>
                    <a:endParaRPr>
                      <a:solidFill>
                        <a:schemeClr val="tx1"/>
                      </a:solidFill>
                    </a:endParaRPr>
                  </a:p>
                </c:rich>
              </c:tx>
              <c:numFmt formatCode="0.00%" sourceLinked="0"/>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outEnd"/>
              <c:showLegendKey val="0"/>
              <c:showVal val="0"/>
              <c:showCatName val="1"/>
              <c:showSerName val="0"/>
              <c:showPercent val="1"/>
              <c:showBubbleSize val="0"/>
              <c:separator>
</c:separator>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2"/>
                        </a:solidFill>
                        <a:latin typeface="+mn-lt"/>
                        <a:ea typeface="+mn-ea"/>
                        <a:cs typeface="+mn-cs"/>
                      </a:defRPr>
                    </a:pPr>
                    <a:r>
                      <a:rPr>
                        <a:solidFill>
                          <a:schemeClr val="tx1"/>
                        </a:solidFill>
                      </a:rPr>
                      <a:t>项目支出</a:t>
                    </a:r>
                    <a:endParaRPr>
                      <a:solidFill>
                        <a:schemeClr val="tx1"/>
                      </a:solidFill>
                    </a:endParaRPr>
                  </a:p>
                  <a:p>
                    <a:pPr defTabSz="914400">
                      <a:defRPr lang="zh-CN" sz="1000" b="1" i="0" u="none" strike="noStrike" kern="1200" spc="0" baseline="0">
                        <a:solidFill>
                          <a:schemeClr val="accent2"/>
                        </a:solidFill>
                        <a:latin typeface="+mn-lt"/>
                        <a:ea typeface="+mn-ea"/>
                        <a:cs typeface="+mn-cs"/>
                      </a:defRPr>
                    </a:pPr>
                    <a:r>
                      <a:rPr>
                        <a:solidFill>
                          <a:schemeClr val="tx1"/>
                        </a:solidFill>
                      </a:rPr>
                      <a:t>17.21%</a:t>
                    </a:r>
                    <a:endParaRPr>
                      <a:solidFill>
                        <a:schemeClr val="tx1"/>
                      </a:solidFill>
                    </a:endParaRPr>
                  </a:p>
                </c:rich>
              </c:tx>
              <c:numFmt formatCode="0.00%" sourceLinked="0"/>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2"/>
                      </a:solidFill>
                      <a:latin typeface="+mn-lt"/>
                      <a:ea typeface="+mn-ea"/>
                      <a:cs typeface="+mn-cs"/>
                    </a:defRPr>
                  </a:pPr>
                </a:p>
              </c:txPr>
              <c:dLblPos val="outEnd"/>
              <c:showLegendKey val="0"/>
              <c:showVal val="0"/>
              <c:showCatName val="1"/>
              <c:showSerName val="0"/>
              <c:showPercent val="1"/>
              <c:showBubbleSize val="0"/>
              <c:separator>
</c:separator>
              <c:extLst>
                <c:ext xmlns:c15="http://schemas.microsoft.com/office/drawing/2012/chart" uri="{CE6537A1-D6FC-4f65-9D91-7224C49458BB}"/>
              </c:extLst>
            </c:dLbl>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out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1119.5</c:v>
                </c:pt>
                <c:pt idx="1">
                  <c:v>232.78</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r>
              <a:t>图3：2017-2018年财政拨款收支对比情况</a:t>
            </a:r>
          </a:p>
        </c:rich>
      </c:tx>
      <c:layout>
        <c:manualLayout>
          <c:xMode val="edge"/>
          <c:yMode val="edge"/>
          <c:x val="0.222222222222222"/>
          <c:y val="0.864749733759319"/>
        </c:manualLayout>
      </c:layout>
      <c:overlay val="0"/>
      <c:spPr>
        <a:noFill/>
        <a:ln>
          <a:noFill/>
        </a:ln>
        <a:effectLst/>
      </c:spPr>
    </c:title>
    <c:autoTitleDeleted val="0"/>
    <c:plotArea>
      <c:layout>
        <c:manualLayout>
          <c:layoutTarget val="inner"/>
          <c:xMode val="edge"/>
          <c:yMode val="edge"/>
          <c:x val="0.130126694600759"/>
          <c:y val="0.0652361507203399"/>
          <c:w val="0.86928937007874"/>
          <c:h val="0.601993408970844"/>
        </c:manualLayout>
      </c:layout>
      <c:barChart>
        <c:barDir val="col"/>
        <c:grouping val="clustered"/>
        <c:varyColors val="0"/>
        <c:ser>
          <c:idx val="0"/>
          <c:order val="0"/>
          <c:tx>
            <c:strRef>
              <c:f>收支与决算对比!$A$5</c:f>
              <c:strCache>
                <c:ptCount val="1"/>
                <c:pt idx="0">
                  <c:v>2018</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dk1">
                          <a:lumMod val="50000"/>
                          <a:lumOff val="50000"/>
                        </a:schemeClr>
                      </a:solidFill>
                      <a:prstDash val="solid"/>
                      <a:round/>
                    </a:ln>
                    <a:effectLst/>
                  </c:spPr>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1302.38</c:v>
                </c:pt>
                <c:pt idx="1">
                  <c:v>1352.25</c:v>
                </c:pt>
              </c:numCache>
            </c:numRef>
          </c:val>
        </c:ser>
        <c:ser>
          <c:idx val="1"/>
          <c:order val="1"/>
          <c:tx>
            <c:strRef>
              <c:f>收支与决算对比!$A$6</c:f>
              <c:strCache>
                <c:ptCount val="1"/>
                <c:pt idx="0">
                  <c:v>2017</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dk1">
                          <a:lumMod val="50000"/>
                          <a:lumOff val="50000"/>
                        </a:schemeClr>
                      </a:solidFill>
                      <a:prstDash val="solid"/>
                      <a:round/>
                    </a:ln>
                    <a:effectLst/>
                  </c:spPr>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1655.66</c:v>
                </c:pt>
                <c:pt idx="1">
                  <c:v>1636.65</c:v>
                </c:pt>
              </c:numCache>
            </c:numRef>
          </c:val>
        </c:ser>
        <c:dLbls>
          <c:showLegendKey val="0"/>
          <c:showVal val="1"/>
          <c:showCatName val="0"/>
          <c:showSerName val="0"/>
          <c:showPercent val="0"/>
          <c:showBubbleSize val="0"/>
        </c:dLbls>
        <c:gapWidth val="65"/>
        <c:axId val="212275584"/>
        <c:axId val="212277120"/>
      </c:barChart>
      <c:catAx>
        <c:axId val="212275584"/>
        <c:scaling>
          <c:orientation val="minMax"/>
        </c:scaling>
        <c:delete val="0"/>
        <c:axPos val="b"/>
        <c:majorTickMark val="none"/>
        <c:minorTickMark val="none"/>
        <c:tickLblPos val="nextTo"/>
        <c:spPr>
          <a:noFill/>
          <a:ln w="19050" cap="flat" cmpd="sng" algn="ctr">
            <a:solidFill>
              <a:schemeClr val="dk1">
                <a:lumMod val="75000"/>
                <a:lumOff val="25000"/>
              </a:schemeClr>
            </a:solidFill>
            <a:prstDash val="solid"/>
            <a:round/>
          </a:ln>
          <a:effectLst/>
        </c:spPr>
        <c:txPr>
          <a:bodyPr rot="-60000000" spcFirstLastPara="0" vertOverflow="ellipsis" vert="horz" wrap="square" anchor="ctr" anchorCtr="1"/>
          <a:lstStyle/>
          <a:p>
            <a:pPr>
              <a:defRPr lang="zh-CN" sz="900" b="0" i="0" u="none" strike="noStrike" kern="1200" cap="all" baseline="0">
                <a:solidFill>
                  <a:schemeClr val="dk1">
                    <a:lumMod val="75000"/>
                    <a:lumOff val="25000"/>
                  </a:schemeClr>
                </a:solidFill>
                <a:latin typeface="+mn-lt"/>
                <a:ea typeface="+mn-ea"/>
                <a:cs typeface="+mn-cs"/>
              </a:defRPr>
            </a:pPr>
          </a:p>
        </c:txPr>
        <c:crossAx val="212277120"/>
        <c:crosses val="autoZero"/>
        <c:auto val="1"/>
        <c:lblAlgn val="ctr"/>
        <c:lblOffset val="100"/>
        <c:noMultiLvlLbl val="0"/>
      </c:catAx>
      <c:valAx>
        <c:axId val="21227712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prstDash val="solid"/>
              <a:round/>
            </a:ln>
            <a:effectLst/>
          </c:spPr>
        </c:majorGridlines>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2275584"/>
        <c:crosses val="autoZero"/>
        <c:crossBetween val="between"/>
      </c:valAx>
      <c:spPr>
        <a:noFill/>
        <a:ln>
          <a:noFill/>
        </a:ln>
        <a:effectLst/>
      </c:spPr>
    </c:plotArea>
    <c:legend>
      <c:legendPos val="b"/>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r>
              <a:t>图4：财政拨款收支预决算对比情况</a:t>
            </a:r>
          </a:p>
        </c:rich>
      </c:tx>
      <c:layout>
        <c:manualLayout>
          <c:xMode val="edge"/>
          <c:yMode val="edge"/>
          <c:x val="0.248578342335021"/>
          <c:y val="0.913668759023358"/>
        </c:manualLayout>
      </c:layout>
      <c:overlay val="0"/>
      <c:spPr>
        <a:noFill/>
        <a:ln>
          <a:noFill/>
        </a:ln>
        <a:effectLst/>
      </c:spPr>
    </c:title>
    <c:autoTitleDeleted val="0"/>
    <c:plotArea>
      <c:layout>
        <c:manualLayout>
          <c:layoutTarget val="inner"/>
          <c:xMode val="edge"/>
          <c:yMode val="edge"/>
          <c:x val="0.105852639980959"/>
          <c:y val="0.022806799767839"/>
          <c:w val="0.86928937007874"/>
          <c:h val="0.768818002863279"/>
        </c:manualLayout>
      </c:layout>
      <c:barChart>
        <c:barDir val="col"/>
        <c:grouping val="clustered"/>
        <c:varyColors val="0"/>
        <c:ser>
          <c:idx val="0"/>
          <c:order val="0"/>
          <c:tx>
            <c:strRef>
              <c:f>收支与预算对比!$A$5</c:f>
              <c:strCache>
                <c:ptCount val="1"/>
                <c:pt idx="0">
                  <c:v>年初预算数</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dk1">
                          <a:lumMod val="50000"/>
                          <a:lumOff val="50000"/>
                        </a:schemeClr>
                      </a:solidFill>
                      <a:prstDash val="solid"/>
                      <a:round/>
                    </a:ln>
                    <a:effectLst/>
                  </c:spPr>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1250.15</c:v>
                </c:pt>
                <c:pt idx="1">
                  <c:v>1636.65</c:v>
                </c:pt>
              </c:numCache>
            </c:numRef>
          </c:val>
        </c:ser>
        <c:ser>
          <c:idx val="1"/>
          <c:order val="1"/>
          <c:tx>
            <c:strRef>
              <c:f>收支与预算对比!$A$6</c:f>
              <c:strCache>
                <c:ptCount val="1"/>
                <c:pt idx="0">
                  <c:v>决算数</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dk1">
                          <a:lumMod val="50000"/>
                          <a:lumOff val="50000"/>
                        </a:schemeClr>
                      </a:solidFill>
                      <a:prstDash val="solid"/>
                      <a:round/>
                    </a:ln>
                    <a:effectLst/>
                  </c:spPr>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1302.38</c:v>
                </c:pt>
                <c:pt idx="1">
                  <c:v>1352.25</c:v>
                </c:pt>
              </c:numCache>
            </c:numRef>
          </c:val>
        </c:ser>
        <c:dLbls>
          <c:showLegendKey val="0"/>
          <c:showVal val="1"/>
          <c:showCatName val="0"/>
          <c:showSerName val="0"/>
          <c:showPercent val="0"/>
          <c:showBubbleSize val="0"/>
        </c:dLbls>
        <c:gapWidth val="65"/>
        <c:axId val="239081344"/>
        <c:axId val="239082880"/>
      </c:barChart>
      <c:catAx>
        <c:axId val="239081344"/>
        <c:scaling>
          <c:orientation val="minMax"/>
        </c:scaling>
        <c:delete val="0"/>
        <c:axPos val="b"/>
        <c:majorTickMark val="none"/>
        <c:minorTickMark val="none"/>
        <c:tickLblPos val="nextTo"/>
        <c:spPr>
          <a:noFill/>
          <a:ln w="19050" cap="flat" cmpd="sng" algn="ctr">
            <a:solidFill>
              <a:schemeClr val="dk1">
                <a:lumMod val="75000"/>
                <a:lumOff val="25000"/>
              </a:schemeClr>
            </a:solidFill>
            <a:prstDash val="solid"/>
            <a:round/>
          </a:ln>
          <a:effectLst/>
        </c:spPr>
        <c:txPr>
          <a:bodyPr rot="-60000000" spcFirstLastPara="0" vertOverflow="ellipsis" vert="horz" wrap="square" anchor="ctr" anchorCtr="1"/>
          <a:lstStyle/>
          <a:p>
            <a:pPr>
              <a:defRPr lang="zh-CN" sz="900" b="0" i="0" u="none" strike="noStrike" kern="1200" cap="all" baseline="0">
                <a:solidFill>
                  <a:schemeClr val="dk1">
                    <a:lumMod val="75000"/>
                    <a:lumOff val="25000"/>
                  </a:schemeClr>
                </a:solidFill>
                <a:latin typeface="+mn-lt"/>
                <a:ea typeface="+mn-ea"/>
                <a:cs typeface="+mn-cs"/>
              </a:defRPr>
            </a:pPr>
          </a:p>
        </c:txPr>
        <c:crossAx val="239082880"/>
        <c:crosses val="autoZero"/>
        <c:auto val="1"/>
        <c:lblAlgn val="ctr"/>
        <c:lblOffset val="100"/>
        <c:noMultiLvlLbl val="0"/>
      </c:catAx>
      <c:valAx>
        <c:axId val="23908288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prstDash val="solid"/>
              <a:round/>
            </a:ln>
            <a:effectLst/>
          </c:spPr>
        </c:majorGridlines>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9081344"/>
        <c:crosses val="autoZero"/>
        <c:crossBetween val="between"/>
      </c:valAx>
      <c:spPr>
        <a:noFill/>
        <a:ln>
          <a:noFill/>
        </a:ln>
        <a:effectLst/>
      </c:spPr>
    </c:plotArea>
    <c:legend>
      <c:legendPos val="b"/>
      <c:layout>
        <c:manualLayout>
          <c:xMode val="edge"/>
          <c:yMode val="edge"/>
          <c:x val="0.381660856573705"/>
          <c:y val="0.854226020892688"/>
          <c:w val="0.339896544181977"/>
          <c:h val="0.0658758228991868"/>
        </c:manualLayout>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600" b="1" i="0" u="none" strike="noStrike" kern="1200" cap="all" baseline="0">
                <a:solidFill>
                  <a:schemeClr val="tx1">
                    <a:lumMod val="65000"/>
                    <a:lumOff val="35000"/>
                  </a:schemeClr>
                </a:solidFill>
                <a:latin typeface="+mn-lt"/>
                <a:ea typeface="+mn-ea"/>
                <a:cs typeface="+mn-cs"/>
              </a:defRPr>
            </a:pPr>
            <a:r>
              <a:t>图5：财政拨款支出结构</a:t>
            </a:r>
          </a:p>
        </c:rich>
      </c:tx>
      <c:layout>
        <c:manualLayout>
          <c:xMode val="edge"/>
          <c:yMode val="edge"/>
          <c:x val="0.344055555555556"/>
          <c:y val="0.86198242366635"/>
        </c:manualLayout>
      </c:layout>
      <c:overlay val="0"/>
      <c:spPr>
        <a:noFill/>
        <a:ln>
          <a:noFill/>
        </a:ln>
        <a:effectLst/>
      </c:spPr>
    </c:title>
    <c:autoTitleDeleted val="0"/>
    <c:plotArea>
      <c:layout>
        <c:manualLayout>
          <c:layoutTarget val="inner"/>
          <c:xMode val="edge"/>
          <c:yMode val="edge"/>
          <c:x val="0.104166666666667"/>
          <c:y val="0.0873840769903762"/>
          <c:w val="0.869444444444444"/>
          <c:h val="0.683565179352581"/>
        </c:manualLayout>
      </c:layout>
      <c:pieChart>
        <c:varyColors val="1"/>
        <c:ser>
          <c:idx val="0"/>
          <c:order val="0"/>
          <c:explosion val="0"/>
          <c:dPt>
            <c:idx val="0"/>
            <c:bubble3D val="0"/>
            <c:spPr>
              <a:solidFill>
                <a:schemeClr val="accent1">
                  <a:shade val="58000"/>
                </a:schemeClr>
              </a:solidFill>
              <a:ln>
                <a:noFill/>
              </a:ln>
              <a:effectLst>
                <a:outerShdw blurRad="63500" sx="102000" sy="102000" algn="ctr" rotWithShape="0">
                  <a:prstClr val="black">
                    <a:alpha val="20000"/>
                  </a:prstClr>
                </a:outerShdw>
              </a:effectLst>
            </c:spPr>
          </c:dPt>
          <c:dPt>
            <c:idx val="1"/>
            <c:bubble3D val="0"/>
            <c:spPr>
              <a:solidFill>
                <a:schemeClr val="accent2">
                  <a:shade val="58000"/>
                </a:schemeClr>
              </a:solidFill>
              <a:ln>
                <a:noFill/>
              </a:ln>
              <a:effectLst>
                <a:outerShdw blurRad="63500" sx="102000" sy="102000" algn="ctr" rotWithShape="0">
                  <a:prstClr val="black">
                    <a:alpha val="20000"/>
                  </a:prstClr>
                </a:outerShdw>
              </a:effectLst>
            </c:spPr>
          </c:dPt>
          <c:dPt>
            <c:idx val="2"/>
            <c:bubble3D val="0"/>
            <c:spPr>
              <a:solidFill>
                <a:schemeClr val="accent3">
                  <a:shade val="58000"/>
                </a:schemeClr>
              </a:solidFill>
              <a:ln>
                <a:noFill/>
              </a:ln>
              <a:effectLst>
                <a:outerShdw blurRad="63500" sx="102000" sy="102000" algn="ctr" rotWithShape="0">
                  <a:prstClr val="black">
                    <a:alpha val="20000"/>
                  </a:prstClr>
                </a:outerShdw>
              </a:effectLst>
            </c:spPr>
          </c:dPt>
          <c:dPt>
            <c:idx val="3"/>
            <c:bubble3D val="0"/>
            <c:spPr>
              <a:solidFill>
                <a:schemeClr val="accent4">
                  <a:shade val="58000"/>
                </a:schemeClr>
              </a:solidFill>
              <a:ln>
                <a:noFill/>
              </a:ln>
              <a:effectLst>
                <a:outerShdw blurRad="63500" sx="102000" sy="102000" algn="ctr" rotWithShape="0">
                  <a:prstClr val="black">
                    <a:alpha val="20000"/>
                  </a:prstClr>
                </a:outerShdw>
              </a:effectLst>
            </c:spPr>
          </c:dPt>
          <c:dPt>
            <c:idx val="4"/>
            <c:bubble3D val="0"/>
            <c:spPr>
              <a:solidFill>
                <a:schemeClr val="accent5">
                  <a:shade val="58000"/>
                </a:schemeClr>
              </a:solidFill>
              <a:ln>
                <a:noFill/>
              </a:ln>
              <a:effectLst>
                <a:outerShdw blurRad="63500" sx="102000" sy="102000" algn="ctr" rotWithShape="0">
                  <a:prstClr val="black">
                    <a:alpha val="20000"/>
                  </a:prstClr>
                </a:outerShdw>
              </a:effectLst>
            </c:spPr>
          </c:dPt>
          <c:dPt>
            <c:idx val="5"/>
            <c:bubble3D val="0"/>
            <c:spPr>
              <a:solidFill>
                <a:schemeClr val="accent6">
                  <a:shade val="58000"/>
                </a:schemeClr>
              </a:solidFill>
              <a:ln>
                <a:noFill/>
              </a:ln>
              <a:effectLst>
                <a:outerShdw blurRad="63500" sx="102000" sy="102000" algn="ctr" rotWithShape="0">
                  <a:prstClr val="black">
                    <a:alpha val="20000"/>
                  </a:prstClr>
                </a:outerShdw>
              </a:effectLst>
            </c:spPr>
          </c:dPt>
          <c:dPt>
            <c:idx val="6"/>
            <c:bubble3D val="0"/>
            <c:spPr>
              <a:solidFill>
                <a:schemeClr val="accent1">
                  <a:shade val="86000"/>
                </a:schemeClr>
              </a:solidFill>
              <a:ln>
                <a:noFill/>
              </a:ln>
              <a:effectLst>
                <a:outerShdw blurRad="63500" sx="102000" sy="102000" algn="ctr" rotWithShape="0">
                  <a:prstClr val="black">
                    <a:alpha val="20000"/>
                  </a:prstClr>
                </a:outerShdw>
              </a:effectLst>
            </c:spPr>
          </c:dPt>
          <c:dPt>
            <c:idx val="7"/>
            <c:bubble3D val="0"/>
            <c:spPr>
              <a:solidFill>
                <a:schemeClr val="accent2">
                  <a:shade val="86000"/>
                </a:schemeClr>
              </a:solidFill>
              <a:ln>
                <a:noFill/>
              </a:ln>
              <a:effectLst>
                <a:outerShdw blurRad="63500" sx="102000" sy="102000" algn="ctr" rotWithShape="0">
                  <a:prstClr val="black">
                    <a:alpha val="20000"/>
                  </a:prstClr>
                </a:outerShdw>
              </a:effectLst>
            </c:spPr>
          </c:dPt>
          <c:dPt>
            <c:idx val="8"/>
            <c:bubble3D val="0"/>
            <c:spPr>
              <a:solidFill>
                <a:schemeClr val="accent3">
                  <a:shade val="86000"/>
                </a:schemeClr>
              </a:solidFill>
              <a:ln>
                <a:noFill/>
              </a:ln>
              <a:effectLst>
                <a:outerShdw blurRad="63500" sx="102000" sy="102000" algn="ctr" rotWithShape="0">
                  <a:prstClr val="black">
                    <a:alpha val="20000"/>
                  </a:prstClr>
                </a:outerShdw>
              </a:effectLst>
            </c:spPr>
          </c:dPt>
          <c:dPt>
            <c:idx val="9"/>
            <c:bubble3D val="0"/>
            <c:spPr>
              <a:solidFill>
                <a:schemeClr val="accent4">
                  <a:shade val="86000"/>
                </a:schemeClr>
              </a:solidFill>
              <a:ln>
                <a:noFill/>
              </a:ln>
              <a:effectLst>
                <a:outerShdw blurRad="63500" sx="102000" sy="102000" algn="ctr" rotWithShape="0">
                  <a:prstClr val="black">
                    <a:alpha val="20000"/>
                  </a:prstClr>
                </a:outerShdw>
              </a:effectLst>
            </c:spPr>
          </c:dPt>
          <c:dPt>
            <c:idx val="10"/>
            <c:bubble3D val="0"/>
            <c:spPr>
              <a:solidFill>
                <a:schemeClr val="accent5">
                  <a:shade val="86000"/>
                </a:schemeClr>
              </a:solidFill>
              <a:ln>
                <a:noFill/>
              </a:ln>
              <a:effectLst>
                <a:outerShdw blurRad="63500" sx="102000" sy="102000" algn="ctr" rotWithShape="0">
                  <a:prstClr val="black">
                    <a:alpha val="20000"/>
                  </a:prstClr>
                </a:outerShdw>
              </a:effectLst>
            </c:spPr>
          </c:dPt>
          <c:dPt>
            <c:idx val="11"/>
            <c:bubble3D val="0"/>
            <c:spPr>
              <a:solidFill>
                <a:schemeClr val="accent6">
                  <a:shade val="86000"/>
                </a:schemeClr>
              </a:solidFill>
              <a:ln>
                <a:noFill/>
              </a:ln>
              <a:effectLst>
                <a:outerShdw blurRad="63500" sx="102000" sy="102000" algn="ctr" rotWithShape="0">
                  <a:prstClr val="black">
                    <a:alpha val="20000"/>
                  </a:prstClr>
                </a:outerShdw>
              </a:effectLst>
            </c:spPr>
          </c:dPt>
          <c:dPt>
            <c:idx val="12"/>
            <c:bubble3D val="0"/>
            <c:spPr>
              <a:solidFill>
                <a:schemeClr val="accent1">
                  <a:tint val="86000"/>
                </a:schemeClr>
              </a:solidFill>
              <a:ln>
                <a:noFill/>
              </a:ln>
              <a:effectLst>
                <a:outerShdw blurRad="63500" sx="102000" sy="102000" algn="ctr" rotWithShape="0">
                  <a:prstClr val="black">
                    <a:alpha val="20000"/>
                  </a:prstClr>
                </a:outerShdw>
              </a:effectLst>
            </c:spPr>
          </c:dPt>
          <c:dPt>
            <c:idx val="13"/>
            <c:bubble3D val="0"/>
            <c:spPr>
              <a:solidFill>
                <a:schemeClr val="accent2">
                  <a:tint val="86000"/>
                </a:schemeClr>
              </a:solidFill>
              <a:ln>
                <a:noFill/>
              </a:ln>
              <a:effectLst>
                <a:outerShdw blurRad="63500" sx="102000" sy="102000" algn="ctr" rotWithShape="0">
                  <a:prstClr val="black">
                    <a:alpha val="20000"/>
                  </a:prstClr>
                </a:outerShdw>
              </a:effectLst>
            </c:spPr>
          </c:dPt>
          <c:dPt>
            <c:idx val="14"/>
            <c:bubble3D val="0"/>
            <c:spPr>
              <a:solidFill>
                <a:schemeClr val="accent3">
                  <a:tint val="86000"/>
                </a:schemeClr>
              </a:solidFill>
              <a:ln>
                <a:noFill/>
              </a:ln>
              <a:effectLst>
                <a:outerShdw blurRad="63500" sx="102000" sy="102000" algn="ctr" rotWithShape="0">
                  <a:prstClr val="black">
                    <a:alpha val="20000"/>
                  </a:prstClr>
                </a:outerShdw>
              </a:effectLst>
            </c:spPr>
          </c:dPt>
          <c:dPt>
            <c:idx val="15"/>
            <c:bubble3D val="0"/>
            <c:spPr>
              <a:solidFill>
                <a:schemeClr val="accent4">
                  <a:tint val="86000"/>
                </a:schemeClr>
              </a:solidFill>
              <a:ln>
                <a:noFill/>
              </a:ln>
              <a:effectLst>
                <a:outerShdw blurRad="63500" sx="102000" sy="102000" algn="ctr" rotWithShape="0">
                  <a:prstClr val="black">
                    <a:alpha val="20000"/>
                  </a:prstClr>
                </a:outerShdw>
              </a:effectLst>
            </c:spPr>
          </c:dPt>
          <c:dPt>
            <c:idx val="16"/>
            <c:bubble3D val="0"/>
            <c:spPr>
              <a:solidFill>
                <a:schemeClr val="accent5">
                  <a:tint val="86000"/>
                </a:schemeClr>
              </a:solidFill>
              <a:ln>
                <a:noFill/>
              </a:ln>
              <a:effectLst>
                <a:outerShdw blurRad="63500" sx="102000" sy="102000" algn="ctr" rotWithShape="0">
                  <a:prstClr val="black">
                    <a:alpha val="20000"/>
                  </a:prstClr>
                </a:outerShdw>
              </a:effectLst>
            </c:spPr>
          </c:dPt>
          <c:dPt>
            <c:idx val="17"/>
            <c:bubble3D val="0"/>
            <c:spPr>
              <a:solidFill>
                <a:schemeClr val="accent6">
                  <a:tint val="86000"/>
                </a:schemeClr>
              </a:solidFill>
              <a:ln>
                <a:noFill/>
              </a:ln>
              <a:effectLst>
                <a:outerShdw blurRad="63500" sx="102000" sy="102000" algn="ctr" rotWithShape="0">
                  <a:prstClr val="black">
                    <a:alpha val="20000"/>
                  </a:prstClr>
                </a:outerShdw>
              </a:effectLst>
            </c:spPr>
          </c:dPt>
          <c:dPt>
            <c:idx val="18"/>
            <c:bubble3D val="0"/>
            <c:spPr>
              <a:solidFill>
                <a:schemeClr val="accent1">
                  <a:tint val="58000"/>
                </a:schemeClr>
              </a:solidFill>
              <a:ln>
                <a:noFill/>
              </a:ln>
              <a:effectLst>
                <a:outerShdw blurRad="63500" sx="102000" sy="102000" algn="ctr" rotWithShape="0">
                  <a:prstClr val="black">
                    <a:alpha val="20000"/>
                  </a:prstClr>
                </a:outerShdw>
              </a:effectLst>
            </c:spPr>
          </c:dPt>
          <c:dLbls>
            <c:dLbl>
              <c:idx val="0"/>
              <c:layout>
                <c:manualLayout>
                  <c:x val="0.0255852628885762"/>
                  <c:y val="-0.173788591290125"/>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1">
                            <a:shade val="58000"/>
                          </a:schemeClr>
                        </a:solidFill>
                        <a:latin typeface="+mn-lt"/>
                        <a:ea typeface="+mn-ea"/>
                        <a:cs typeface="+mn-cs"/>
                      </a:defRPr>
                    </a:pPr>
                    <a:r>
                      <a:rPr>
                        <a:solidFill>
                          <a:schemeClr val="tx1"/>
                        </a:solidFill>
                      </a:rPr>
                      <a:t>一般公共服务支出</a:t>
                    </a:r>
                    <a:endParaRPr>
                      <a:solidFill>
                        <a:schemeClr val="tx1"/>
                      </a:solidFill>
                    </a:endParaRPr>
                  </a:p>
                  <a:p>
                    <a:pPr defTabSz="914400">
                      <a:defRPr lang="zh-CN" sz="1000" b="1" i="0" u="none" strike="noStrike" kern="1200" spc="0" baseline="0">
                        <a:solidFill>
                          <a:schemeClr val="accent1">
                            <a:shade val="58000"/>
                          </a:schemeClr>
                        </a:solidFill>
                        <a:latin typeface="+mn-lt"/>
                        <a:ea typeface="+mn-ea"/>
                        <a:cs typeface="+mn-cs"/>
                      </a:defRPr>
                    </a:pPr>
                    <a:r>
                      <a:rPr>
                        <a:solidFill>
                          <a:schemeClr val="tx1"/>
                        </a:solidFill>
                      </a:rPr>
                      <a:t>94.38%</a:t>
                    </a:r>
                    <a:endParaRPr>
                      <a:solidFill>
                        <a:schemeClr val="tx1"/>
                      </a:solidFill>
                    </a:endParaRPr>
                  </a:p>
                </c:rich>
              </c:tx>
              <c:numFmt formatCode="0.00%" sourceLinked="0"/>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hade val="58000"/>
                        </a:schemeClr>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delete val="1"/>
            </c:dLbl>
            <c:dLbl>
              <c:idx val="2"/>
              <c:delete val="1"/>
            </c:dLbl>
            <c:dLbl>
              <c:idx val="3"/>
              <c:delete val="1"/>
            </c:dLbl>
            <c:dLbl>
              <c:idx val="4"/>
              <c:delete val="1"/>
            </c:dLbl>
            <c:dLbl>
              <c:idx val="5"/>
              <c:layout>
                <c:manualLayout>
                  <c:x val="-0.0981194831776896"/>
                  <c:y val="0.0306685749335514"/>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6">
                            <a:shade val="58000"/>
                          </a:schemeClr>
                        </a:solidFill>
                        <a:latin typeface="+mn-lt"/>
                        <a:ea typeface="+mn-ea"/>
                        <a:cs typeface="+mn-cs"/>
                      </a:defRPr>
                    </a:pPr>
                    <a:r>
                      <a:rPr>
                        <a:solidFill>
                          <a:schemeClr val="tx1"/>
                        </a:solidFill>
                      </a:rPr>
                      <a:t>社会保障和就业支出</a:t>
                    </a:r>
                    <a:endParaRPr>
                      <a:solidFill>
                        <a:schemeClr val="tx1"/>
                      </a:solidFill>
                    </a:endParaRPr>
                  </a:p>
                  <a:p>
                    <a:pPr defTabSz="914400">
                      <a:defRPr lang="zh-CN" sz="1000" b="1" i="0" u="none" strike="noStrike" kern="1200" spc="0" baseline="0">
                        <a:solidFill>
                          <a:schemeClr val="accent6">
                            <a:shade val="58000"/>
                          </a:schemeClr>
                        </a:solidFill>
                        <a:latin typeface="+mn-lt"/>
                        <a:ea typeface="+mn-ea"/>
                        <a:cs typeface="+mn-cs"/>
                      </a:defRPr>
                    </a:pPr>
                    <a:r>
                      <a:rPr>
                        <a:solidFill>
                          <a:schemeClr val="tx1"/>
                        </a:solidFill>
                      </a:rPr>
                      <a:t>5.62%</a:t>
                    </a:r>
                    <a:endParaRPr>
                      <a:solidFill>
                        <a:schemeClr val="tx1"/>
                      </a:solidFill>
                    </a:endParaRPr>
                  </a:p>
                </c:rich>
              </c:tx>
              <c:numFmt formatCode="0.00%" sourceLinked="0"/>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6">
                          <a:shade val="58000"/>
                        </a:schemeClr>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6"/>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out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0">
                  <c:v>1276.22</c:v>
                </c:pt>
                <c:pt idx="5">
                  <c:v>76</c:v>
                </c:pt>
              </c:numCache>
            </c:numRef>
          </c:val>
        </c:ser>
        <c:dLbls>
          <c:showLegendKey val="0"/>
          <c:showVal val="0"/>
          <c:showCatName val="1"/>
          <c:showSerName val="0"/>
          <c:showPercent val="0"/>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AC4D3BC-C55A-4030-AB7C-1D9ADC7A35F0}">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32</Pages>
  <Words>1731</Words>
  <Characters>9869</Characters>
  <Lines>82</Lines>
  <Paragraphs>23</Paragraphs>
  <TotalTime>12</TotalTime>
  <ScaleCrop>false</ScaleCrop>
  <LinksUpToDate>false</LinksUpToDate>
  <CharactersWithSpaces>11577</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浮生</cp:lastModifiedBy>
  <cp:lastPrinted>2019-08-02T01:01:00Z</cp:lastPrinted>
  <dcterms:modified xsi:type="dcterms:W3CDTF">2025-01-03T06:14:33Z</dcterms:modified>
  <dc:subject>石家庄市xxx部门</dc:subject>
  <dc:title>2017年度部门决算</dc:title>
  <cp:revision>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1F028C16EA3D4FCBAC49FCC35C3FB2FD</vt:lpwstr>
  </property>
</Properties>
</file>