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12.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bookmarkStart w:id="0" w:name="_GoBack"/>
      <w:bookmarkEnd w:id="0"/>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6028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无极县司法局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无极县司法局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a:stretch>
                      <a:fillRect/>
                    </a:stretch>
                  </pic:blipFill>
                  <pic:spPr>
                    <a:xfrm>
                      <a:off x="0" y="0"/>
                      <a:ext cx="7585710" cy="10727055"/>
                    </a:xfrm>
                    <a:prstGeom prst="rect">
                      <a:avLst/>
                    </a:prstGeom>
                  </pic:spPr>
                </pic:pic>
              </a:graphicData>
            </a:graphic>
          </wp:anchor>
        </w:drawing>
      </w:r>
      <w:r>
        <w:rPr>
          <w:sz w:val="72"/>
        </w:rPr>
        <w:pict>
          <v:shape id="_x0000_s1030" o:spid="_x0000_s1030" o:spt="202" type="#_x0000_t202" style="position:absolute;left:0pt;margin-left:-97.3pt;margin-top:259.1pt;height:81.7pt;width:613.65pt;z-index:251669504;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numPr>
          <w:ilvl w:val="0"/>
          <w:numId w:val="1"/>
        </w:numPr>
        <w:spacing w:before="75" w:after="75" w:line="440" w:lineRule="exact"/>
        <w:ind w:right="75"/>
        <w:rPr>
          <w:rFonts w:ascii="仿宋" w:hAnsi="仿宋" w:eastAsia="仿宋"/>
          <w:sz w:val="32"/>
          <w:szCs w:val="32"/>
          <w:shd w:val="clear" w:color="auto" w:fill="FFFFFF"/>
        </w:rPr>
      </w:pPr>
      <w:r>
        <w:rPr>
          <w:rFonts w:hint="eastAsia" w:ascii="黑体" w:eastAsia="黑体" w:cs="黑体" w:hAnsiTheme="minorHAnsi"/>
          <w:kern w:val="0"/>
          <w:sz w:val="32"/>
          <w:szCs w:val="32"/>
        </w:rPr>
        <w:t>部门职责</w:t>
      </w:r>
    </w:p>
    <w:p>
      <w:pPr>
        <w:spacing w:before="75" w:after="75" w:line="440" w:lineRule="exact"/>
        <w:ind w:right="75" w:firstLine="640" w:firstLineChars="200"/>
        <w:rPr>
          <w:rFonts w:ascii="仿宋" w:hAnsi="仿宋" w:eastAsia="仿宋"/>
          <w:sz w:val="32"/>
          <w:szCs w:val="32"/>
          <w:shd w:val="clear" w:color="auto" w:fill="FFFFFF"/>
        </w:rPr>
      </w:pPr>
      <w:r>
        <w:rPr>
          <w:rFonts w:hint="eastAsia" w:ascii="仿宋" w:hAnsi="仿宋" w:eastAsia="仿宋"/>
          <w:sz w:val="32"/>
          <w:szCs w:val="32"/>
          <w:shd w:val="clear" w:color="auto" w:fill="FFFFFF"/>
        </w:rPr>
        <w:t>1、编制全县司法行政工作的中长期规划，并监督实施；</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2、制定实施全县法制宣传教育和普及法律常识规划；</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3、管理指导人民调解、司法所及法律服务所工作；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4、管理指导律师及公证工作；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5、管理指导全县面向社会服务的司法鉴定工作；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6、负责刑释解教人员的安置帮教工作；</w:t>
      </w:r>
    </w:p>
    <w:p>
      <w:pPr>
        <w:spacing w:before="75" w:after="75" w:line="440" w:lineRule="exact"/>
        <w:ind w:right="75"/>
        <w:rPr>
          <w:rFonts w:ascii="仿宋" w:hAnsi="仿宋" w:eastAsia="仿宋"/>
          <w:sz w:val="32"/>
          <w:szCs w:val="32"/>
          <w:shd w:val="clear" w:color="auto" w:fill="FFFFFF"/>
        </w:rPr>
      </w:pPr>
      <w:r>
        <w:rPr>
          <w:rFonts w:hint="eastAsia" w:ascii="仿宋" w:hAnsi="仿宋" w:eastAsia="仿宋"/>
          <w:sz w:val="32"/>
          <w:szCs w:val="32"/>
          <w:shd w:val="clear" w:color="auto" w:fill="FFFFFF"/>
        </w:rPr>
        <w:t xml:space="preserve">    7、负责社区服刑人员的教育矫正、监督管理工作；</w:t>
      </w:r>
    </w:p>
    <w:p>
      <w:pPr>
        <w:spacing w:before="75" w:after="75" w:line="440" w:lineRule="exact"/>
        <w:ind w:right="75" w:firstLine="640" w:firstLineChars="200"/>
        <w:rPr>
          <w:rFonts w:ascii="仿宋" w:hAnsi="仿宋" w:eastAsia="仿宋" w:cs="宋体"/>
          <w:kern w:val="0"/>
          <w:sz w:val="32"/>
          <w:szCs w:val="32"/>
        </w:rPr>
      </w:pPr>
      <w:r>
        <w:rPr>
          <w:rFonts w:hint="eastAsia" w:ascii="仿宋" w:hAnsi="仿宋" w:eastAsia="仿宋" w:cs="宋体"/>
          <w:kern w:val="0"/>
          <w:sz w:val="32"/>
          <w:szCs w:val="32"/>
        </w:rPr>
        <w:t>8、负责抓好全县司法行政系统的干部队伍管理和基础设施建设</w:t>
      </w:r>
      <w:r>
        <w:rPr>
          <w:rFonts w:ascii="仿宋" w:hAnsi="仿宋" w:eastAsia="仿宋" w:cs="宋体"/>
          <w:kern w:val="0"/>
          <w:sz w:val="32"/>
          <w:szCs w:val="32"/>
        </w:rPr>
        <w:t>;</w:t>
      </w:r>
    </w:p>
    <w:p>
      <w:pPr>
        <w:spacing w:before="75" w:after="75" w:line="440" w:lineRule="exact"/>
        <w:ind w:right="75" w:firstLine="640" w:firstLineChars="200"/>
        <w:rPr>
          <w:rFonts w:ascii="仿宋" w:hAnsi="仿宋" w:eastAsia="仿宋" w:cs="宋体"/>
          <w:kern w:val="0"/>
          <w:sz w:val="32"/>
          <w:szCs w:val="32"/>
        </w:rPr>
      </w:pPr>
      <w:r>
        <w:rPr>
          <w:rFonts w:hint="eastAsia" w:ascii="仿宋" w:hAnsi="仿宋" w:eastAsia="仿宋" w:cs="宋体"/>
          <w:kern w:val="0"/>
          <w:sz w:val="32"/>
          <w:szCs w:val="32"/>
        </w:rPr>
        <w:t>9、承办县委、县政府及上级业务部门交办的其他工作。</w:t>
      </w: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无极县司法局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rPr>
          <w:rFonts w:ascii="黑体" w:eastAsia="黑体" w:cs="MS-UIGothic,Bold" w:hAnsiTheme="minorHAnsi"/>
          <w:bCs/>
          <w:kern w:val="0"/>
          <w:sz w:val="52"/>
          <w:szCs w:val="52"/>
        </w:rPr>
      </w:pPr>
    </w:p>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29" o:spid="_x0000_s1029" o:spt="202" type="#_x0000_t202" style="position:absolute;left:0pt;margin-left:-74.2pt;margin-top:120.3pt;height:159.1pt;width:596.2pt;z-index:25166233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部门：无极县司法局</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601.49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552.98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53.28</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601.49</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606.26</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63.94</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59.17</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665.43</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665.43</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364"/>
        <w:gridCol w:w="1474"/>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6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47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部门：无极县司法局</w:t>
            </w:r>
          </w:p>
        </w:tc>
        <w:tc>
          <w:tcPr>
            <w:tcW w:w="2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474" w:type="dxa"/>
            <w:tcBorders>
              <w:top w:val="nil"/>
              <w:left w:val="nil"/>
              <w:bottom w:val="single" w:color="000000" w:sz="4" w:space="0"/>
              <w:right w:val="single" w:color="auto"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 w:val="18"/>
                <w:szCs w:val="18"/>
              </w:rPr>
            </w:pPr>
            <w:r>
              <w:rPr>
                <w:rFonts w:hint="eastAsia" w:ascii="宋体" w:hAnsi="宋体" w:cs="宋体"/>
                <w:bCs/>
                <w:color w:val="000000"/>
                <w:sz w:val="18"/>
                <w:szCs w:val="18"/>
              </w:rPr>
              <w:t>601.49</w:t>
            </w: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 w:val="18"/>
                <w:szCs w:val="18"/>
              </w:rPr>
            </w:pPr>
            <w:r>
              <w:rPr>
                <w:rFonts w:hint="eastAsia" w:ascii="宋体" w:hAnsi="宋体" w:cs="宋体"/>
                <w:bCs/>
                <w:color w:val="000000"/>
                <w:sz w:val="18"/>
                <w:szCs w:val="18"/>
              </w:rPr>
              <w:t>601.49</w:t>
            </w: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公共安全支出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551.17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551.17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司法</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551.17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551.17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414.61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414.61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2040604</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基层司法业务</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39.00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2040605</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普法宣传</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2040606</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律师公证管理</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2040607</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法律援助</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37.00</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37.00</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2040610</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社区矫正</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31.01</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31.01</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50.32</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50.32</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8.87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8.87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8.87</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8.87</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878"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47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561"/>
        <w:gridCol w:w="242"/>
        <w:gridCol w:w="1117"/>
        <w:gridCol w:w="647"/>
        <w:gridCol w:w="436"/>
        <w:gridCol w:w="682"/>
        <w:gridCol w:w="402"/>
        <w:gridCol w:w="718"/>
        <w:gridCol w:w="365"/>
        <w:gridCol w:w="753"/>
        <w:gridCol w:w="331"/>
        <w:gridCol w:w="789"/>
        <w:gridCol w:w="294"/>
        <w:gridCol w:w="1084"/>
      </w:tblGrid>
      <w:tr>
        <w:tblPrEx>
          <w:tblCellMar>
            <w:top w:w="0" w:type="dxa"/>
            <w:left w:w="0" w:type="dxa"/>
            <w:bottom w:w="0" w:type="dxa"/>
            <w:right w:w="0" w:type="dxa"/>
          </w:tblCellMar>
        </w:tblPrEx>
        <w:trPr>
          <w:trHeight w:val="798" w:hRule="atLeast"/>
        </w:trPr>
        <w:tc>
          <w:tcPr>
            <w:tcW w:w="900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部门：无极县司法局</w:t>
            </w: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606.25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456.31</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149.95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公共安全支出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552.98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149.95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司法</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552.98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149.95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2040601</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2040604</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基层司法业务</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2040605</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普法宣传</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2040606</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律师公证管理</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2040607</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法律援助</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26.07</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2040610</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社区矫正</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40.73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2040699</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其他司法支出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25.80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25.80</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53.28</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53.28</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68" w:hRule="atLeast"/>
        </w:trPr>
        <w:tc>
          <w:tcPr>
            <w:tcW w:w="1140"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5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16"/>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bl>
    <w:p>
      <w:pPr>
        <w:widowControl/>
        <w:spacing w:after="0" w:line="560" w:lineRule="exact"/>
        <w:ind w:firstLine="562" w:firstLineChars="200"/>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717"/>
        <w:gridCol w:w="745"/>
        <w:gridCol w:w="325"/>
        <w:gridCol w:w="850"/>
        <w:gridCol w:w="2124"/>
        <w:gridCol w:w="191"/>
        <w:gridCol w:w="360"/>
        <w:gridCol w:w="650"/>
        <w:gridCol w:w="226"/>
        <w:gridCol w:w="599"/>
        <w:gridCol w:w="277"/>
        <w:gridCol w:w="876"/>
      </w:tblGrid>
      <w:tr>
        <w:tblPrEx>
          <w:tblCellMar>
            <w:top w:w="0" w:type="dxa"/>
            <w:left w:w="0" w:type="dxa"/>
            <w:bottom w:w="0" w:type="dxa"/>
            <w:right w:w="0" w:type="dxa"/>
          </w:tblCellMar>
        </w:tblPrEx>
        <w:trPr>
          <w:trHeight w:val="152"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trHeight w:val="90" w:hRule="atLeast"/>
        </w:trPr>
        <w:tc>
          <w:tcPr>
            <w:tcW w:w="17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trHeight w:val="152" w:hRule="atLeast"/>
        </w:trPr>
        <w:tc>
          <w:tcPr>
            <w:tcW w:w="6312"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部门：无极县司法局</w:t>
            </w:r>
          </w:p>
        </w:tc>
        <w:tc>
          <w:tcPr>
            <w:tcW w:w="65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4"/>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90" w:hRule="atLeast"/>
        </w:trPr>
        <w:tc>
          <w:tcPr>
            <w:tcW w:w="2787"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trHeight w:val="17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601.49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552.98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552.98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53.28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53.28</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601.49</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606.26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606.26</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63.94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59.17</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59.17</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63.94</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2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90" w:hRule="atLeast"/>
        </w:trPr>
        <w:tc>
          <w:tcPr>
            <w:tcW w:w="2462"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665.43</w:t>
            </w:r>
          </w:p>
        </w:tc>
        <w:tc>
          <w:tcPr>
            <w:tcW w:w="231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665.43</w:t>
            </w:r>
          </w:p>
        </w:tc>
        <w:tc>
          <w:tcPr>
            <w:tcW w:w="876"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665.43</w:t>
            </w:r>
          </w:p>
        </w:tc>
        <w:tc>
          <w:tcPr>
            <w:tcW w:w="87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trHeight w:val="155" w:hRule="atLeast"/>
        </w:trPr>
        <w:tc>
          <w:tcPr>
            <w:tcW w:w="8940" w:type="dxa"/>
            <w:gridSpan w:val="1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noWrap/>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部门：无极县司法局</w:t>
            </w:r>
          </w:p>
        </w:tc>
        <w:tc>
          <w:tcPr>
            <w:tcW w:w="1892"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606.25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456.31</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149.95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公共安全支出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552.98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403.03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bCs/>
                <w:color w:val="000000"/>
                <w:szCs w:val="21"/>
              </w:rPr>
            </w:pPr>
            <w:r>
              <w:rPr>
                <w:rFonts w:hint="eastAsia" w:ascii="宋体" w:hAnsi="宋体" w:cs="宋体"/>
                <w:bCs/>
                <w:color w:val="000000"/>
                <w:szCs w:val="21"/>
              </w:rPr>
              <w:t>149.95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司法</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552.98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149.95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403.03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2040604</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基层司法业务</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27.81</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普法宣传</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2040606</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律师公证管理</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24.55</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2040607</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法律援助</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26.07</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26.07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2040610</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社区矫正</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40.73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40.73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2040699</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其他司法支出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25.80</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25.80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社会保障和就业支出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53.28</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53.28</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行政事业单位离退休</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2080505</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机关事业单位基本养老保险缴费支出</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11.83</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919"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41.45</w:t>
            </w:r>
          </w:p>
        </w:tc>
        <w:tc>
          <w:tcPr>
            <w:tcW w:w="192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部门：无极县司法局</w:t>
            </w:r>
          </w:p>
        </w:tc>
        <w:tc>
          <w:tcPr>
            <w:tcW w:w="74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344.18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63.43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148.55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24.8</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121.98</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1.35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60.11</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0.00</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1.72</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11.83</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0.50</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2.62</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9.85</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48.69</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7.24</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41.45</w:t>
            </w: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0.69</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23.63</w:t>
            </w: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392.87</w:t>
            </w:r>
          </w:p>
        </w:tc>
        <w:tc>
          <w:tcPr>
            <w:tcW w:w="5328" w:type="dxa"/>
            <w:gridSpan w:val="5"/>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63.43</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部门：无极县司法局</w:t>
            </w:r>
          </w:p>
        </w:tc>
        <w:tc>
          <w:tcPr>
            <w:tcW w:w="1527"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3.00</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0.69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0.69</w:t>
            </w:r>
          </w:p>
        </w:tc>
        <w:tc>
          <w:tcPr>
            <w:tcW w:w="152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部门：无极县司法局</w:t>
            </w:r>
          </w:p>
        </w:tc>
        <w:tc>
          <w:tcPr>
            <w:tcW w:w="84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noWrap/>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注：本表反映部门本年度政府性基金预算财政拨款收入、支出及结转和结余情况。本部门本年度无相关收入（或支出、收支及结转结余等）情况，按要求空表列示。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编制单位：无极县司法局</w:t>
            </w:r>
          </w:p>
        </w:tc>
        <w:tc>
          <w:tcPr>
            <w:tcW w:w="2005"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noWrap/>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w:t>
            </w:r>
            <w:r>
              <w:rPr>
                <w:rFonts w:hint="eastAsia" w:ascii="宋体" w:hAnsi="宋体" w:cs="宋体"/>
                <w:color w:val="000000"/>
                <w:kern w:val="0"/>
                <w:szCs w:val="21"/>
              </w:rPr>
              <w:t>本部门本年度无相关收入（或支出、收支及结转结余等）情况，按要求空表列示</w:t>
            </w:r>
            <w:r>
              <w:rPr>
                <w:rFonts w:hint="eastAsia" w:ascii="宋体" w:hAnsi="宋体" w:cs="宋体"/>
                <w:color w:val="000000"/>
                <w:kern w:val="0"/>
                <w:sz w:val="22"/>
                <w:szCs w:val="22"/>
              </w:rPr>
              <w:t>。</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编制单位：无极县司法局</w:t>
            </w:r>
          </w:p>
        </w:tc>
        <w:tc>
          <w:tcPr>
            <w:tcW w:w="2500" w:type="dxa"/>
            <w:gridSpan w:val="3"/>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noWrap/>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noWrap/>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注：本表反映部门本年度纳入部门预算范围的政府采购预算及支出情况。本部门本年度无相关收入（或支出、收支及结转结余等）情况，按要求空表列示。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540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8" o:spid="_x0000_s1028" o:spt="202" type="#_x0000_t202" style="position:absolute;left:0pt;margin-left:-78.7pt;margin-top:232.8pt;height:159.1pt;width:596.2pt;z-index:25166438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本部门2018年度收入总计665.43万元，支出总计665.43万元（含结转和结余）。与2017年度决算相比，减少30.37万元，降低4.4%，主要原因是项目资金减少。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本部门2018年度本年收入合计601</w:t>
      </w:r>
      <w:r>
        <w:rPr>
          <w:rFonts w:hint="eastAsia" w:ascii="仿宋" w:hAnsi="仿宋" w:eastAsia="仿宋" w:cs="仿宋"/>
          <w:sz w:val="32"/>
          <w:szCs w:val="32"/>
        </w:rPr>
        <w:t>.49</w:t>
      </w:r>
      <w:r>
        <w:rPr>
          <w:rFonts w:hint="eastAsia" w:ascii="仿宋_GB2312" w:eastAsia="仿宋_GB2312" w:cs="DengXian-Regular"/>
          <w:sz w:val="32"/>
          <w:szCs w:val="32"/>
        </w:rPr>
        <w:t>万元，其中：财政拨款收入601.</w:t>
      </w:r>
      <w:r>
        <w:rPr>
          <w:rFonts w:hint="eastAsia" w:ascii="仿宋" w:hAnsi="仿宋" w:eastAsia="仿宋" w:cs="仿宋"/>
          <w:sz w:val="32"/>
          <w:szCs w:val="32"/>
        </w:rPr>
        <w:t>49</w:t>
      </w:r>
      <w:r>
        <w:rPr>
          <w:rFonts w:hint="eastAsia" w:ascii="仿宋_GB2312" w:eastAsia="仿宋_GB2312" w:cs="DengXian-Regular"/>
          <w:sz w:val="32"/>
          <w:szCs w:val="32"/>
        </w:rPr>
        <w:t>万元，占100%；事业收入0万元，占0%；经营收入0万元，占0%；其他收入0万元，占0%。如图所示：</w:t>
      </w:r>
    </w:p>
    <w:p>
      <w:pPr>
        <w:adjustRightInd w:val="0"/>
        <w:snapToGrid w:val="0"/>
        <w:spacing w:after="0" w:line="240" w:lineRule="atLeast"/>
        <w:rPr>
          <w:rFonts w:ascii="仿宋_GB2312" w:eastAsia="仿宋_GB2312" w:cs="DengXian-Regular"/>
          <w:sz w:val="32"/>
          <w:szCs w:val="32"/>
        </w:rPr>
      </w:pPr>
    </w:p>
    <w:p>
      <w:pPr>
        <w:adjustRightInd w:val="0"/>
        <w:snapToGrid w:val="0"/>
        <w:spacing w:after="0" w:line="240" w:lineRule="atLeast"/>
        <w:ind w:firstLine="420" w:firstLineChars="200"/>
        <w:rPr>
          <w:rFonts w:ascii="仿宋_GB2312" w:eastAsia="仿宋_GB2312" w:cs="DengXian-Regular"/>
          <w:sz w:val="32"/>
          <w:szCs w:val="32"/>
        </w:rPr>
      </w:pPr>
      <w:r>
        <w:drawing>
          <wp:inline distT="0" distB="0" distL="114300" distR="114300">
            <wp:extent cx="4391025" cy="2552700"/>
            <wp:effectExtent l="4445" t="4445" r="5080" b="14605"/>
            <wp:docPr id="6" name="图表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240" w:lineRule="atLeas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本部门2018年度本年支出合计606.25万元，其中：基本支出456.31万元，占75.27%；项目支</w:t>
      </w:r>
      <w:r>
        <w:rPr>
          <w:rFonts w:hint="eastAsia" w:ascii="仿宋" w:hAnsi="仿宋" w:eastAsia="仿宋" w:cs="仿宋"/>
          <w:sz w:val="32"/>
          <w:szCs w:val="32"/>
        </w:rPr>
        <w:t>149.95万</w:t>
      </w:r>
      <w:r>
        <w:rPr>
          <w:rFonts w:hint="eastAsia" w:ascii="仿宋_GB2312" w:eastAsia="仿宋_GB2312" w:cs="DengXian-Regular"/>
          <w:sz w:val="32"/>
          <w:szCs w:val="32"/>
        </w:rPr>
        <w:t>元，占24.73%；经营支出0万元，占0%。如图所示：</w:t>
      </w:r>
    </w:p>
    <w:p>
      <w:pPr>
        <w:adjustRightInd w:val="0"/>
        <w:snapToGrid w:val="0"/>
        <w:spacing w:after="0" w:line="240" w:lineRule="atLeast"/>
        <w:ind w:firstLine="640" w:firstLineChars="200"/>
        <w:jc w:val="left"/>
        <w:rPr>
          <w:rFonts w:ascii="仿宋_GB2312" w:eastAsia="仿宋_GB2312" w:cs="DengXian-Regular"/>
          <w:sz w:val="32"/>
          <w:szCs w:val="32"/>
        </w:rPr>
      </w:pPr>
    </w:p>
    <w:p>
      <w:pPr>
        <w:adjustRightInd w:val="0"/>
        <w:snapToGrid w:val="0"/>
        <w:spacing w:after="0" w:line="240" w:lineRule="atLeast"/>
        <w:ind w:firstLine="420" w:firstLineChars="200"/>
        <w:jc w:val="left"/>
        <w:rPr>
          <w:rFonts w:ascii="仿宋_GB2312" w:eastAsia="仿宋_GB2312" w:cs="DengXian-Regular"/>
          <w:sz w:val="32"/>
          <w:szCs w:val="32"/>
        </w:rPr>
      </w:pPr>
      <w:r>
        <w:drawing>
          <wp:inline distT="0" distB="0" distL="114300" distR="114300">
            <wp:extent cx="4219575" cy="2514600"/>
            <wp:effectExtent l="4445" t="4445" r="5080" b="14605"/>
            <wp:docPr id="2"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240" w:lineRule="atLeast"/>
        <w:ind w:firstLine="640" w:firstLineChars="200"/>
        <w:jc w:val="left"/>
        <w:rPr>
          <w:rFonts w:ascii="仿宋_GB2312" w:eastAsia="仿宋_GB2312" w:cs="DengXian-Regular"/>
          <w:sz w:val="32"/>
          <w:szCs w:val="32"/>
        </w:rPr>
      </w:pPr>
    </w:p>
    <w:p>
      <w:pPr>
        <w:pStyle w:val="3"/>
        <w:spacing w:before="0" w:after="0" w:line="240" w:lineRule="atLeas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本部门2018年度形成的财政拨款收支均为一般公共预算财政拨款，其中一般公共预算财政拨款本年收入601.</w:t>
      </w:r>
      <w:r>
        <w:rPr>
          <w:rFonts w:hint="eastAsia" w:ascii="仿宋" w:hAnsi="仿宋" w:eastAsia="仿宋" w:cs="仿宋"/>
          <w:sz w:val="32"/>
          <w:szCs w:val="32"/>
        </w:rPr>
        <w:t>49</w:t>
      </w:r>
      <w:r>
        <w:rPr>
          <w:rFonts w:hint="eastAsia" w:ascii="仿宋_GB2312" w:eastAsia="仿宋_GB2312" w:cs="DengXian-Regular"/>
          <w:sz w:val="32"/>
          <w:szCs w:val="32"/>
        </w:rPr>
        <w:t>万元,比2017年度增加</w:t>
      </w:r>
      <w:r>
        <w:rPr>
          <w:rFonts w:hint="eastAsia" w:ascii="仿宋" w:hAnsi="仿宋" w:eastAsia="仿宋" w:cs="仿宋"/>
          <w:sz w:val="32"/>
          <w:szCs w:val="32"/>
        </w:rPr>
        <w:t>9.01</w:t>
      </w:r>
      <w:r>
        <w:rPr>
          <w:rFonts w:hint="eastAsia" w:ascii="仿宋_GB2312" w:eastAsia="仿宋_GB2312" w:cs="DengXian-Regular"/>
          <w:sz w:val="32"/>
          <w:szCs w:val="32"/>
        </w:rPr>
        <w:t>万元，增长1.5%，主要是人员工资调整；本年支出606.25万元，减少25.61万元，降低4.05%，主要是项目资金减少。</w:t>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240" w:lineRule="atLeast"/>
        <w:ind w:firstLine="420" w:firstLineChars="200"/>
        <w:rPr>
          <w:rFonts w:ascii="仿宋_GB2312" w:eastAsia="仿宋_GB2312" w:cs="DengXian-Regular"/>
          <w:sz w:val="32"/>
          <w:szCs w:val="32"/>
        </w:rPr>
      </w:pPr>
      <w:r>
        <w:drawing>
          <wp:inline distT="0" distB="0" distL="114300" distR="114300">
            <wp:extent cx="4572000" cy="2018665"/>
            <wp:effectExtent l="4445" t="4445" r="14605" b="1524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本部门2018年度一般公共预算财政拨款收入601</w:t>
      </w:r>
      <w:r>
        <w:rPr>
          <w:rFonts w:hint="eastAsia" w:ascii="仿宋" w:hAnsi="仿宋" w:eastAsia="仿宋" w:cs="仿宋"/>
          <w:sz w:val="32"/>
          <w:szCs w:val="32"/>
        </w:rPr>
        <w:t>.49</w:t>
      </w:r>
      <w:r>
        <w:rPr>
          <w:rFonts w:hint="eastAsia" w:ascii="仿宋_GB2312" w:eastAsia="仿宋_GB2312" w:cs="DengXian-Regular"/>
          <w:sz w:val="32"/>
          <w:szCs w:val="32"/>
        </w:rPr>
        <w:t>万元，完成年初预算的4.6%,比年初预算增加26.64万元，决算数大于预算数主要原因是人员工资调整；本年支出606.25万元，完成年初预算的5.5%,比年初预算增加31.4万元，决算数大于预算数主要原因是机构改革，职能增加，开展业务活动增多，导致经费开支增加。</w:t>
      </w:r>
    </w:p>
    <w:p>
      <w:pPr>
        <w:adjustRightInd w:val="0"/>
        <w:snapToGrid w:val="0"/>
        <w:spacing w:after="0" w:line="240" w:lineRule="atLeast"/>
        <w:ind w:firstLine="640" w:firstLineChars="200"/>
        <w:rPr>
          <w:rFonts w:ascii="仿宋_GB2312" w:eastAsia="仿宋_GB2312" w:cs="DengXian-Regular"/>
          <w:sz w:val="32"/>
          <w:szCs w:val="32"/>
          <w:highlight w:val="yellow"/>
        </w:rPr>
      </w:pPr>
    </w:p>
    <w:p>
      <w:pPr>
        <w:adjustRightInd w:val="0"/>
        <w:snapToGrid w:val="0"/>
        <w:spacing w:after="0" w:line="240" w:lineRule="atLeast"/>
        <w:ind w:firstLine="640" w:firstLineChars="200"/>
        <w:rPr>
          <w:rFonts w:ascii="仿宋_GB2312" w:eastAsia="仿宋_GB2312" w:cs="DengXian-Regular"/>
          <w:sz w:val="32"/>
          <w:szCs w:val="32"/>
          <w:highlight w:val="yellow"/>
        </w:rPr>
      </w:pPr>
    </w:p>
    <w:p>
      <w:pPr>
        <w:adjustRightInd w:val="0"/>
        <w:snapToGrid w:val="0"/>
        <w:spacing w:after="0" w:line="240" w:lineRule="atLeast"/>
        <w:ind w:firstLine="420" w:firstLineChars="200"/>
        <w:rPr>
          <w:rFonts w:ascii="仿宋_GB2312" w:eastAsia="仿宋_GB2312" w:cs="DengXian-Regular"/>
          <w:sz w:val="32"/>
          <w:szCs w:val="32"/>
          <w:highlight w:val="yellow"/>
        </w:rPr>
      </w:pPr>
      <w:r>
        <w:drawing>
          <wp:inline distT="0" distB="0" distL="114300" distR="114300">
            <wp:extent cx="4572000" cy="3486150"/>
            <wp:effectExtent l="4445" t="4445" r="14605" b="14605"/>
            <wp:docPr id="9"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(三）财政拨款支出决算结构情况。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年度财政拨款支出606.25万元，主要用于以下方面：公共安全类（类）支出551.17万元，占</w:t>
      </w:r>
      <w:r>
        <w:rPr>
          <w:rFonts w:hint="eastAsia" w:ascii="仿宋" w:hAnsi="仿宋" w:eastAsia="仿宋" w:cs="仿宋"/>
          <w:sz w:val="32"/>
          <w:szCs w:val="32"/>
        </w:rPr>
        <w:t>91.63</w:t>
      </w:r>
      <w:r>
        <w:rPr>
          <w:rFonts w:hint="eastAsia" w:ascii="仿宋_GB2312" w:eastAsia="仿宋_GB2312" w:cs="DengXian-Regular"/>
          <w:sz w:val="32"/>
          <w:szCs w:val="32"/>
        </w:rPr>
        <w:t>%；社会保障和就业（类）支出 50.32万元，占8.37%。</w:t>
      </w:r>
    </w:p>
    <w:p>
      <w:pPr>
        <w:adjustRightInd w:val="0"/>
        <w:snapToGrid w:val="0"/>
        <w:spacing w:after="0" w:line="240" w:lineRule="atLeast"/>
        <w:rPr>
          <w:rFonts w:ascii="楷体_GB2312" w:eastAsia="楷体_GB2312" w:cs="DengXian-Bold"/>
          <w:b/>
          <w:bCs/>
          <w:sz w:val="32"/>
          <w:szCs w:val="32"/>
        </w:rPr>
      </w:pPr>
    </w:p>
    <w:p>
      <w:pPr>
        <w:adjustRightInd w:val="0"/>
        <w:snapToGrid w:val="0"/>
        <w:spacing w:after="0" w:line="240" w:lineRule="atLeast"/>
        <w:rPr>
          <w:rFonts w:ascii="楷体_GB2312" w:eastAsia="楷体_GB2312" w:cs="DengXian-Bold"/>
          <w:b/>
          <w:bCs/>
          <w:sz w:val="32"/>
          <w:szCs w:val="32"/>
        </w:rPr>
      </w:pPr>
    </w:p>
    <w:p>
      <w:pPr>
        <w:adjustRightInd w:val="0"/>
        <w:snapToGrid w:val="0"/>
        <w:spacing w:after="0" w:line="240" w:lineRule="atLeast"/>
        <w:rPr>
          <w:rFonts w:ascii="楷体_GB2312" w:eastAsia="楷体_GB2312" w:cs="DengXian-Bold"/>
          <w:b/>
          <w:bCs/>
          <w:sz w:val="32"/>
          <w:szCs w:val="32"/>
        </w:rPr>
      </w:pPr>
      <w:r>
        <w:drawing>
          <wp:inline distT="0" distB="0" distL="114300" distR="114300">
            <wp:extent cx="3944620" cy="2477135"/>
            <wp:effectExtent l="57150" t="0" r="36830" b="94615"/>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pPr>
        <w:adjustRightInd w:val="0"/>
        <w:snapToGrid w:val="0"/>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年度一般公共预算财政拨款基本支出456.31万元，其中：人员经费</w:t>
      </w:r>
      <w:r>
        <w:rPr>
          <w:rFonts w:hint="eastAsia" w:ascii="仿宋" w:hAnsi="仿宋" w:eastAsia="仿宋" w:cs="仿宋"/>
          <w:sz w:val="32"/>
          <w:szCs w:val="32"/>
        </w:rPr>
        <w:t>392.</w:t>
      </w:r>
      <w:r>
        <w:rPr>
          <w:rFonts w:hint="eastAsia" w:ascii="仿宋_GB2312" w:eastAsia="仿宋_GB2312" w:cs="DengXian-Regular"/>
          <w:sz w:val="32"/>
          <w:szCs w:val="32"/>
        </w:rPr>
        <w:t>87万元，主要包括基本工资、津贴补贴、奖金、绩效工资、机关事业单位基本养老保险缴费、退休费、抚恤金；公用经费63.43万元，主要包括办公费、印刷费、电费、差旅费、维修（护）费、公务用车运行维护费、其他交通费用。</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“三公”经费支出共计0.</w:t>
      </w:r>
      <w:r>
        <w:rPr>
          <w:rFonts w:hint="eastAsia" w:ascii="仿宋" w:hAnsi="仿宋" w:eastAsia="仿宋" w:cs="仿宋"/>
          <w:sz w:val="32"/>
          <w:szCs w:val="32"/>
        </w:rPr>
        <w:t>69</w:t>
      </w:r>
      <w:r>
        <w:rPr>
          <w:rFonts w:hint="eastAsia" w:ascii="仿宋_GB2312" w:eastAsia="仿宋_GB2312" w:cs="DengXian-Regular"/>
          <w:sz w:val="32"/>
          <w:szCs w:val="32"/>
        </w:rPr>
        <w:t>万元，较年度预算减少2.31万元，降低77%，较上年决算减少0.08万元，降低10.4%。主要是认真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精神和厉行节约要求，从严控制“三公”经费开支，全年实际支出比预算有所节约。具体情况如下：</w:t>
      </w:r>
    </w:p>
    <w:p>
      <w:pPr>
        <w:numPr>
          <w:ilvl w:val="0"/>
          <w:numId w:val="2"/>
        </w:num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本部门2018年度因公出国（境）团组0个、共0人，支出费用0万元，与年初预算持平，与上年无增减变化。</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0.69</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本部门2018年度公务用车购置及运行维护费0.69万元，较年初预算减少2.31万元，降低77%,较上年决算减少0.08万元，降低10.4%，主要是认真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r>
        <w:rPr>
          <w:rFonts w:hint="eastAsia" w:ascii="仿宋_GB2312" w:eastAsia="仿宋_GB2312" w:cs="DengXian-Bold"/>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本部门2018年度公务用车购置量0辆，“公务用车购置”经费支出0万元。与年初预算持平，与上年无增减变化。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本部门2018年度单位公务用车保有量5辆。公车运行维护费支出0.69万元，较年初预算减少2.31万元，降低77%,较上年决算减少0.08万元，降低10.4%，主要是认真</w:t>
      </w:r>
      <w:r>
        <w:rPr>
          <w:rFonts w:hint="eastAsia" w:ascii="仿宋_GB2312" w:eastAsia="仿宋_GB2312" w:cs="DengXian-Regular"/>
          <w:sz w:val="32"/>
          <w:szCs w:val="32"/>
          <w:lang w:eastAsia="zh-CN"/>
        </w:rPr>
        <w:t>贯彻落实中央八项规定</w:t>
      </w:r>
      <w:r>
        <w:rPr>
          <w:rFonts w:hint="eastAsia" w:ascii="仿宋_GB2312" w:eastAsia="仿宋_GB2312" w:cs="DengXian-Regular"/>
          <w:sz w:val="32"/>
          <w:szCs w:val="32"/>
        </w:rPr>
        <w:t>精神和厉行节约要求，从严控制“三公”经费开支，全年实际支出比预算有所节约。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本部门2018年度公务接待共0批次、0人次。支出费用0万元，相与年初预算持平，与上年无增减变化。</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w:t>
      </w:r>
      <w:r>
        <w:rPr>
          <w:rFonts w:hint="eastAsia" w:ascii="仿宋" w:hAnsi="仿宋" w:eastAsia="仿宋" w:cs="仿宋"/>
          <w:sz w:val="32"/>
          <w:szCs w:val="32"/>
        </w:rPr>
        <w:t>涉及基层司法业务、普法宣传、律师公证管理、法律援助、社区矫正、其他司法支出等6个项目，涉</w:t>
      </w:r>
      <w:r>
        <w:rPr>
          <w:rFonts w:hint="eastAsia" w:ascii="仿宋_GB2312" w:eastAsia="仿宋_GB2312" w:cs="DengXian-Regular"/>
          <w:sz w:val="32"/>
          <w:szCs w:val="32"/>
        </w:rPr>
        <w:t>及资金</w:t>
      </w:r>
      <w:r>
        <w:rPr>
          <w:rFonts w:hint="eastAsia" w:ascii="仿宋" w:hAnsi="仿宋" w:eastAsia="仿宋" w:cs="仿宋"/>
          <w:sz w:val="32"/>
          <w:szCs w:val="32"/>
        </w:rPr>
        <w:t>149.96</w:t>
      </w:r>
      <w:r>
        <w:rPr>
          <w:rFonts w:hint="eastAsia" w:ascii="仿宋_GB2312" w:eastAsia="仿宋_GB2312" w:cs="DengXian-Regular"/>
          <w:sz w:val="32"/>
          <w:szCs w:val="32"/>
        </w:rPr>
        <w:t>万元。从评价情况看，评价结果为良好的项目有6个，</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w:t>
      </w:r>
      <w:r>
        <w:rPr>
          <w:rFonts w:hint="eastAsia" w:ascii="仿宋" w:hAnsi="仿宋" w:eastAsia="仿宋" w:cs="仿宋"/>
          <w:sz w:val="32"/>
          <w:szCs w:val="32"/>
        </w:rPr>
        <w:t>基层司法业务</w:t>
      </w:r>
      <w:r>
        <w:rPr>
          <w:rFonts w:hint="eastAsia" w:ascii="仿宋_GB2312" w:eastAsia="仿宋_GB2312" w:cs="DengXian-Regular"/>
          <w:sz w:val="32"/>
          <w:szCs w:val="32"/>
        </w:rPr>
        <w:t>项目绩效自评：根据年初设定的绩效目标，基层司法业务项目绩效自评结果为良好。项目全年预算数27.81万元，执行数为27.81万元，完成预算的100%。主要产出和效果是司法所建设逐渐规范化，基层司法行政各项业务水平和质量都得到了提高。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本部门2018年度机关运行经费支出63.43万元，比年初预算数减少27.78万元，降低77.93%。主要原因是坚持厉行节约原则，控制办公经费支出。</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snapToGrid w:val="0"/>
        <w:spacing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本部门2019年度政府采购支出总额0万元，政府货物支出0万元，政府服务支出0万元，工程支出0万元；</w:t>
      </w:r>
      <w:r>
        <w:rPr>
          <w:rFonts w:ascii="仿宋_GB2312" w:hAnsi="仿宋_GB2312" w:eastAsia="仿宋_GB2312" w:cs="仿宋_GB2312"/>
          <w:color w:val="000000"/>
          <w:kern w:val="0"/>
          <w:sz w:val="32"/>
          <w:szCs w:val="32"/>
        </w:rPr>
        <w:t>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5辆，与上年持平。其中，副部（省）级及以上领导用车0辆，主要领导干部用车0辆，机要通信用车0辆，应急保障用车1辆，执法执勤用车4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万元以上专用设备0台（套），与上年持平。</w:t>
      </w:r>
    </w:p>
    <w:p>
      <w:pPr>
        <w:adjustRightInd w:val="0"/>
        <w:snapToGrid w:val="0"/>
        <w:spacing w:after="0" w:line="560" w:lineRule="exact"/>
        <w:ind w:firstLine="640" w:firstLineChars="200"/>
        <w:rPr>
          <w:rFonts w:ascii="仿宋_GB2312" w:eastAsia="仿宋_GB2312" w:cs="DengXian-Regular"/>
          <w:sz w:val="32"/>
          <w:szCs w:val="32"/>
        </w:rPr>
      </w:pP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widowControl/>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1、本部门2018年度政府性基金预算财政拨款以及国有资本经营预算财政拨款无收支及结转结余情况，</w:t>
      </w:r>
      <w:r>
        <w:rPr>
          <w:rFonts w:eastAsia="仿宋_GB2312"/>
          <w:sz w:val="32"/>
          <w:szCs w:val="32"/>
        </w:rPr>
        <w:t>政府性基金预算财政拨款收入支出决算表</w:t>
      </w:r>
      <w:r>
        <w:rPr>
          <w:rFonts w:hint="eastAsia" w:eastAsia="仿宋_GB2312"/>
          <w:sz w:val="32"/>
          <w:szCs w:val="32"/>
        </w:rPr>
        <w:t>、</w:t>
      </w:r>
      <w:r>
        <w:rPr>
          <w:rFonts w:eastAsia="仿宋_GB2312"/>
          <w:sz w:val="32"/>
          <w:szCs w:val="32"/>
        </w:rPr>
        <w:t>国有资本经营预算财政拨款收入支出决算表</w:t>
      </w:r>
      <w:r>
        <w:rPr>
          <w:rFonts w:hint="eastAsia" w:eastAsia="仿宋_GB2312"/>
          <w:sz w:val="32"/>
          <w:szCs w:val="32"/>
        </w:rPr>
        <w:t>为空，故</w:t>
      </w:r>
      <w:r>
        <w:rPr>
          <w:rFonts w:hint="eastAsia" w:ascii="仿宋_GB2312" w:eastAsia="仿宋_GB2312" w:cs="DengXian-Regular"/>
          <w:sz w:val="32"/>
          <w:szCs w:val="32"/>
        </w:rPr>
        <w:t>以空表列示。</w:t>
      </w:r>
    </w:p>
    <w:p>
      <w:pPr>
        <w:widowControl/>
        <w:spacing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745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6643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8480"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3"/>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31510FFC-9D48-43A6-AA31-40C0A40CC2C4}"/>
  </w:font>
  <w:font w:name="黑体">
    <w:panose1 w:val="02010609060101010101"/>
    <w:charset w:val="86"/>
    <w:family w:val="auto"/>
    <w:pitch w:val="default"/>
    <w:sig w:usb0="800002BF" w:usb1="38CF7CFA" w:usb2="00000016" w:usb3="00000000" w:csb0="00040001" w:csb1="00000000"/>
    <w:embedRegular r:id="rId2" w:fontKey="{B2F88282-F0EA-462E-BC17-C45119EAD41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C517288C-2E69-4A78-BDAC-F7701ACD22FB}"/>
  </w:font>
  <w:font w:name="Cambria">
    <w:panose1 w:val="02040503050406030204"/>
    <w:charset w:val="00"/>
    <w:family w:val="roman"/>
    <w:pitch w:val="default"/>
    <w:sig w:usb0="E00006FF" w:usb1="420024FF" w:usb2="02000000" w:usb3="00000000" w:csb0="2000019F" w:csb1="00000000"/>
    <w:embedRegular r:id="rId4" w:fontKey="{A79786A2-3931-46A5-9751-255EC8A0D435}"/>
  </w:font>
  <w:font w:name="楷体">
    <w:panose1 w:val="02010609060101010101"/>
    <w:charset w:val="86"/>
    <w:family w:val="modern"/>
    <w:pitch w:val="default"/>
    <w:sig w:usb0="800002BF" w:usb1="38CF7CFA" w:usb2="00000016" w:usb3="00000000" w:csb0="00040001" w:csb1="00000000"/>
    <w:embedRegular r:id="rId5" w:fontKey="{9DEC7CC5-491F-4DB7-B20A-E86249FB4E1A}"/>
  </w:font>
  <w:font w:name="楷体_GB2312">
    <w:panose1 w:val="02010609030101010101"/>
    <w:charset w:val="86"/>
    <w:family w:val="modern"/>
    <w:pitch w:val="default"/>
    <w:sig w:usb0="00000001" w:usb1="080E0000" w:usb2="00000000" w:usb3="00000000" w:csb0="00040000" w:csb1="00000000"/>
    <w:embedRegular r:id="rId6" w:fontKey="{72487502-32DA-49E0-8C4B-2DF2E6B492F2}"/>
  </w:font>
  <w:font w:name="仿宋_GB2312">
    <w:panose1 w:val="02010609030101010101"/>
    <w:charset w:val="86"/>
    <w:family w:val="modern"/>
    <w:pitch w:val="default"/>
    <w:sig w:usb0="00000001" w:usb1="080E0000" w:usb2="00000000" w:usb3="00000000" w:csb0="00040000" w:csb1="00000000"/>
    <w:embedRegular r:id="rId7" w:fontKey="{29B3CEC7-917A-4791-86C2-B3BE055E418D}"/>
  </w:font>
  <w:font w:name="ArialUnicodeMS">
    <w:altName w:val="Malgun Gothic"/>
    <w:panose1 w:val="00000000000000000000"/>
    <w:charset w:val="81"/>
    <w:family w:val="auto"/>
    <w:pitch w:val="default"/>
    <w:sig w:usb0="00000000" w:usb1="00000000" w:usb2="00000010" w:usb3="00000000" w:csb0="00080001" w:csb1="00000000"/>
    <w:embedRegular r:id="rId8" w:fontKey="{EF674564-4532-4456-BD40-3D012010FE26}"/>
  </w:font>
  <w:font w:name="Malgun Gothic">
    <w:panose1 w:val="020B0503020000020004"/>
    <w:charset w:val="81"/>
    <w:family w:val="auto"/>
    <w:pitch w:val="default"/>
    <w:sig w:usb0="9000002F" w:usb1="29D77CFB" w:usb2="00000012" w:usb3="00000000" w:csb0="00080001" w:csb1="00000000"/>
  </w:font>
  <w:font w:name="仿宋">
    <w:panose1 w:val="02010609060101010101"/>
    <w:charset w:val="86"/>
    <w:family w:val="modern"/>
    <w:pitch w:val="default"/>
    <w:sig w:usb0="800002BF" w:usb1="38CF7CFA" w:usb2="00000016" w:usb3="00000000" w:csb0="00040001" w:csb1="00000000"/>
    <w:embedRegular r:id="rId9" w:fontKey="{D52FAE34-C543-446D-AB51-CF132874943E}"/>
  </w:font>
  <w:font w:name="MS-UIGothic,Bold">
    <w:altName w:val="Malgun Gothic"/>
    <w:panose1 w:val="00000000000000000000"/>
    <w:charset w:val="81"/>
    <w:family w:val="auto"/>
    <w:pitch w:val="default"/>
    <w:sig w:usb0="00000000" w:usb1="00000000" w:usb2="00000010" w:usb3="00000000" w:csb0="00080000" w:csb1="00000000"/>
    <w:embedRegular r:id="rId10" w:fontKey="{5EA1F227-0464-4496-9A6A-6C09B1411A88}"/>
  </w:font>
  <w:font w:name="DengXian-Regular">
    <w:altName w:val="宋体"/>
    <w:panose1 w:val="00000000000000000000"/>
    <w:charset w:val="86"/>
    <w:family w:val="auto"/>
    <w:pitch w:val="default"/>
    <w:sig w:usb0="00000000" w:usb1="00000000" w:usb2="00000010" w:usb3="00000000" w:csb0="00040001" w:csb1="00000000"/>
    <w:embedRegular r:id="rId11" w:fontKey="{8F6A91A7-CA3D-41F4-894D-62C49410485E}"/>
  </w:font>
  <w:font w:name="DengXian-Bold">
    <w:altName w:val="宋体"/>
    <w:panose1 w:val="00000000000000000000"/>
    <w:charset w:val="86"/>
    <w:family w:val="auto"/>
    <w:pitch w:val="default"/>
    <w:sig w:usb0="00000000" w:usb1="00000000" w:usb2="00000010" w:usb3="00000000" w:csb0="00040001" w:csb1="00000000"/>
    <w:embedRegular r:id="rId12" w:fontKey="{8091F1FF-8C62-410D-B634-31F62C260F3D}"/>
  </w:font>
  <w:font w:name="TimesNewRomanPSMT">
    <w:altName w:val="Arial"/>
    <w:panose1 w:val="00000000000000000000"/>
    <w:charset w:val="00"/>
    <w:family w:val="auto"/>
    <w:pitch w:val="default"/>
    <w:sig w:usb0="00000000"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7E4E547"/>
    <w:multiLevelType w:val="singleLevel"/>
    <w:tmpl w:val="A7E4E547"/>
    <w:lvl w:ilvl="0" w:tentative="0">
      <w:start w:val="1"/>
      <w:numFmt w:val="chineseCounting"/>
      <w:suff w:val="nothing"/>
      <w:lvlText w:val="%1、"/>
      <w:lvlJc w:val="left"/>
      <w:rPr>
        <w:rFonts w:hint="eastAsia"/>
      </w:rPr>
    </w:lvl>
  </w:abstractNum>
  <w:abstractNum w:abstractNumId="1">
    <w:nsid w:val="DAC75987"/>
    <w:multiLevelType w:val="singleLevel"/>
    <w:tmpl w:val="DAC75987"/>
    <w:lvl w:ilvl="0" w:tentative="0">
      <w:start w:val="1"/>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24E7F"/>
    <w:rsid w:val="00043D1C"/>
    <w:rsid w:val="000475A0"/>
    <w:rsid w:val="00071521"/>
    <w:rsid w:val="000838C3"/>
    <w:rsid w:val="000B11AA"/>
    <w:rsid w:val="000B2446"/>
    <w:rsid w:val="000D7C65"/>
    <w:rsid w:val="000E2F81"/>
    <w:rsid w:val="00117946"/>
    <w:rsid w:val="00117E2C"/>
    <w:rsid w:val="00146C47"/>
    <w:rsid w:val="00152FB8"/>
    <w:rsid w:val="00176658"/>
    <w:rsid w:val="0018239E"/>
    <w:rsid w:val="001B3410"/>
    <w:rsid w:val="001C030D"/>
    <w:rsid w:val="001C4A84"/>
    <w:rsid w:val="001E5902"/>
    <w:rsid w:val="002065AF"/>
    <w:rsid w:val="00221B5E"/>
    <w:rsid w:val="00224E91"/>
    <w:rsid w:val="002326CF"/>
    <w:rsid w:val="00233705"/>
    <w:rsid w:val="00275CA2"/>
    <w:rsid w:val="002A65A5"/>
    <w:rsid w:val="002C04C4"/>
    <w:rsid w:val="002D08B0"/>
    <w:rsid w:val="002D1AE3"/>
    <w:rsid w:val="002E61C6"/>
    <w:rsid w:val="002F2ECE"/>
    <w:rsid w:val="00341C8F"/>
    <w:rsid w:val="00353204"/>
    <w:rsid w:val="0035463A"/>
    <w:rsid w:val="003874BE"/>
    <w:rsid w:val="00391D9D"/>
    <w:rsid w:val="00391E1D"/>
    <w:rsid w:val="003B6C51"/>
    <w:rsid w:val="003C1413"/>
    <w:rsid w:val="003C549F"/>
    <w:rsid w:val="003D5A16"/>
    <w:rsid w:val="003E7DB3"/>
    <w:rsid w:val="003F7EC9"/>
    <w:rsid w:val="00431175"/>
    <w:rsid w:val="004B6E37"/>
    <w:rsid w:val="004C32BA"/>
    <w:rsid w:val="00502871"/>
    <w:rsid w:val="005450EF"/>
    <w:rsid w:val="00575922"/>
    <w:rsid w:val="005A6C90"/>
    <w:rsid w:val="005E3FB0"/>
    <w:rsid w:val="005F4B12"/>
    <w:rsid w:val="005F4B66"/>
    <w:rsid w:val="005F5208"/>
    <w:rsid w:val="00641318"/>
    <w:rsid w:val="0064405D"/>
    <w:rsid w:val="00685302"/>
    <w:rsid w:val="00695557"/>
    <w:rsid w:val="006D4EA7"/>
    <w:rsid w:val="0070012A"/>
    <w:rsid w:val="0070664B"/>
    <w:rsid w:val="007071B8"/>
    <w:rsid w:val="007414DE"/>
    <w:rsid w:val="0074209C"/>
    <w:rsid w:val="007776C2"/>
    <w:rsid w:val="007905A9"/>
    <w:rsid w:val="007E5500"/>
    <w:rsid w:val="007F055B"/>
    <w:rsid w:val="0080644C"/>
    <w:rsid w:val="00811C2F"/>
    <w:rsid w:val="00833D46"/>
    <w:rsid w:val="00840A97"/>
    <w:rsid w:val="00894BFC"/>
    <w:rsid w:val="008C0149"/>
    <w:rsid w:val="008C488A"/>
    <w:rsid w:val="008C689C"/>
    <w:rsid w:val="008D5DED"/>
    <w:rsid w:val="008E25CA"/>
    <w:rsid w:val="008F34FC"/>
    <w:rsid w:val="008F6B84"/>
    <w:rsid w:val="00935058"/>
    <w:rsid w:val="00944CD7"/>
    <w:rsid w:val="009831B2"/>
    <w:rsid w:val="009A1ABE"/>
    <w:rsid w:val="009E21A4"/>
    <w:rsid w:val="009F22C6"/>
    <w:rsid w:val="00A07E50"/>
    <w:rsid w:val="00A15397"/>
    <w:rsid w:val="00A35CE0"/>
    <w:rsid w:val="00A4462E"/>
    <w:rsid w:val="00A44AA4"/>
    <w:rsid w:val="00A61623"/>
    <w:rsid w:val="00A63BDB"/>
    <w:rsid w:val="00A84687"/>
    <w:rsid w:val="00AB0A0E"/>
    <w:rsid w:val="00AD3B6E"/>
    <w:rsid w:val="00B1751F"/>
    <w:rsid w:val="00B531B0"/>
    <w:rsid w:val="00B56722"/>
    <w:rsid w:val="00B6752E"/>
    <w:rsid w:val="00B74D39"/>
    <w:rsid w:val="00B91DA4"/>
    <w:rsid w:val="00BE2D7C"/>
    <w:rsid w:val="00C12630"/>
    <w:rsid w:val="00C34562"/>
    <w:rsid w:val="00C3774E"/>
    <w:rsid w:val="00C57456"/>
    <w:rsid w:val="00C65387"/>
    <w:rsid w:val="00C87FAB"/>
    <w:rsid w:val="00C91FF7"/>
    <w:rsid w:val="00C94E53"/>
    <w:rsid w:val="00CA1416"/>
    <w:rsid w:val="00D0048E"/>
    <w:rsid w:val="00D23E7A"/>
    <w:rsid w:val="00D61063"/>
    <w:rsid w:val="00D8002D"/>
    <w:rsid w:val="00DB35AF"/>
    <w:rsid w:val="00DD72D7"/>
    <w:rsid w:val="00DF5B88"/>
    <w:rsid w:val="00E0589E"/>
    <w:rsid w:val="00E241FA"/>
    <w:rsid w:val="00E2595E"/>
    <w:rsid w:val="00E35374"/>
    <w:rsid w:val="00E50C19"/>
    <w:rsid w:val="00E64655"/>
    <w:rsid w:val="00E73081"/>
    <w:rsid w:val="00E856C9"/>
    <w:rsid w:val="00E8744D"/>
    <w:rsid w:val="00EB6A8B"/>
    <w:rsid w:val="00EF38C6"/>
    <w:rsid w:val="00F679C7"/>
    <w:rsid w:val="00F7711A"/>
    <w:rsid w:val="00FA0D58"/>
    <w:rsid w:val="00FA56F4"/>
    <w:rsid w:val="00FB4EDA"/>
    <w:rsid w:val="00FD3BD5"/>
    <w:rsid w:val="00FE3DC8"/>
    <w:rsid w:val="04073F84"/>
    <w:rsid w:val="04753A16"/>
    <w:rsid w:val="05AC5AF0"/>
    <w:rsid w:val="05ED1E98"/>
    <w:rsid w:val="077A1C27"/>
    <w:rsid w:val="09197589"/>
    <w:rsid w:val="09DC39C8"/>
    <w:rsid w:val="0B60750A"/>
    <w:rsid w:val="0E2A2C7E"/>
    <w:rsid w:val="10025221"/>
    <w:rsid w:val="10686488"/>
    <w:rsid w:val="10DF728A"/>
    <w:rsid w:val="1264200E"/>
    <w:rsid w:val="1336320C"/>
    <w:rsid w:val="141C5B77"/>
    <w:rsid w:val="14FD51E7"/>
    <w:rsid w:val="151B6448"/>
    <w:rsid w:val="168F3297"/>
    <w:rsid w:val="18D8339D"/>
    <w:rsid w:val="1A21388F"/>
    <w:rsid w:val="1A570D2F"/>
    <w:rsid w:val="1C9673BB"/>
    <w:rsid w:val="1E1B49DA"/>
    <w:rsid w:val="1EC778B7"/>
    <w:rsid w:val="1F913EAC"/>
    <w:rsid w:val="226839C3"/>
    <w:rsid w:val="261B0CD6"/>
    <w:rsid w:val="26551F1E"/>
    <w:rsid w:val="2774253C"/>
    <w:rsid w:val="28E64512"/>
    <w:rsid w:val="28FB0B8D"/>
    <w:rsid w:val="2A9870FC"/>
    <w:rsid w:val="2D2B7942"/>
    <w:rsid w:val="2D46481D"/>
    <w:rsid w:val="2E733B28"/>
    <w:rsid w:val="31852B5A"/>
    <w:rsid w:val="32D01238"/>
    <w:rsid w:val="33020708"/>
    <w:rsid w:val="382D3469"/>
    <w:rsid w:val="389502AD"/>
    <w:rsid w:val="3C296078"/>
    <w:rsid w:val="3D3F11BB"/>
    <w:rsid w:val="3DFC59A8"/>
    <w:rsid w:val="3ECF245E"/>
    <w:rsid w:val="3FB96314"/>
    <w:rsid w:val="43BF1336"/>
    <w:rsid w:val="47690658"/>
    <w:rsid w:val="4B221E6D"/>
    <w:rsid w:val="4DA42619"/>
    <w:rsid w:val="4F3B0F30"/>
    <w:rsid w:val="51657D28"/>
    <w:rsid w:val="51EA23AB"/>
    <w:rsid w:val="529E6D8F"/>
    <w:rsid w:val="53A44FAF"/>
    <w:rsid w:val="575D7A05"/>
    <w:rsid w:val="594329EC"/>
    <w:rsid w:val="59CD483C"/>
    <w:rsid w:val="5BEE1540"/>
    <w:rsid w:val="5CBE7041"/>
    <w:rsid w:val="5DE61A5D"/>
    <w:rsid w:val="60093CFD"/>
    <w:rsid w:val="61A84AAC"/>
    <w:rsid w:val="63C04243"/>
    <w:rsid w:val="649C01C7"/>
    <w:rsid w:val="65E75CA6"/>
    <w:rsid w:val="65E82185"/>
    <w:rsid w:val="69637DB7"/>
    <w:rsid w:val="699A3F60"/>
    <w:rsid w:val="6D6A0438"/>
    <w:rsid w:val="6E8354EB"/>
    <w:rsid w:val="6ED45AF5"/>
    <w:rsid w:val="70387DE0"/>
    <w:rsid w:val="7278682B"/>
    <w:rsid w:val="72902E62"/>
    <w:rsid w:val="730A6BEA"/>
    <w:rsid w:val="73872123"/>
    <w:rsid w:val="73C61104"/>
    <w:rsid w:val="776452EA"/>
    <w:rsid w:val="77660216"/>
    <w:rsid w:val="77B67631"/>
    <w:rsid w:val="787507A0"/>
    <w:rsid w:val="7A1E405B"/>
    <w:rsid w:val="7A3075F3"/>
    <w:rsid w:val="7CA74966"/>
    <w:rsid w:val="7CB22467"/>
    <w:rsid w:val="7D53339E"/>
    <w:rsid w:val="7DC663B9"/>
    <w:rsid w:val="7F311519"/>
    <w:rsid w:val="7F682F0E"/>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3.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3.jpeg"/><Relationship Id="rId12" Type="http://schemas.openxmlformats.org/officeDocument/2006/relationships/chart" Target="charts/chart5.xml"/><Relationship Id="rId11" Type="http://schemas.openxmlformats.org/officeDocument/2006/relationships/chart" Target="charts/chart4.xml"/><Relationship Id="rId10" Type="http://schemas.openxmlformats.org/officeDocument/2006/relationships/chart" Target="charts/chart3.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2" Type="http://schemas.openxmlformats.org/officeDocument/2006/relationships/font" Target="fonts/font1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1)(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1)(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1)(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1)(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6550862270199"/>
          <c:y val="0.850746268656717"/>
        </c:manualLayout>
      </c:layout>
      <c:overlay val="0"/>
    </c:title>
    <c:autoTitleDeleted val="0"/>
    <c:plotArea>
      <c:layout>
        <c:manualLayout>
          <c:layoutTarget val="inner"/>
          <c:xMode val="edge"/>
          <c:yMode val="edge"/>
          <c:x val="0.0943148809218805"/>
          <c:y val="0.0575245818153328"/>
          <c:w val="0.811370238156239"/>
          <c:h val="0.765547851294709"/>
        </c:manualLayout>
      </c:layout>
      <c:pieChart>
        <c:varyColors val="1"/>
        <c:ser>
          <c:idx val="0"/>
          <c:order val="0"/>
          <c:explosion val="0"/>
          <c:dPt>
            <c:idx val="0"/>
            <c:bubble3D val="0"/>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'[部门决算公开制图模板(1)(1).xlsx]收入情况说明'!$C$9:$C$12</c:f>
              <c:strCache>
                <c:ptCount val="4"/>
                <c:pt idx="0">
                  <c:v>财政拨款收入</c:v>
                </c:pt>
                <c:pt idx="1">
                  <c:v>事业收入</c:v>
                </c:pt>
                <c:pt idx="2">
                  <c:v>经营收入</c:v>
                </c:pt>
                <c:pt idx="3">
                  <c:v>其他收入</c:v>
                </c:pt>
              </c:strCache>
            </c:strRef>
          </c:cat>
          <c:val>
            <c:numRef>
              <c:f>'[部门决算公开制图模板(1)(1).xlsx]收入情况说明'!$D$9:$D$12</c:f>
              <c:numCache>
                <c:formatCode>General</c:formatCode>
                <c:ptCount val="4"/>
                <c:pt idx="0">
                  <c:v>601.49</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：支出构成情况（按支出性质）</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219668805507664"/>
          <c:y val="0.823232323232322"/>
        </c:manualLayout>
      </c:layout>
      <c:overlay val="0"/>
    </c:title>
    <c:autoTitleDeleted val="0"/>
    <c:plotArea>
      <c:layout>
        <c:manualLayout>
          <c:layoutTarget val="inner"/>
          <c:xMode val="edge"/>
          <c:yMode val="edge"/>
          <c:x val="0.101627059597234"/>
          <c:y val="0.103243458204088"/>
          <c:w val="0.808785007968813"/>
          <c:h val="0.655154696572021"/>
        </c:manualLayout>
      </c:layout>
      <c:pieChart>
        <c:varyColors val="1"/>
        <c:ser>
          <c:idx val="0"/>
          <c:order val="0"/>
          <c:explosion val="0"/>
          <c:dPt>
            <c:idx val="0"/>
            <c:bubble3D val="0"/>
          </c:dPt>
          <c:dPt>
            <c:idx val="1"/>
            <c:bubble3D val="0"/>
          </c:dPt>
          <c:dPt>
            <c:idx val="2"/>
            <c:bubble3D val="0"/>
          </c:dPt>
          <c:dLbls>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'[部门决算公开制图模板(1)(1).xlsx]支出情况说明'!$A$5:$A$7</c:f>
              <c:strCache>
                <c:ptCount val="3"/>
                <c:pt idx="0">
                  <c:v>基本支出</c:v>
                </c:pt>
                <c:pt idx="1">
                  <c:v>项目支出</c:v>
                </c:pt>
                <c:pt idx="2">
                  <c:v>经营支出</c:v>
                </c:pt>
              </c:strCache>
            </c:strRef>
          </c:cat>
          <c:val>
            <c:numRef>
              <c:f>'[部门决算公开制图模板(1)(1).xlsx]支出情况说明'!$B$5:$B$7</c:f>
              <c:numCache>
                <c:formatCode>General</c:formatCode>
                <c:ptCount val="3"/>
                <c:pt idx="0">
                  <c:v>456.31</c:v>
                </c:pt>
                <c:pt idx="1">
                  <c:v>149.95</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
          <c:h val="0.601993408970844"/>
        </c:manualLayout>
      </c:layout>
      <c:barChart>
        <c:barDir val="col"/>
        <c:grouping val="clustered"/>
        <c:varyColors val="0"/>
        <c:ser>
          <c:idx val="0"/>
          <c:order val="0"/>
          <c:tx>
            <c:strRef>
              <c:f>'[部门决算公开制图模板(1)(1).xlsx]收支与决算对比'!$A$5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'[部门决算公开制图模板(1)(1).xlsx]收支与决算对比'!$B$4:$C$4</c:f>
              <c:strCache>
                <c:ptCount val="2"/>
                <c:pt idx="0">
                  <c:v>财政拨款收入</c:v>
                </c:pt>
                <c:pt idx="1">
                  <c:v>财政拨款支出</c:v>
                </c:pt>
              </c:strCache>
            </c:strRef>
          </c:cat>
          <c:val>
            <c:numRef>
              <c:f>'[部门决算公开制图模板(1)(1).xlsx]收支与决算对比'!$B$5:$C$5</c:f>
              <c:numCache>
                <c:formatCode>General</c:formatCode>
                <c:ptCount val="2"/>
                <c:pt idx="0">
                  <c:v>601.49</c:v>
                </c:pt>
                <c:pt idx="1">
                  <c:v>606.25</c:v>
                </c:pt>
              </c:numCache>
            </c:numRef>
          </c:val>
        </c:ser>
        <c:ser>
          <c:idx val="1"/>
          <c:order val="1"/>
          <c:tx>
            <c:strRef>
              <c:f>'[部门决算公开制图模板(1)(1).xlsx]收支与决算对比'!$A$6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'[部门决算公开制图模板(1)(1).xlsx]收支与决算对比'!$B$4:$C$4</c:f>
              <c:strCache>
                <c:ptCount val="2"/>
                <c:pt idx="0">
                  <c:v>财政拨款收入</c:v>
                </c:pt>
                <c:pt idx="1">
                  <c:v>财政拨款支出</c:v>
                </c:pt>
              </c:strCache>
            </c:strRef>
          </c:cat>
          <c:val>
            <c:numRef>
              <c:f>'[部门决算公开制图模板(1)(1).xlsx]收支与决算对比'!$B$6:$C$6</c:f>
              <c:numCache>
                <c:formatCode>General</c:formatCode>
                <c:ptCount val="2"/>
                <c:pt idx="0">
                  <c:v>592.48</c:v>
                </c:pt>
                <c:pt idx="1">
                  <c:v>631.86</c:v>
                </c:pt>
              </c:numCache>
            </c:numRef>
          </c:val>
        </c:ser>
        <c:dLbls>
          <c:showLegendKey val="0"/>
          <c:showVal val="1"/>
          <c:showCatName val="0"/>
          <c:showSerName val="0"/>
          <c:showPercent val="0"/>
          <c:showBubbleSize val="0"/>
        </c:dLbls>
        <c:gapWidth val="75"/>
        <c:axId val="243530368"/>
        <c:axId val="243667712"/>
      </c:barChart>
      <c:catAx>
        <c:axId val="243530368"/>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3667712"/>
        <c:crosses val="autoZero"/>
        <c:auto val="1"/>
        <c:lblAlgn val="ctr"/>
        <c:lblOffset val="100"/>
        <c:noMultiLvlLbl val="0"/>
      </c:catAx>
      <c:valAx>
        <c:axId val="2436677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3530368"/>
        <c:crosses val="autoZero"/>
        <c:crossBetween val="between"/>
      </c:valAx>
    </c:plotArea>
    <c:legend>
      <c:legendPos val="b"/>
      <c:layout>
        <c:manualLayout>
          <c:xMode val="edge"/>
          <c:yMode val="edge"/>
          <c:x val="0.426340551181102"/>
          <c:y val="0.756835299740888"/>
          <c:w val="0.208429790026247"/>
          <c:h val="0.0770305149555987"/>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4"/>
          <c:y val="0.921675774134792"/>
        </c:manualLayout>
      </c:layout>
      <c:overlay val="0"/>
    </c:title>
    <c:autoTitleDeleted val="0"/>
    <c:plotArea>
      <c:layout>
        <c:manualLayout>
          <c:layoutTarget val="inner"/>
          <c:xMode val="edge"/>
          <c:yMode val="edge"/>
          <c:x val="0.100155074365704"/>
          <c:y val="0.0231156048675734"/>
          <c:w val="0.86928937007874"/>
          <c:h val="0.76881800286328"/>
        </c:manualLayout>
      </c:layout>
      <c:barChart>
        <c:barDir val="col"/>
        <c:grouping val="clustered"/>
        <c:varyColors val="0"/>
        <c:ser>
          <c:idx val="0"/>
          <c:order val="0"/>
          <c:tx>
            <c:strRef>
              <c:f>'[部门决算公开制图模板(1)(1).xlsx]收支与预算对比'!$A$5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'[部门决算公开制图模板(1)(1).xlsx]收支与预算对比'!$B$4:$C$4</c:f>
              <c:strCache>
                <c:ptCount val="2"/>
                <c:pt idx="0">
                  <c:v>财政拨款收入</c:v>
                </c:pt>
                <c:pt idx="1">
                  <c:v>财政拨款支出</c:v>
                </c:pt>
              </c:strCache>
            </c:strRef>
          </c:cat>
          <c:val>
            <c:numRef>
              <c:f>'[部门决算公开制图模板(1)(1).xlsx]收支与预算对比'!$B$5:$C$5</c:f>
              <c:numCache>
                <c:formatCode>General</c:formatCode>
                <c:ptCount val="2"/>
                <c:pt idx="0">
                  <c:v>574.85</c:v>
                </c:pt>
                <c:pt idx="1">
                  <c:v>574.85</c:v>
                </c:pt>
              </c:numCache>
            </c:numRef>
          </c:val>
        </c:ser>
        <c:ser>
          <c:idx val="1"/>
          <c:order val="1"/>
          <c:tx>
            <c:strRef>
              <c:f>'[部门决算公开制图模板(1)(1).xlsx]收支与预算对比'!$A$6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'[部门决算公开制图模板(1)(1).xlsx]收支与预算对比'!$B$4:$C$4</c:f>
              <c:strCache>
                <c:ptCount val="2"/>
                <c:pt idx="0">
                  <c:v>财政拨款收入</c:v>
                </c:pt>
                <c:pt idx="1">
                  <c:v>财政拨款支出</c:v>
                </c:pt>
              </c:strCache>
            </c:strRef>
          </c:cat>
          <c:val>
            <c:numRef>
              <c:f>'[部门决算公开制图模板(1)(1).xlsx]收支与预算对比'!$B$6:$C$6</c:f>
              <c:numCache>
                <c:formatCode>General</c:formatCode>
                <c:ptCount val="2"/>
                <c:pt idx="0">
                  <c:v>601.49</c:v>
                </c:pt>
                <c:pt idx="1">
                  <c:v>606.25</c:v>
                </c:pt>
              </c:numCache>
            </c:numRef>
          </c:val>
        </c:ser>
        <c:dLbls>
          <c:showLegendKey val="0"/>
          <c:showVal val="1"/>
          <c:showCatName val="0"/>
          <c:showSerName val="0"/>
          <c:showPercent val="0"/>
          <c:showBubbleSize val="0"/>
        </c:dLbls>
        <c:gapWidth val="75"/>
        <c:axId val="243090176"/>
        <c:axId val="243091712"/>
      </c:barChart>
      <c:catAx>
        <c:axId val="24309017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3091712"/>
        <c:crosses val="autoZero"/>
        <c:auto val="1"/>
        <c:lblAlgn val="ctr"/>
        <c:lblOffset val="100"/>
        <c:noMultiLvlLbl val="0"/>
      </c:catAx>
      <c:valAx>
        <c:axId val="243091712"/>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43090176"/>
        <c:crosses val="autoZero"/>
        <c:crossBetween val="between"/>
      </c:valAx>
    </c:plotArea>
    <c:legend>
      <c:legendPos val="b"/>
      <c:layout>
        <c:manualLayout>
          <c:xMode val="edge"/>
          <c:yMode val="edge"/>
          <c:x val="0.346718285214348"/>
          <c:y val="0.84875034063365"/>
          <c:w val="0.339896544181977"/>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9525"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 panose="02010609060101010101" pitchFamily="3" charset="-122"/>
                <a:ea typeface="仿宋" panose="02010609060101010101" pitchFamily="3" charset="-122"/>
              </a:rPr>
              <a:t>图</a:t>
            </a:r>
            <a:r>
              <a:rPr lang="en-US" altLang="zh-CN" sz="1400" b="0" i="0" u="none" strike="noStrike" baseline="0">
                <a:latin typeface="仿宋" panose="02010609060101010101" pitchFamily="3" charset="-122"/>
                <a:ea typeface="仿宋" panose="02010609060101010101" pitchFamily="3" charset="-122"/>
              </a:rPr>
              <a:t>5</a:t>
            </a:r>
            <a:r>
              <a:rPr lang="zh-CN" altLang="zh-CN" sz="1400" b="0" i="0" u="none" strike="noStrike" baseline="0">
                <a:latin typeface="仿宋" panose="02010609060101010101" pitchFamily="3" charset="-122"/>
                <a:ea typeface="仿宋" panose="02010609060101010101" pitchFamily="3" charset="-122"/>
              </a:rPr>
              <a:t>：财政拨款支出决算结构（按</a:t>
            </a:r>
            <a:r>
              <a:rPr lang="zh-CN" altLang="en-US" sz="1400" b="0" i="0" u="none" strike="noStrike" baseline="0">
                <a:latin typeface="仿宋" panose="02010609060101010101" pitchFamily="3" charset="-122"/>
                <a:ea typeface="仿宋" panose="02010609060101010101" pitchFamily="3" charset="-122"/>
              </a:rPr>
              <a:t>功能</a:t>
            </a:r>
            <a:r>
              <a:rPr lang="zh-CN" altLang="zh-CN" sz="1400" b="0" i="0" u="none" strike="noStrike" baseline="0">
                <a:latin typeface="仿宋" panose="02010609060101010101" pitchFamily="3" charset="-122"/>
                <a:ea typeface="仿宋" panose="02010609060101010101" pitchFamily="3" charset="-122"/>
              </a:rPr>
              <a:t>分类）</a:t>
            </a:r>
            <a:endParaRPr lang="zh-CN" altLang="en-US" sz="1400" b="0">
              <a:latin typeface="仿宋" panose="02010609060101010101" pitchFamily="3" charset="-122"/>
              <a:ea typeface="仿宋" panose="02010609060101010101" pitchFamily="3" charset="-122"/>
            </a:endParaRPr>
          </a:p>
        </c:rich>
      </c:tx>
      <c:layout>
        <c:manualLayout>
          <c:xMode val="edge"/>
          <c:yMode val="edge"/>
          <c:x val="0.126388888888889"/>
          <c:y val="0.837120962443044"/>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0"/>
              <c:delete val="1"/>
            </c:dLbl>
            <c:dLbl>
              <c:idx val="2"/>
              <c:delete val="1"/>
            </c:dLbl>
            <c:dLbl>
              <c:idx val="3"/>
              <c:delete val="1"/>
            </c:dLbl>
            <c:dLbl>
              <c:idx val="4"/>
              <c:delete val="1"/>
            </c:dLbl>
            <c:dLbl>
              <c:idx val="6"/>
              <c:delete val="1"/>
            </c:dLbl>
            <c:dLbl>
              <c:idx val="7"/>
              <c:delete val="1"/>
            </c:dLbl>
            <c:dLbl>
              <c:idx val="8"/>
              <c:delete val="1"/>
            </c:dLbl>
            <c:dLbl>
              <c:idx val="9"/>
              <c:delete val="1"/>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'[部门决算公开制图模板（修改版）(1).xlsx]支出决算结构'!$A$5:$A$23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'[部门决算公开制图模板（修改版）(1).xlsx]支出决算结构'!$B$5:$B$23</c:f>
              <c:numCache>
                <c:formatCode>General</c:formatCode>
                <c:ptCount val="19"/>
                <c:pt idx="1">
                  <c:v>551.17</c:v>
                </c:pt>
                <c:pt idx="5">
                  <c:v>50.32</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30"/>
    <customShpInfo spid="_x0000_s1029"/>
    <customShpInfo spid="_x0000_s1028"/>
    <customShpInfo spid="_x0000_s1027"/>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2EC7F4FC-5BE7-473F-BC11-8095817EF996}">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29</Pages>
  <Words>1607</Words>
  <Characters>9164</Characters>
  <Lines>76</Lines>
  <Paragraphs>21</Paragraphs>
  <TotalTime>4</TotalTime>
  <ScaleCrop>false</ScaleCrop>
  <LinksUpToDate>false</LinksUpToDate>
  <CharactersWithSpaces>10750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2024-06-20T12:41:36Z</dcterms:modified>
  <dc:subject>石家庄市xxx部门</dc:subject>
  <dc:title>2017年度部门决算</dc:title>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21DA51F1EB3C411FA48494C370A15B24</vt:lpwstr>
  </property>
</Properties>
</file>