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769" w:rsidRDefault="00F04782">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cstate="print"/>
                    <a:stretch>
                      <a:fillRect/>
                    </a:stretch>
                  </pic:blipFill>
                  <pic:spPr>
                    <a:xfrm>
                      <a:off x="0" y="0"/>
                      <a:ext cx="7576820" cy="10796905"/>
                    </a:xfrm>
                    <a:prstGeom prst="rect">
                      <a:avLst/>
                    </a:prstGeom>
                  </pic:spPr>
                </pic:pic>
              </a:graphicData>
            </a:graphic>
          </wp:anchor>
        </w:drawing>
      </w:r>
    </w:p>
    <w:p w:rsidR="00D86769" w:rsidRDefault="00FF5F70">
      <w:pPr>
        <w:widowControl/>
        <w:jc w:val="center"/>
        <w:rPr>
          <w:rFonts w:asciiTheme="minorEastAsia" w:eastAsiaTheme="minorEastAsia" w:hAnsi="宋体"/>
          <w:color w:val="002060"/>
          <w:sz w:val="72"/>
          <w:szCs w:val="72"/>
        </w:rPr>
      </w:pPr>
      <w:bookmarkStart w:id="0" w:name="_GoBack"/>
      <w:bookmarkEnd w:id="0"/>
      <w:r w:rsidRPr="00FF5F70">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38784"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filled="f" stroked="f" strokeweight=".5pt">
            <v:textbox>
              <w:txbxContent>
                <w:p w:rsidR="00D86769" w:rsidRDefault="00F0478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无极县委统战部</w:t>
                  </w:r>
                </w:p>
                <w:p w:rsidR="00D86769" w:rsidRDefault="00F04782">
                  <w:pPr>
                    <w:widowControl/>
                    <w:spacing w:line="1200" w:lineRule="exact"/>
                    <w:jc w:val="center"/>
                    <w:rPr>
                      <w:color w:val="FDEFBE"/>
                      <w:sz w:val="96"/>
                      <w:szCs w:val="96"/>
                    </w:rPr>
                  </w:pPr>
                  <w:r>
                    <w:rPr>
                      <w:rFonts w:asciiTheme="minorEastAsia" w:eastAsiaTheme="minorEastAsia" w:hAnsi="宋体" w:hint="eastAsia"/>
                      <w:color w:val="FDEFBE"/>
                      <w:sz w:val="96"/>
                      <w:szCs w:val="96"/>
                    </w:rPr>
                    <w:t>2018年度部门决算</w:t>
                  </w:r>
                </w:p>
                <w:p w:rsidR="00D86769" w:rsidRDefault="00D86769">
                  <w:pPr>
                    <w:rPr>
                      <w:color w:val="FDEFBE"/>
                      <w:sz w:val="96"/>
                      <w:szCs w:val="96"/>
                    </w:rPr>
                  </w:pPr>
                </w:p>
              </w:txbxContent>
            </v:textbox>
          </v:shape>
        </w:pict>
      </w: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Theme="minorEastAsia" w:eastAsiaTheme="minorEastAsia" w:hAnsiTheme="minorEastAsia"/>
          <w:b/>
          <w:sz w:val="72"/>
          <w:szCs w:val="72"/>
        </w:rPr>
      </w:pPr>
    </w:p>
    <w:p w:rsidR="00D86769" w:rsidRDefault="00D86769">
      <w:pPr>
        <w:widowControl/>
        <w:jc w:val="center"/>
        <w:rPr>
          <w:rFonts w:ascii="楷体" w:eastAsia="楷体" w:hAnsi="楷体" w:cs="楷体"/>
          <w:b/>
          <w:sz w:val="40"/>
          <w:szCs w:val="40"/>
        </w:rPr>
      </w:pPr>
    </w:p>
    <w:p w:rsidR="00D86769" w:rsidRDefault="00F04782">
      <w:pPr>
        <w:widowControl/>
        <w:jc w:val="center"/>
        <w:rPr>
          <w:rFonts w:ascii="楷体_GB2312" w:eastAsia="楷体_GB2312" w:hAnsi="楷体" w:cs="楷体"/>
          <w:b/>
          <w:sz w:val="40"/>
          <w:szCs w:val="40"/>
        </w:rPr>
        <w:sectPr w:rsidR="00D86769">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D86769" w:rsidRDefault="00F04782" w:rsidP="009A43F3">
      <w:pPr>
        <w:spacing w:beforeLines="200" w:after="0" w:line="1000" w:lineRule="exact"/>
        <w:jc w:val="center"/>
        <w:rPr>
          <w:rFonts w:ascii="黑体" w:eastAsia="黑体"/>
          <w:sz w:val="48"/>
          <w:szCs w:val="48"/>
        </w:rPr>
      </w:pPr>
      <w:r>
        <w:rPr>
          <w:rFonts w:ascii="黑体" w:eastAsia="黑体" w:hint="eastAsia"/>
          <w:sz w:val="48"/>
          <w:szCs w:val="48"/>
        </w:rPr>
        <w:lastRenderedPageBreak/>
        <w:t>目录</w:t>
      </w:r>
    </w:p>
    <w:p w:rsidR="00D86769" w:rsidRDefault="00D86769">
      <w:pPr>
        <w:widowControl/>
        <w:spacing w:line="580" w:lineRule="exact"/>
        <w:ind w:firstLineChars="200" w:firstLine="640"/>
        <w:rPr>
          <w:rFonts w:eastAsia="黑体"/>
          <w:sz w:val="32"/>
          <w:szCs w:val="32"/>
        </w:rPr>
      </w:pPr>
    </w:p>
    <w:p w:rsidR="00D86769" w:rsidRDefault="00F04782">
      <w:pPr>
        <w:widowControl/>
        <w:spacing w:line="580" w:lineRule="exact"/>
        <w:ind w:firstLineChars="200" w:firstLine="640"/>
        <w:rPr>
          <w:rFonts w:eastAsia="仿宋_GB2312"/>
          <w:sz w:val="24"/>
          <w:szCs w:val="32"/>
        </w:rPr>
      </w:pPr>
      <w:r>
        <w:rPr>
          <w:rFonts w:eastAsia="黑体"/>
          <w:sz w:val="32"/>
          <w:szCs w:val="32"/>
        </w:rPr>
        <w:t>第一部分部门概况</w:t>
      </w:r>
    </w:p>
    <w:p w:rsidR="00D86769" w:rsidRDefault="00F04782" w:rsidP="00FA3E3C">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D86769" w:rsidRDefault="00F04782" w:rsidP="00FA3E3C">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D86769" w:rsidRDefault="00F04782">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二、收入决算表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三、支出决算表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D86769" w:rsidRDefault="00D86769">
      <w:pPr>
        <w:widowControl/>
        <w:spacing w:line="580" w:lineRule="exact"/>
        <w:ind w:firstLineChars="200" w:firstLine="640"/>
        <w:rPr>
          <w:rFonts w:eastAsia="黑体"/>
          <w:sz w:val="32"/>
          <w:szCs w:val="32"/>
        </w:rPr>
      </w:pPr>
    </w:p>
    <w:p w:rsidR="00D86769" w:rsidRDefault="00F04782">
      <w:pPr>
        <w:widowControl/>
        <w:spacing w:line="580" w:lineRule="exact"/>
        <w:ind w:firstLineChars="200" w:firstLine="640"/>
        <w:rPr>
          <w:rFonts w:eastAsia="黑体"/>
          <w:sz w:val="32"/>
          <w:szCs w:val="32"/>
        </w:rPr>
      </w:pPr>
      <w:r>
        <w:rPr>
          <w:rFonts w:eastAsia="黑体"/>
          <w:sz w:val="32"/>
          <w:szCs w:val="32"/>
        </w:rPr>
        <w:t>第三部分</w:t>
      </w:r>
      <w:r>
        <w:rPr>
          <w:rFonts w:eastAsia="黑体" w:hint="eastAsia"/>
          <w:sz w:val="32"/>
          <w:szCs w:val="32"/>
        </w:rPr>
        <w:t>无极县委统战部</w:t>
      </w:r>
      <w:r>
        <w:rPr>
          <w:rFonts w:eastAsia="黑体"/>
          <w:sz w:val="32"/>
          <w:szCs w:val="32"/>
        </w:rPr>
        <w:t>201</w:t>
      </w:r>
      <w:r>
        <w:rPr>
          <w:rFonts w:eastAsia="黑体" w:hint="eastAsia"/>
          <w:sz w:val="32"/>
          <w:szCs w:val="32"/>
        </w:rPr>
        <w:t>8</w:t>
      </w:r>
      <w:r>
        <w:rPr>
          <w:rFonts w:eastAsia="黑体"/>
          <w:sz w:val="32"/>
          <w:szCs w:val="32"/>
        </w:rPr>
        <w:t>年部门决算情况说明</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D86769" w:rsidRDefault="00F04782">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D86769" w:rsidRDefault="00F04782">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D86769" w:rsidRDefault="00F04782">
      <w:pPr>
        <w:widowControl/>
        <w:spacing w:line="580" w:lineRule="exact"/>
        <w:ind w:firstLineChars="200" w:firstLine="640"/>
        <w:rPr>
          <w:rFonts w:eastAsia="黑体"/>
          <w:sz w:val="32"/>
          <w:szCs w:val="32"/>
        </w:rPr>
      </w:pPr>
      <w:r>
        <w:rPr>
          <w:rFonts w:eastAsia="黑体"/>
          <w:sz w:val="32"/>
          <w:szCs w:val="32"/>
        </w:rPr>
        <w:t>第四部分名词解释</w:t>
      </w:r>
    </w:p>
    <w:p w:rsidR="00D86769" w:rsidRDefault="00D86769">
      <w:pPr>
        <w:widowControl/>
        <w:spacing w:line="580" w:lineRule="exact"/>
        <w:ind w:firstLineChars="200" w:firstLine="640"/>
        <w:rPr>
          <w:rFonts w:eastAsia="黑体"/>
          <w:sz w:val="32"/>
          <w:szCs w:val="32"/>
        </w:rPr>
      </w:pPr>
    </w:p>
    <w:p w:rsidR="00D86769" w:rsidRDefault="00D86769">
      <w:pPr>
        <w:widowControl/>
        <w:spacing w:line="580" w:lineRule="exact"/>
        <w:ind w:firstLineChars="200" w:firstLine="640"/>
        <w:rPr>
          <w:rFonts w:eastAsia="黑体"/>
          <w:sz w:val="32"/>
          <w:szCs w:val="32"/>
        </w:rPr>
      </w:pPr>
    </w:p>
    <w:p w:rsidR="00D86769" w:rsidRDefault="00D86769">
      <w:pPr>
        <w:widowControl/>
        <w:spacing w:line="580" w:lineRule="exact"/>
        <w:ind w:firstLineChars="200" w:firstLine="640"/>
        <w:rPr>
          <w:rFonts w:eastAsia="黑体"/>
          <w:sz w:val="32"/>
          <w:szCs w:val="32"/>
        </w:rPr>
      </w:pPr>
    </w:p>
    <w:p w:rsidR="00D86769" w:rsidRDefault="00D86769">
      <w:pPr>
        <w:widowControl/>
        <w:spacing w:line="580" w:lineRule="exact"/>
        <w:ind w:firstLineChars="200" w:firstLine="640"/>
        <w:rPr>
          <w:rFonts w:eastAsia="黑体"/>
          <w:sz w:val="32"/>
          <w:szCs w:val="32"/>
        </w:rPr>
      </w:pPr>
    </w:p>
    <w:p w:rsidR="00D86769" w:rsidRDefault="00F04782">
      <w:r>
        <w:br w:type="page"/>
      </w:r>
    </w:p>
    <w:p w:rsidR="00D86769" w:rsidRDefault="00F04782">
      <w:r>
        <w:rPr>
          <w:rFonts w:ascii="宋体" w:hAnsi="宋体" w:cs="ArialUnicodeMS" w:hint="eastAsia"/>
          <w:noProof/>
          <w:color w:val="000000"/>
          <w:kern w:val="0"/>
        </w:rPr>
        <w:lastRenderedPageBreak/>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cstate="print"/>
                    <a:stretch>
                      <a:fillRect/>
                    </a:stretch>
                  </pic:blipFill>
                  <pic:spPr>
                    <a:xfrm>
                      <a:off x="0" y="0"/>
                      <a:ext cx="7585710" cy="10727055"/>
                    </a:xfrm>
                    <a:prstGeom prst="rect">
                      <a:avLst/>
                    </a:prstGeom>
                  </pic:spPr>
                </pic:pic>
              </a:graphicData>
            </a:graphic>
          </wp:anchor>
        </w:drawing>
      </w:r>
      <w:r w:rsidR="00FF5F70" w:rsidRPr="00FF5F70">
        <w:rPr>
          <w:sz w:val="72"/>
        </w:rPr>
        <w:pict>
          <v:shape id="_x0000_s1030" type="#_x0000_t202" style="position:absolute;left:0;text-align:left;margin-left:-97.3pt;margin-top:259.1pt;width:613.65pt;height:81.7pt;z-index:251652096;mso-position-horizontal-relative:text;mso-position-vertical-relative:text"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filled="f" stroked="f" strokeweight=".5pt">
            <v:textbox>
              <w:txbxContent>
                <w:p w:rsidR="00D86769" w:rsidRDefault="00F04782">
                  <w:pPr>
                    <w:widowControl/>
                    <w:jc w:val="center"/>
                    <w:rPr>
                      <w:color w:val="FDEFBE"/>
                      <w:sz w:val="96"/>
                      <w:szCs w:val="96"/>
                    </w:rPr>
                  </w:pPr>
                  <w:r>
                    <w:rPr>
                      <w:rFonts w:asciiTheme="minorEastAsia" w:eastAsiaTheme="minorEastAsia" w:hAnsi="宋体" w:hint="eastAsia"/>
                      <w:color w:val="FDEFBE"/>
                      <w:sz w:val="96"/>
                      <w:szCs w:val="96"/>
                    </w:rPr>
                    <w:t>第一部分部门概况</w:t>
                  </w:r>
                </w:p>
              </w:txbxContent>
            </v:textbox>
          </v:shape>
        </w:pict>
      </w:r>
    </w:p>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D86769"/>
    <w:p w:rsidR="00D86769" w:rsidRDefault="00F04782">
      <w:pPr>
        <w:pStyle w:val="1"/>
        <w:spacing w:before="0" w:after="0" w:line="600" w:lineRule="exact"/>
        <w:jc w:val="left"/>
        <w:rPr>
          <w:rFonts w:ascii="仿宋_GB2312" w:eastAsia="仿宋_GB2312" w:hAnsiTheme="minorHAnsi" w:cs="ArialUnicodeMS"/>
          <w:kern w:val="0"/>
          <w:sz w:val="32"/>
          <w:szCs w:val="32"/>
        </w:rPr>
      </w:pPr>
      <w:r>
        <w:rPr>
          <w:rFonts w:ascii="黑体" w:eastAsia="黑体" w:hAnsiTheme="minorHAnsi" w:cs="黑体" w:hint="eastAsia"/>
          <w:b w:val="0"/>
          <w:bCs w:val="0"/>
          <w:kern w:val="0"/>
          <w:sz w:val="32"/>
          <w:szCs w:val="32"/>
        </w:rPr>
        <w:lastRenderedPageBreak/>
        <w:t>一、部门职责</w:t>
      </w:r>
    </w:p>
    <w:p w:rsidR="00D86769" w:rsidRDefault="00F04782">
      <w:p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县委统战部是县委主管统一战线工作的职能部门，是县委在统战工作方面的参谋和助手。主要职责是：</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加强民主党派的工作，推动和帮助民主党派搞好自身建设。</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贯彻党的民族宗教政策，配合有关部门开展民族宗教统战理论的调查研究，搞好宗教活动的管理。</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做好党外干部的考察、举荐和管理工作，协助市委搞好人大、政协的党外人士安排工作。</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抓好海外统战工作，协调有关部门的关系，推动海外统战工作的开展。</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开展经济领域的统战工作，为经济建设服务。</w:t>
      </w:r>
    </w:p>
    <w:p w:rsidR="00D86769" w:rsidRDefault="00F04782">
      <w:pPr>
        <w:numPr>
          <w:ilvl w:val="0"/>
          <w:numId w:val="1"/>
        </w:numPr>
        <w:autoSpaceDE w:val="0"/>
        <w:autoSpaceDN w:val="0"/>
        <w:adjustRightInd w:val="0"/>
        <w:spacing w:after="0" w:line="560" w:lineRule="exact"/>
        <w:ind w:firstLineChars="200" w:firstLine="640"/>
        <w:jc w:val="left"/>
        <w:rPr>
          <w:rFonts w:ascii="仿宋" w:eastAsia="仿宋" w:hAnsi="仿宋" w:cs="ArialUnicodeMS"/>
          <w:kern w:val="0"/>
          <w:sz w:val="32"/>
          <w:szCs w:val="32"/>
        </w:rPr>
      </w:pPr>
      <w:r>
        <w:rPr>
          <w:rFonts w:ascii="仿宋" w:eastAsia="仿宋" w:hAnsi="仿宋" w:cs="ArialUnicodeMS" w:hint="eastAsia"/>
          <w:kern w:val="0"/>
          <w:sz w:val="32"/>
          <w:szCs w:val="32"/>
        </w:rPr>
        <w:t>指导基层统战工作。</w:t>
      </w:r>
    </w:p>
    <w:p w:rsidR="00D86769" w:rsidRDefault="00F04782">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D86769" w:rsidRDefault="00F04782">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从决算编报单位构成看，纳入2018 年度本部门决算汇编范围的独立核算单位（以下简称“单位”）共1个，具体情况如下：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D86769">
        <w:trPr>
          <w:trHeight w:val="811"/>
          <w:jc w:val="center"/>
        </w:trPr>
        <w:tc>
          <w:tcPr>
            <w:tcW w:w="985" w:type="dxa"/>
            <w:vAlign w:val="center"/>
          </w:tcPr>
          <w:p w:rsidR="00D86769" w:rsidRDefault="00F0478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D86769" w:rsidRDefault="00F0478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D86769" w:rsidRDefault="00F0478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D86769" w:rsidRDefault="00F04782">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D86769">
        <w:trPr>
          <w:trHeight w:val="596"/>
          <w:jc w:val="center"/>
        </w:trPr>
        <w:tc>
          <w:tcPr>
            <w:tcW w:w="985" w:type="dxa"/>
          </w:tcPr>
          <w:p w:rsidR="00D86769" w:rsidRDefault="00F04782">
            <w:pPr>
              <w:spacing w:after="0" w:line="560" w:lineRule="exact"/>
              <w:jc w:val="center"/>
              <w:rPr>
                <w:rFonts w:ascii="仿宋" w:eastAsia="仿宋" w:hAnsi="仿宋" w:cs="ArialUnicodeMS"/>
                <w:kern w:val="0"/>
                <w:sz w:val="28"/>
                <w:szCs w:val="28"/>
              </w:rPr>
            </w:pPr>
            <w:r>
              <w:rPr>
                <w:rFonts w:ascii="仿宋" w:eastAsia="仿宋" w:hAnsi="仿宋" w:cs="ArialUnicodeMS" w:hint="eastAsia"/>
                <w:kern w:val="0"/>
                <w:sz w:val="28"/>
                <w:szCs w:val="28"/>
              </w:rPr>
              <w:t>1</w:t>
            </w:r>
          </w:p>
        </w:tc>
        <w:tc>
          <w:tcPr>
            <w:tcW w:w="3485" w:type="dxa"/>
          </w:tcPr>
          <w:p w:rsidR="00D86769" w:rsidRDefault="00F04782">
            <w:pPr>
              <w:spacing w:after="0" w:line="560" w:lineRule="exact"/>
              <w:ind w:left="1680" w:hangingChars="600" w:hanging="1680"/>
              <w:rPr>
                <w:rFonts w:ascii="仿宋" w:eastAsia="仿宋" w:hAnsi="仿宋" w:cs="ArialUnicodeMS"/>
                <w:kern w:val="0"/>
                <w:sz w:val="28"/>
                <w:szCs w:val="28"/>
              </w:rPr>
            </w:pPr>
            <w:r>
              <w:rPr>
                <w:rFonts w:ascii="仿宋" w:eastAsia="仿宋" w:hAnsi="仿宋" w:cs="ArialUnicodeMS" w:hint="eastAsia"/>
                <w:kern w:val="0"/>
                <w:sz w:val="28"/>
                <w:szCs w:val="28"/>
              </w:rPr>
              <w:t>中国共产党无极县委员会统战部</w:t>
            </w:r>
          </w:p>
        </w:tc>
        <w:tc>
          <w:tcPr>
            <w:tcW w:w="2445" w:type="dxa"/>
          </w:tcPr>
          <w:p w:rsidR="00D86769" w:rsidRDefault="00F0478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行政单位</w:t>
            </w:r>
          </w:p>
        </w:tc>
        <w:tc>
          <w:tcPr>
            <w:tcW w:w="2665" w:type="dxa"/>
          </w:tcPr>
          <w:p w:rsidR="00D86769" w:rsidRDefault="00F04782">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bl>
    <w:p w:rsidR="00D86769" w:rsidRDefault="00D86769">
      <w:pPr>
        <w:widowControl/>
        <w:spacing w:line="560" w:lineRule="exact"/>
        <w:jc w:val="center"/>
        <w:rPr>
          <w:rFonts w:ascii="黑体" w:eastAsia="黑体" w:hAnsiTheme="minorHAnsi" w:cs="MS-UIGothic,Bold"/>
          <w:bCs/>
          <w:kern w:val="0"/>
          <w:sz w:val="52"/>
          <w:szCs w:val="52"/>
        </w:rPr>
      </w:pPr>
    </w:p>
    <w:p w:rsidR="00D86769" w:rsidRDefault="00D86769">
      <w:pPr>
        <w:widowControl/>
        <w:spacing w:line="560" w:lineRule="exact"/>
        <w:jc w:val="center"/>
        <w:rPr>
          <w:rFonts w:ascii="黑体" w:eastAsia="黑体" w:hAnsiTheme="minorHAnsi" w:cs="MS-UIGothic,Bold"/>
          <w:bCs/>
          <w:kern w:val="0"/>
          <w:sz w:val="52"/>
          <w:szCs w:val="52"/>
        </w:rPr>
        <w:sectPr w:rsidR="00D86769">
          <w:pgSz w:w="11906" w:h="16838"/>
          <w:pgMar w:top="2098" w:right="1474" w:bottom="1984" w:left="1588" w:header="851" w:footer="992" w:gutter="0"/>
          <w:cols w:space="0"/>
          <w:docGrid w:type="lines" w:linePitch="312"/>
        </w:sectPr>
      </w:pPr>
    </w:p>
    <w:p w:rsidR="00D86769" w:rsidRDefault="00F04782">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cstate="print"/>
                    <a:stretch>
                      <a:fillRect/>
                    </a:stretch>
                  </pic:blipFill>
                  <pic:spPr>
                    <a:xfrm>
                      <a:off x="0" y="0"/>
                      <a:ext cx="7571105" cy="10680065"/>
                    </a:xfrm>
                    <a:prstGeom prst="rect">
                      <a:avLst/>
                    </a:prstGeom>
                  </pic:spPr>
                </pic:pic>
              </a:graphicData>
            </a:graphic>
          </wp:anchor>
        </w:drawing>
      </w:r>
    </w:p>
    <w:p w:rsidR="00D86769" w:rsidRDefault="00D86769">
      <w:pPr>
        <w:widowControl/>
        <w:spacing w:line="560" w:lineRule="exact"/>
        <w:jc w:val="center"/>
        <w:rPr>
          <w:rFonts w:ascii="黑体" w:eastAsia="黑体" w:hAnsiTheme="minorHAnsi" w:cs="MS-UIGothic,Bold"/>
          <w:bCs/>
          <w:kern w:val="0"/>
          <w:sz w:val="52"/>
          <w:szCs w:val="52"/>
        </w:rPr>
      </w:pPr>
    </w:p>
    <w:p w:rsidR="00D86769" w:rsidRDefault="00D86769">
      <w:pPr>
        <w:rPr>
          <w:rFonts w:ascii="宋体" w:hAnsi="宋体" w:cs="ArialUnicodeMS"/>
          <w:color w:val="000000"/>
          <w:kern w:val="0"/>
        </w:rPr>
      </w:pPr>
    </w:p>
    <w:p w:rsidR="00D86769" w:rsidRDefault="00FF5F70">
      <w:pPr>
        <w:rPr>
          <w:rFonts w:ascii="宋体" w:hAnsi="宋体" w:cs="ArialUnicodeMS"/>
          <w:color w:val="000000"/>
          <w:kern w:val="0"/>
        </w:rPr>
        <w:sectPr w:rsidR="00D86769">
          <w:pgSz w:w="11906" w:h="16838"/>
          <w:pgMar w:top="2098" w:right="1474" w:bottom="1984" w:left="1588" w:header="851" w:footer="992" w:gutter="0"/>
          <w:cols w:space="0"/>
          <w:docGrid w:type="lines" w:linePitch="312"/>
        </w:sectPr>
      </w:pPr>
      <w:r w:rsidRPr="00FF5F70">
        <w:rPr>
          <w:sz w:val="72"/>
        </w:rPr>
        <w:pict>
          <v:shape id="_x0000_s1029" type="#_x0000_t202" style="position:absolute;left:0;text-align:left;margin-left:-74.2pt;margin-top:120.3pt;width:596.2pt;height:159.1pt;z-index:251641856"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filled="f" stroked="f" strokeweight=".5pt">
            <v:textbox>
              <w:txbxContent>
                <w:p w:rsidR="00D86769" w:rsidRDefault="00F0478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D86769" w:rsidRDefault="00F04782">
                  <w:pPr>
                    <w:widowControl/>
                    <w:spacing w:line="1200" w:lineRule="exact"/>
                    <w:jc w:val="center"/>
                    <w:rPr>
                      <w:color w:val="FDEFBE"/>
                      <w:sz w:val="96"/>
                      <w:szCs w:val="96"/>
                    </w:rPr>
                  </w:pPr>
                  <w:r>
                    <w:rPr>
                      <w:rFonts w:asciiTheme="minorEastAsia" w:eastAsiaTheme="minorEastAsia" w:hAnsi="宋体" w:hint="eastAsia"/>
                      <w:color w:val="FDEFBE"/>
                      <w:sz w:val="96"/>
                      <w:szCs w:val="96"/>
                    </w:rPr>
                    <w:t>2018年度部门决算报表</w:t>
                  </w:r>
                </w:p>
              </w:txbxContent>
            </v:textbox>
          </v:shape>
        </w:pict>
      </w:r>
    </w:p>
    <w:tbl>
      <w:tblPr>
        <w:tblW w:w="9300" w:type="dxa"/>
        <w:jc w:val="center"/>
        <w:tblLayout w:type="fixed"/>
        <w:tblCellMar>
          <w:left w:w="0" w:type="dxa"/>
          <w:right w:w="0" w:type="dxa"/>
        </w:tblCellMar>
        <w:tblLook w:val="04A0"/>
      </w:tblPr>
      <w:tblGrid>
        <w:gridCol w:w="2700"/>
        <w:gridCol w:w="567"/>
        <w:gridCol w:w="1336"/>
        <w:gridCol w:w="2700"/>
        <w:gridCol w:w="567"/>
        <w:gridCol w:w="1430"/>
      </w:tblGrid>
      <w:tr w:rsidR="00D86769">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D86769">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公开01表</w:t>
            </w:r>
          </w:p>
        </w:tc>
      </w:tr>
      <w:tr w:rsidR="00D86769">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86769">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D86769">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D86769">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D86769">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74.40</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73.64</w:t>
            </w: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0.46</w:t>
            </w: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0.3</w:t>
            </w: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74.40</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74.40</w:t>
            </w:r>
          </w:p>
        </w:tc>
      </w:tr>
      <w:tr w:rsidR="00D86769">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00" w:lineRule="exact"/>
              <w:jc w:val="right"/>
              <w:rPr>
                <w:rFonts w:ascii="宋体" w:hAnsi="宋体" w:cs="宋体"/>
                <w:color w:val="000000"/>
                <w:sz w:val="20"/>
                <w:szCs w:val="20"/>
              </w:rPr>
            </w:pPr>
          </w:p>
        </w:tc>
      </w:tr>
      <w:tr w:rsidR="00D86769">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74.40</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74.40</w:t>
            </w:r>
          </w:p>
        </w:tc>
      </w:tr>
      <w:tr w:rsidR="00D86769">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pPr w:leftFromText="180" w:rightFromText="180" w:vertAnchor="text" w:tblpXSpec="center" w:tblpY="1"/>
        <w:tblOverlap w:val="never"/>
        <w:tblW w:w="12160" w:type="dxa"/>
        <w:tblLayout w:type="fixed"/>
        <w:tblCellMar>
          <w:left w:w="0" w:type="dxa"/>
          <w:right w:w="0" w:type="dxa"/>
        </w:tblCellMar>
        <w:tblLook w:val="04A0"/>
      </w:tblPr>
      <w:tblGrid>
        <w:gridCol w:w="335"/>
        <w:gridCol w:w="179"/>
        <w:gridCol w:w="520"/>
        <w:gridCol w:w="1318"/>
        <w:gridCol w:w="533"/>
        <w:gridCol w:w="260"/>
        <w:gridCol w:w="127"/>
        <w:gridCol w:w="688"/>
        <w:gridCol w:w="232"/>
        <w:gridCol w:w="584"/>
        <w:gridCol w:w="337"/>
        <w:gridCol w:w="478"/>
        <w:gridCol w:w="442"/>
        <w:gridCol w:w="373"/>
        <w:gridCol w:w="548"/>
        <w:gridCol w:w="920"/>
        <w:gridCol w:w="926"/>
        <w:gridCol w:w="1680"/>
        <w:gridCol w:w="1680"/>
      </w:tblGrid>
      <w:tr w:rsidR="00D86769">
        <w:trPr>
          <w:gridAfter w:val="2"/>
          <w:wAfter w:w="3360" w:type="dxa"/>
          <w:trHeight w:val="771"/>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rsidR="00D86769" w:rsidRDefault="00F04782">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D86769">
        <w:trPr>
          <w:gridAfter w:val="2"/>
          <w:wAfter w:w="3360" w:type="dxa"/>
          <w:trHeight w:val="362"/>
        </w:trPr>
        <w:tc>
          <w:tcPr>
            <w:tcW w:w="335"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公开02表</w:t>
            </w:r>
          </w:p>
        </w:tc>
      </w:tr>
      <w:tr w:rsidR="00D86769">
        <w:trPr>
          <w:gridAfter w:val="2"/>
          <w:wAfter w:w="3360" w:type="dxa"/>
          <w:trHeight w:val="362"/>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26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86769">
        <w:trPr>
          <w:gridAfter w:val="2"/>
          <w:wAfter w:w="3360" w:type="dxa"/>
          <w:trHeight w:val="325"/>
        </w:trPr>
        <w:tc>
          <w:tcPr>
            <w:tcW w:w="2352" w:type="dxa"/>
            <w:gridSpan w:val="4"/>
            <w:tcBorders>
              <w:top w:val="single" w:sz="4" w:space="0" w:color="000000"/>
              <w:left w:val="single" w:sz="4" w:space="0" w:color="000000"/>
              <w:bottom w:val="single" w:sz="4" w:space="0" w:color="000000"/>
              <w:right w:val="single" w:sz="4" w:space="0" w:color="auto"/>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920" w:type="dxa"/>
            <w:gridSpan w:val="3"/>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920"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92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92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926"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D86769">
        <w:trPr>
          <w:gridAfter w:val="2"/>
          <w:wAfter w:w="3360" w:type="dxa"/>
          <w:trHeight w:val="626"/>
        </w:trPr>
        <w:tc>
          <w:tcPr>
            <w:tcW w:w="103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318"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20" w:type="dxa"/>
            <w:gridSpan w:val="3"/>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c>
          <w:tcPr>
            <w:tcW w:w="920"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c>
          <w:tcPr>
            <w:tcW w:w="92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c>
          <w:tcPr>
            <w:tcW w:w="92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c>
          <w:tcPr>
            <w:tcW w:w="926"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20"/>
                <w:szCs w:val="20"/>
              </w:rPr>
            </w:pPr>
          </w:p>
        </w:tc>
      </w:tr>
      <w:tr w:rsidR="00D86769">
        <w:trPr>
          <w:gridAfter w:val="2"/>
          <w:wAfter w:w="3360" w:type="dxa"/>
          <w:trHeight w:val="391"/>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92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920"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92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92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926"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D86769">
        <w:trPr>
          <w:gridAfter w:val="2"/>
          <w:wAfter w:w="3360" w:type="dxa"/>
          <w:trHeight w:val="90"/>
        </w:trPr>
        <w:tc>
          <w:tcPr>
            <w:tcW w:w="235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920"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74.4</w:t>
            </w: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74.4</w:t>
            </w: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center"/>
              <w:textAlignment w:val="center"/>
              <w:rPr>
                <w:rFonts w:ascii="宋体" w:hAnsi="宋体" w:cs="宋体"/>
                <w:color w:val="000000"/>
                <w:kern w:val="0"/>
                <w:sz w:val="18"/>
                <w:szCs w:val="18"/>
              </w:rPr>
            </w:pPr>
          </w:p>
        </w:tc>
        <w:tc>
          <w:tcPr>
            <w:tcW w:w="920"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 w:val="18"/>
                <w:szCs w:val="18"/>
              </w:rPr>
            </w:pPr>
          </w:p>
        </w:tc>
        <w:tc>
          <w:tcPr>
            <w:tcW w:w="921" w:type="dxa"/>
            <w:gridSpan w:val="2"/>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 w:val="18"/>
                <w:szCs w:val="18"/>
              </w:rPr>
            </w:pPr>
          </w:p>
        </w:tc>
        <w:tc>
          <w:tcPr>
            <w:tcW w:w="920"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 w:val="18"/>
                <w:szCs w:val="18"/>
              </w:rPr>
            </w:pPr>
          </w:p>
        </w:tc>
        <w:tc>
          <w:tcPr>
            <w:tcW w:w="926" w:type="dxa"/>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 w:val="18"/>
                <w:szCs w:val="18"/>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201</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一般公共服务支出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73.64</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73.64</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20124</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宗教事务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tcPr>
          <w:p w:rsidR="00D86769" w:rsidRDefault="00F04782">
            <w:r>
              <w:rPr>
                <w:rFonts w:cs="Arial" w:hint="eastAsia"/>
                <w:color w:val="000000"/>
                <w:sz w:val="22"/>
                <w:szCs w:val="22"/>
              </w:rPr>
              <w:t>10.84</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tcPr>
          <w:p w:rsidR="00D86769" w:rsidRDefault="00F04782">
            <w:r>
              <w:rPr>
                <w:rFonts w:cs="Arial" w:hint="eastAsia"/>
                <w:color w:val="000000"/>
                <w:sz w:val="22"/>
                <w:szCs w:val="22"/>
              </w:rPr>
              <w:t>10.84</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2012404</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宗教工作专项</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20134</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统战事务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2013401</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行政运行</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208</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社会保障和就业支出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20805</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行政事业单位离退休</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2080505</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机关事业单位基本养老保险缴费支出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210</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医疗卫生与计划生育支出</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371"/>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21007</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计划生育事务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gridAfter w:val="2"/>
          <w:wAfter w:w="3360" w:type="dxa"/>
          <w:trHeight w:val="444"/>
        </w:trPr>
        <w:tc>
          <w:tcPr>
            <w:tcW w:w="1034"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2100717</w:t>
            </w:r>
          </w:p>
        </w:tc>
        <w:tc>
          <w:tcPr>
            <w:tcW w:w="1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 w:val="18"/>
                <w:szCs w:val="18"/>
              </w:rPr>
            </w:pPr>
            <w:r>
              <w:rPr>
                <w:rFonts w:ascii="宋体" w:hAnsi="宋体" w:cs="宋体" w:hint="eastAsia"/>
                <w:color w:val="000000"/>
                <w:kern w:val="0"/>
                <w:sz w:val="18"/>
                <w:szCs w:val="18"/>
              </w:rPr>
              <w:t>计划生育服务</w:t>
            </w:r>
          </w:p>
        </w:tc>
        <w:tc>
          <w:tcPr>
            <w:tcW w:w="92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9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81"/>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lastRenderedPageBreak/>
              <w:t>注：本表反映部门本年度取得的各项收入情况。</w:t>
            </w:r>
          </w:p>
        </w:tc>
        <w:tc>
          <w:tcPr>
            <w:tcW w:w="1680" w:type="dxa"/>
          </w:tcPr>
          <w:p w:rsidR="00D86769" w:rsidRDefault="00D86769">
            <w:pPr>
              <w:widowControl/>
              <w:spacing w:after="0" w:line="240" w:lineRule="auto"/>
              <w:jc w:val="left"/>
            </w:pPr>
          </w:p>
        </w:tc>
        <w:tc>
          <w:tcPr>
            <w:tcW w:w="1680" w:type="dxa"/>
            <w:vAlign w:val="center"/>
          </w:tcPr>
          <w:p w:rsidR="00D86769" w:rsidRDefault="00D86769">
            <w:pPr>
              <w:ind w:right="440"/>
              <w:rPr>
                <w:rFonts w:ascii="宋体" w:hAnsi="宋体" w:cs="Arial"/>
                <w:color w:val="000000"/>
                <w:sz w:val="22"/>
                <w:szCs w:val="22"/>
              </w:rPr>
            </w:pP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tblPr>
      <w:tblGrid>
        <w:gridCol w:w="290"/>
        <w:gridCol w:w="289"/>
        <w:gridCol w:w="803"/>
        <w:gridCol w:w="1117"/>
        <w:gridCol w:w="647"/>
        <w:gridCol w:w="436"/>
        <w:gridCol w:w="682"/>
        <w:gridCol w:w="402"/>
        <w:gridCol w:w="718"/>
        <w:gridCol w:w="443"/>
        <w:gridCol w:w="675"/>
        <w:gridCol w:w="331"/>
        <w:gridCol w:w="789"/>
        <w:gridCol w:w="294"/>
        <w:gridCol w:w="1084"/>
      </w:tblGrid>
      <w:tr w:rsidR="00D86769">
        <w:trPr>
          <w:trHeight w:val="798"/>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D86769">
        <w:trPr>
          <w:trHeight w:val="404"/>
        </w:trPr>
        <w:tc>
          <w:tcPr>
            <w:tcW w:w="29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公开03表</w:t>
            </w:r>
          </w:p>
        </w:tc>
      </w:tr>
      <w:tr w:rsidR="00D86769">
        <w:trPr>
          <w:trHeight w:val="380"/>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86769">
        <w:trPr>
          <w:trHeight w:val="837"/>
        </w:trPr>
        <w:tc>
          <w:tcPr>
            <w:tcW w:w="249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1084"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61"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006"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1083"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D86769">
        <w:trPr>
          <w:trHeight w:val="78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161"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006"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083"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r>
      <w:tr w:rsidR="00D86769">
        <w:trPr>
          <w:trHeight w:val="395"/>
        </w:trPr>
        <w:tc>
          <w:tcPr>
            <w:tcW w:w="249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6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00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083"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D86769">
        <w:trPr>
          <w:trHeight w:val="440"/>
        </w:trPr>
        <w:tc>
          <w:tcPr>
            <w:tcW w:w="249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74.40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63.55</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10.84</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b/>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一般公共服务支出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73.64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20124</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宗教事务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2012404</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宗教工作专项</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10.84</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20134</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统战事务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2013401</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行政运行</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社会保障和就业支出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20805</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行政事业单位离退休</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2080505</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机关事业单位基本养老保险缴费支出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210</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医疗卫生与计划生育支出</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ascii="宋体" w:hAnsi="宋体" w:cs="Arial"/>
                <w:color w:val="000000"/>
                <w:sz w:val="22"/>
                <w:szCs w:val="22"/>
              </w:rPr>
            </w:pP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lastRenderedPageBreak/>
              <w:t>21007</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计划生育事务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3,000.00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3,000.00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0.00</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2100717</w:t>
            </w:r>
          </w:p>
        </w:tc>
        <w:tc>
          <w:tcPr>
            <w:tcW w:w="1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计划生育服务</w:t>
            </w: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3,000.00</w:t>
            </w:r>
          </w:p>
        </w:tc>
        <w:tc>
          <w:tcPr>
            <w:tcW w:w="1084"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3,000.00</w:t>
            </w:r>
          </w:p>
        </w:tc>
        <w:tc>
          <w:tcPr>
            <w:tcW w:w="1161"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0.00</w:t>
            </w:r>
          </w:p>
        </w:tc>
        <w:tc>
          <w:tcPr>
            <w:tcW w:w="100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748"/>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D86769" w:rsidRDefault="00D86769" w:rsidP="009A43F3">
      <w:pPr>
        <w:widowControl/>
        <w:spacing w:after="0" w:line="560" w:lineRule="exact"/>
        <w:ind w:firstLineChars="200" w:firstLine="562"/>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717"/>
        <w:gridCol w:w="745"/>
        <w:gridCol w:w="325"/>
        <w:gridCol w:w="850"/>
        <w:gridCol w:w="2124"/>
        <w:gridCol w:w="191"/>
        <w:gridCol w:w="360"/>
        <w:gridCol w:w="650"/>
        <w:gridCol w:w="226"/>
        <w:gridCol w:w="599"/>
        <w:gridCol w:w="277"/>
        <w:gridCol w:w="876"/>
      </w:tblGrid>
      <w:tr w:rsidR="00D86769">
        <w:trPr>
          <w:trHeight w:val="152"/>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D86769">
        <w:trPr>
          <w:trHeight w:val="90"/>
        </w:trPr>
        <w:tc>
          <w:tcPr>
            <w:tcW w:w="171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公开04表</w:t>
            </w:r>
          </w:p>
        </w:tc>
      </w:tr>
      <w:tr w:rsidR="00D86769">
        <w:trPr>
          <w:trHeight w:val="152"/>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86769">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收入</w:t>
            </w:r>
          </w:p>
        </w:tc>
        <w:tc>
          <w:tcPr>
            <w:tcW w:w="6153"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支出</w:t>
            </w:r>
          </w:p>
        </w:tc>
      </w:tr>
      <w:tr w:rsidR="00D86769">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D86769">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73.64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73.64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0.46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0.46</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0.3</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231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876"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74.4</w:t>
            </w:r>
          </w:p>
        </w:tc>
        <w:tc>
          <w:tcPr>
            <w:tcW w:w="87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 w:val="18"/>
                <w:szCs w:val="18"/>
              </w:rPr>
            </w:pPr>
          </w:p>
        </w:tc>
      </w:tr>
      <w:tr w:rsidR="00D86769">
        <w:trPr>
          <w:trHeight w:val="155"/>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317"/>
        <w:gridCol w:w="319"/>
        <w:gridCol w:w="357"/>
        <w:gridCol w:w="2109"/>
        <w:gridCol w:w="745"/>
        <w:gridCol w:w="1174"/>
        <w:gridCol w:w="718"/>
        <w:gridCol w:w="1201"/>
        <w:gridCol w:w="1920"/>
      </w:tblGrid>
      <w:tr w:rsidR="00D86769">
        <w:trPr>
          <w:trHeight w:val="600"/>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rsidR="00D86769" w:rsidRDefault="00F04782">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D86769">
        <w:trPr>
          <w:trHeight w:val="334"/>
        </w:trPr>
        <w:tc>
          <w:tcPr>
            <w:tcW w:w="31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公开05表</w:t>
            </w:r>
          </w:p>
        </w:tc>
      </w:tr>
      <w:tr w:rsidR="00D86769">
        <w:trPr>
          <w:trHeight w:val="334"/>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86769">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D86769">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D86769">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r>
      <w:tr w:rsidR="00D86769">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tLeast"/>
              <w:jc w:val="center"/>
              <w:rPr>
                <w:rFonts w:ascii="宋体" w:hAnsi="宋体" w:cs="宋体"/>
                <w:color w:val="000000"/>
                <w:szCs w:val="21"/>
              </w:rPr>
            </w:pPr>
          </w:p>
        </w:tc>
      </w:tr>
      <w:tr w:rsidR="00D86769">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D86769">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74.4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63.55</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10.84</w:t>
            </w: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一般公共服务支出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73.64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Cs w:val="21"/>
              </w:rPr>
            </w:pPr>
            <w:r>
              <w:rPr>
                <w:rFonts w:ascii="宋体" w:hAnsi="宋体" w:cs="宋体" w:hint="eastAsia"/>
                <w:color w:val="000000"/>
                <w:szCs w:val="21"/>
              </w:rPr>
              <w:t>10.84</w:t>
            </w: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rPr>
                <w:rFonts w:ascii="宋体" w:hAnsi="宋体" w:cs="Arial"/>
                <w:color w:val="000000"/>
                <w:sz w:val="22"/>
                <w:szCs w:val="22"/>
              </w:rPr>
            </w:pPr>
            <w:r>
              <w:rPr>
                <w:rFonts w:cs="Arial" w:hint="eastAsia"/>
                <w:color w:val="000000"/>
                <w:sz w:val="22"/>
                <w:szCs w:val="22"/>
              </w:rPr>
              <w:t>20124</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rPr>
                <w:rFonts w:ascii="宋体" w:hAnsi="宋体" w:cs="Arial"/>
                <w:color w:val="000000"/>
                <w:sz w:val="22"/>
                <w:szCs w:val="22"/>
              </w:rPr>
            </w:pPr>
            <w:r>
              <w:rPr>
                <w:rFonts w:cs="Arial" w:hint="eastAsia"/>
                <w:color w:val="000000"/>
                <w:sz w:val="22"/>
                <w:szCs w:val="22"/>
              </w:rPr>
              <w:t>宗教事务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cs="Arial"/>
                <w:color w:val="000000"/>
                <w:sz w:val="22"/>
                <w:szCs w:val="22"/>
              </w:rPr>
            </w:pPr>
            <w:r>
              <w:rPr>
                <w:rFonts w:cs="Arial" w:hint="eastAsia"/>
                <w:color w:val="000000"/>
                <w:sz w:val="22"/>
                <w:szCs w:val="22"/>
              </w:rPr>
              <w:t>10.84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cs="Arial"/>
                <w:color w:val="000000"/>
                <w:sz w:val="22"/>
                <w:szCs w:val="22"/>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Cs w:val="21"/>
              </w:rPr>
            </w:pPr>
            <w:r>
              <w:rPr>
                <w:rFonts w:ascii="宋体" w:hAnsi="宋体" w:cs="宋体" w:hint="eastAsia"/>
                <w:color w:val="000000"/>
                <w:szCs w:val="21"/>
              </w:rPr>
              <w:t>10.84</w:t>
            </w: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rPr>
                <w:rFonts w:ascii="宋体" w:hAnsi="宋体" w:cs="Arial"/>
                <w:color w:val="000000"/>
                <w:sz w:val="22"/>
                <w:szCs w:val="22"/>
              </w:rPr>
            </w:pPr>
            <w:r>
              <w:rPr>
                <w:rFonts w:cs="Arial" w:hint="eastAsia"/>
                <w:color w:val="000000"/>
                <w:sz w:val="22"/>
                <w:szCs w:val="22"/>
              </w:rPr>
              <w:t>2012404</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rPr>
                <w:rFonts w:ascii="宋体" w:hAnsi="宋体" w:cs="Arial"/>
                <w:color w:val="000000"/>
                <w:sz w:val="22"/>
                <w:szCs w:val="22"/>
              </w:rPr>
            </w:pPr>
            <w:r>
              <w:rPr>
                <w:rFonts w:cs="Arial" w:hint="eastAsia"/>
                <w:color w:val="000000"/>
                <w:sz w:val="22"/>
                <w:szCs w:val="22"/>
              </w:rPr>
              <w:t>宗教工作专项</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cs="Arial"/>
                <w:color w:val="000000"/>
                <w:sz w:val="22"/>
                <w:szCs w:val="22"/>
              </w:rPr>
            </w:pPr>
            <w:r>
              <w:rPr>
                <w:rFonts w:cs="Arial" w:hint="eastAsia"/>
                <w:color w:val="000000"/>
                <w:sz w:val="22"/>
                <w:szCs w:val="22"/>
              </w:rPr>
              <w:t>10.84</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jc w:val="right"/>
              <w:rPr>
                <w:rFonts w:cs="Arial"/>
                <w:color w:val="000000"/>
                <w:sz w:val="22"/>
                <w:szCs w:val="22"/>
              </w:rPr>
            </w:pP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right"/>
              <w:rPr>
                <w:rFonts w:ascii="宋体" w:hAnsi="宋体" w:cs="宋体"/>
                <w:color w:val="000000"/>
                <w:szCs w:val="21"/>
              </w:rPr>
            </w:pPr>
            <w:r>
              <w:rPr>
                <w:rFonts w:ascii="宋体" w:hAnsi="宋体" w:cs="宋体" w:hint="eastAsia"/>
                <w:color w:val="000000"/>
                <w:szCs w:val="21"/>
              </w:rPr>
              <w:t>10.84</w:t>
            </w: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20134</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统战事务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2013401</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行政运行</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62.80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社会保障和就业支出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20805</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行政事业单位离退休</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2080505</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机关事业单位基本养老保险缴费支出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0.46</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210</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医疗卫生与计划生育支出</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21007</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计划生育事务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2100717</w:t>
            </w:r>
          </w:p>
        </w:tc>
        <w:tc>
          <w:tcPr>
            <w:tcW w:w="21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tLeast"/>
              <w:jc w:val="center"/>
              <w:textAlignment w:val="center"/>
              <w:rPr>
                <w:rFonts w:ascii="宋体" w:hAnsi="宋体" w:cs="宋体"/>
                <w:color w:val="000000"/>
                <w:kern w:val="0"/>
                <w:szCs w:val="21"/>
              </w:rPr>
            </w:pPr>
            <w:r>
              <w:rPr>
                <w:rFonts w:ascii="宋体" w:hAnsi="宋体" w:cs="宋体" w:hint="eastAsia"/>
                <w:color w:val="000000"/>
                <w:kern w:val="0"/>
                <w:szCs w:val="21"/>
              </w:rPr>
              <w:t>计划生育服务</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19"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jc w:val="right"/>
              <w:rPr>
                <w:rFonts w:ascii="宋体" w:hAnsi="宋体" w:cs="Arial"/>
                <w:color w:val="000000"/>
                <w:sz w:val="22"/>
                <w:szCs w:val="22"/>
              </w:rPr>
            </w:pPr>
            <w:r>
              <w:rPr>
                <w:rFonts w:cs="Arial" w:hint="eastAsia"/>
                <w:color w:val="000000"/>
                <w:sz w:val="22"/>
                <w:szCs w:val="22"/>
              </w:rPr>
              <w:t>0.30</w:t>
            </w:r>
          </w:p>
        </w:tc>
        <w:tc>
          <w:tcPr>
            <w:tcW w:w="192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tLeast"/>
              <w:jc w:val="right"/>
              <w:rPr>
                <w:rFonts w:ascii="宋体" w:hAnsi="宋体" w:cs="宋体"/>
                <w:color w:val="000000"/>
                <w:szCs w:val="21"/>
              </w:rPr>
            </w:pPr>
          </w:p>
        </w:tc>
      </w:tr>
      <w:tr w:rsidR="00D86769">
        <w:trPr>
          <w:trHeight w:val="368"/>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注：本表反映部门本年度一般公共预算财政拨款收入及支出情况。</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tblPr>
      <w:tblGrid>
        <w:gridCol w:w="558"/>
        <w:gridCol w:w="1597"/>
        <w:gridCol w:w="840"/>
        <w:gridCol w:w="477"/>
        <w:gridCol w:w="1763"/>
        <w:gridCol w:w="740"/>
        <w:gridCol w:w="560"/>
        <w:gridCol w:w="1788"/>
        <w:gridCol w:w="857"/>
      </w:tblGrid>
      <w:tr w:rsidR="00D86769">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D86769">
        <w:trPr>
          <w:trHeight w:val="269"/>
          <w:jc w:val="center"/>
        </w:trPr>
        <w:tc>
          <w:tcPr>
            <w:tcW w:w="558"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公开06表</w:t>
            </w:r>
          </w:p>
        </w:tc>
      </w:tr>
      <w:tr w:rsidR="00D86769">
        <w:trPr>
          <w:trHeight w:val="269"/>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部门：</w:t>
            </w:r>
          </w:p>
        </w:tc>
        <w:tc>
          <w:tcPr>
            <w:tcW w:w="74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D86769">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D86769">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D86769">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pacing w:after="0" w:line="240" w:lineRule="auto"/>
              <w:jc w:val="center"/>
              <w:rPr>
                <w:rFonts w:ascii="宋体" w:hAnsi="宋体" w:cs="宋体"/>
                <w:color w:val="000000"/>
                <w:sz w:val="22"/>
                <w:szCs w:val="22"/>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51.62</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9.16</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基本工资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37.79</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办公费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2.8</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国内债务付息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津贴补贴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2.47</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印刷费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0.4</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国外债务付息</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奖金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10.9</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咨询费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伙食补助费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手续费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房屋建筑物购建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绩效工资</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水费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办公设备购置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机关事业单位基本养老保险缴费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0.46</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0.28</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专用设备购置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职业年金缴费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邮电费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0.02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基础设施建设</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职工基本医疗保险缴费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取暖费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大型修缮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公务员医疗补助缴费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物业管理费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信息网络及软件购置更新</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其他社会保障缴费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差旅费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物资储备</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住房公积金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因公出国（境）费用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土地补偿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医疗费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维修（护）费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安置补助</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其他工资福利支出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租赁费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地上附着物和青苗补偿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会议费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拆迁补偿</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离休费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培训费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公务用车购置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退休费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2.48</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公务接待费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其他交通工具购置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退职（役）费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专用材料费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文物和陈列品购置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抚恤金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被装购置费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无形资产购置</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生活补助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专用燃料费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其他资本性支出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救济费</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劳务费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医疗费补助</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委托业务费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赠与</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助学金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工会经费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国家赔偿费用支出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奖励金</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0.3</w:t>
            </w: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福利费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对民间非营利组织和群众性自治组织补贴</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个人农业生产补贴</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公务用车运行维护费</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2.74</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其他对个人和家庭的补助支出</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其他交通费用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2.92</w:t>
            </w: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税金及附加费用</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其他商品和服务支出</w:t>
            </w:r>
          </w:p>
        </w:tc>
        <w:tc>
          <w:tcPr>
            <w:tcW w:w="7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napToGrid w:val="0"/>
              <w:spacing w:after="0" w:line="240" w:lineRule="auto"/>
              <w:jc w:val="right"/>
              <w:rPr>
                <w:rFonts w:ascii="宋体" w:hAnsi="宋体" w:cs="宋体"/>
                <w:color w:val="000000"/>
                <w:sz w:val="20"/>
                <w:szCs w:val="20"/>
              </w:rPr>
            </w:pPr>
          </w:p>
        </w:tc>
      </w:tr>
      <w:tr w:rsidR="00D86769">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54.39</w:t>
            </w:r>
          </w:p>
        </w:tc>
        <w:tc>
          <w:tcPr>
            <w:tcW w:w="5328"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9.15</w:t>
            </w:r>
          </w:p>
        </w:tc>
      </w:tr>
      <w:tr w:rsidR="00D86769">
        <w:trPr>
          <w:trHeight w:val="277"/>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tblPr>
      <w:tblGrid>
        <w:gridCol w:w="1158"/>
        <w:gridCol w:w="1527"/>
        <w:gridCol w:w="1528"/>
        <w:gridCol w:w="1530"/>
        <w:gridCol w:w="1530"/>
        <w:gridCol w:w="1527"/>
      </w:tblGrid>
      <w:tr w:rsidR="00D86769">
        <w:trPr>
          <w:trHeight w:val="584"/>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D86769">
        <w:trPr>
          <w:trHeight w:val="347"/>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公开07表</w:t>
            </w:r>
          </w:p>
        </w:tc>
      </w:tr>
      <w:tr w:rsidR="00D86769">
        <w:trPr>
          <w:trHeight w:val="347"/>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D86769">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D86769">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D86769">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r>
      <w:tr w:rsidR="00D86769">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86769">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3</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D86769">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D86769">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r>
      <w:tr w:rsidR="00D86769">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D86769">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2.74</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2.74</w:t>
            </w: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2.74</w:t>
            </w:r>
          </w:p>
        </w:tc>
        <w:tc>
          <w:tcPr>
            <w:tcW w:w="1527"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tblPr>
      <w:tblGrid>
        <w:gridCol w:w="296"/>
        <w:gridCol w:w="191"/>
        <w:gridCol w:w="479"/>
        <w:gridCol w:w="669"/>
        <w:gridCol w:w="376"/>
        <w:gridCol w:w="1166"/>
        <w:gridCol w:w="840"/>
        <w:gridCol w:w="1191"/>
        <w:gridCol w:w="1192"/>
        <w:gridCol w:w="1192"/>
        <w:gridCol w:w="1268"/>
      </w:tblGrid>
      <w:tr w:rsidR="00D86769">
        <w:trPr>
          <w:trHeight w:val="707"/>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D86769">
        <w:trPr>
          <w:trHeight w:val="315"/>
        </w:trPr>
        <w:tc>
          <w:tcPr>
            <w:tcW w:w="296"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公开08表</w:t>
            </w:r>
          </w:p>
        </w:tc>
      </w:tr>
      <w:tr w:rsidR="00D86769">
        <w:trPr>
          <w:trHeight w:val="411"/>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86769">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D86769">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r>
      <w:tr w:rsidR="00D86769">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r>
      <w:tr w:rsidR="00D86769">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D86769">
            <w:pPr>
              <w:widowControl/>
              <w:adjustRightInd w:val="0"/>
              <w:spacing w:after="0" w:line="240" w:lineRule="auto"/>
              <w:jc w:val="center"/>
              <w:rPr>
                <w:rFonts w:ascii="宋体" w:hAnsi="宋体" w:cs="宋体"/>
                <w:color w:val="000000"/>
                <w:szCs w:val="21"/>
              </w:rPr>
            </w:pPr>
          </w:p>
        </w:tc>
      </w:tr>
      <w:tr w:rsidR="00D86769">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86769">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b/>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pacing w:after="0" w:line="240" w:lineRule="auto"/>
              <w:jc w:val="right"/>
              <w:rPr>
                <w:rFonts w:ascii="宋体" w:hAnsi="宋体" w:cs="宋体"/>
                <w:color w:val="000000"/>
                <w:szCs w:val="21"/>
              </w:rPr>
            </w:pPr>
          </w:p>
        </w:tc>
      </w:tr>
      <w:tr w:rsidR="00D86769">
        <w:trPr>
          <w:trHeight w:val="324"/>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注：本部门本年度无政府性基金预算财政拨款收入、支出及结转和结余情况，以空表列示。</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tblPr>
      <w:tblGrid>
        <w:gridCol w:w="442"/>
        <w:gridCol w:w="208"/>
        <w:gridCol w:w="504"/>
        <w:gridCol w:w="274"/>
        <w:gridCol w:w="894"/>
        <w:gridCol w:w="783"/>
        <w:gridCol w:w="252"/>
        <w:gridCol w:w="1646"/>
        <w:gridCol w:w="359"/>
        <w:gridCol w:w="1539"/>
        <w:gridCol w:w="1899"/>
      </w:tblGrid>
      <w:tr w:rsidR="00D86769">
        <w:trPr>
          <w:trHeight w:val="656"/>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D86769">
        <w:trPr>
          <w:trHeight w:val="335"/>
        </w:trPr>
        <w:tc>
          <w:tcPr>
            <w:tcW w:w="442"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公开09表</w:t>
            </w:r>
          </w:p>
        </w:tc>
      </w:tr>
      <w:tr w:rsidR="00D86769">
        <w:trPr>
          <w:trHeight w:val="335"/>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D86769">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D86769">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D86769">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D86769">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spacing w:after="0" w:line="240" w:lineRule="auto"/>
              <w:jc w:val="right"/>
              <w:rPr>
                <w:rFonts w:ascii="宋体" w:hAnsi="宋体" w:cs="宋体"/>
                <w:color w:val="000000"/>
                <w:sz w:val="22"/>
                <w:szCs w:val="22"/>
              </w:rPr>
            </w:pPr>
          </w:p>
        </w:tc>
      </w:tr>
      <w:tr w:rsidR="00D86769">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D86769" w:rsidRDefault="00F04782">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注：本部门本年度无国有资本经营预算财政拨款支出情况，以空表列示。</w:t>
            </w:r>
          </w:p>
        </w:tc>
      </w:tr>
    </w:tbl>
    <w:p w:rsidR="00D86769" w:rsidRDefault="00D86769">
      <w:pPr>
        <w:widowControl/>
        <w:spacing w:after="0" w:line="560" w:lineRule="exact"/>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tblPr>
      <w:tblGrid>
        <w:gridCol w:w="1901"/>
        <w:gridCol w:w="1203"/>
        <w:gridCol w:w="790"/>
        <w:gridCol w:w="362"/>
        <w:gridCol w:w="911"/>
        <w:gridCol w:w="241"/>
        <w:gridCol w:w="1032"/>
        <w:gridCol w:w="120"/>
        <w:gridCol w:w="1154"/>
        <w:gridCol w:w="1226"/>
      </w:tblGrid>
      <w:tr w:rsidR="00D86769">
        <w:trPr>
          <w:trHeight w:val="635"/>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D86769">
        <w:trPr>
          <w:trHeight w:val="326"/>
        </w:trPr>
        <w:tc>
          <w:tcPr>
            <w:tcW w:w="1901"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公开10表</w:t>
            </w:r>
          </w:p>
        </w:tc>
      </w:tr>
      <w:tr w:rsidR="00D86769">
        <w:trPr>
          <w:trHeight w:val="360"/>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D86769">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D86769">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D86769">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r>
      <w:tr w:rsidR="00D86769">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86769">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50"/>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D86769">
        <w:trPr>
          <w:trHeight w:val="350"/>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D86769">
        <w:trPr>
          <w:trHeight w:val="543"/>
        </w:trPr>
        <w:tc>
          <w:tcPr>
            <w:tcW w:w="1901" w:type="dxa"/>
            <w:vMerge/>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center"/>
              <w:rPr>
                <w:rFonts w:ascii="宋体" w:hAnsi="宋体" w:cs="宋体"/>
                <w:color w:val="000000"/>
                <w:szCs w:val="21"/>
              </w:rPr>
            </w:pPr>
          </w:p>
        </w:tc>
      </w:tr>
      <w:tr w:rsidR="00D86769">
        <w:trPr>
          <w:trHeight w:val="309"/>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D86769">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35"/>
        </w:trPr>
        <w:tc>
          <w:tcPr>
            <w:tcW w:w="19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D86769" w:rsidRDefault="00D86769">
            <w:pPr>
              <w:widowControl/>
              <w:adjustRightInd w:val="0"/>
              <w:snapToGrid w:val="0"/>
              <w:spacing w:after="0" w:line="240" w:lineRule="auto"/>
              <w:jc w:val="right"/>
              <w:rPr>
                <w:rFonts w:ascii="宋体" w:hAnsi="宋体" w:cs="宋体"/>
                <w:color w:val="000000"/>
                <w:szCs w:val="21"/>
              </w:rPr>
            </w:pPr>
          </w:p>
        </w:tc>
      </w:tr>
      <w:tr w:rsidR="00D86769">
        <w:trPr>
          <w:trHeight w:val="398"/>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rsidR="00D86769" w:rsidRDefault="00F04782">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注：本部门本年度无纳入部门预算范围的政府采购预算及支出情况，以空表列示</w:t>
            </w:r>
          </w:p>
        </w:tc>
      </w:tr>
    </w:tbl>
    <w:p w:rsidR="00D86769" w:rsidRDefault="00D86769">
      <w:pPr>
        <w:widowControl/>
        <w:spacing w:after="0" w:line="560" w:lineRule="exact"/>
        <w:jc w:val="left"/>
        <w:rPr>
          <w:rFonts w:ascii="仿宋_GB2312" w:eastAsia="仿宋_GB2312" w:hAnsiTheme="majorEastAsia"/>
          <w:b/>
          <w:sz w:val="28"/>
          <w:szCs w:val="28"/>
          <w:highlight w:val="yellow"/>
        </w:rPr>
      </w:pPr>
    </w:p>
    <w:p w:rsidR="00D86769" w:rsidRDefault="00D86769"/>
    <w:p w:rsidR="00D86769" w:rsidRDefault="00D86769"/>
    <w:p w:rsidR="00D86769" w:rsidRDefault="00D86769"/>
    <w:p w:rsidR="00D86769" w:rsidRDefault="00D86769"/>
    <w:p w:rsidR="00D86769" w:rsidRDefault="00F04782">
      <w:pPr>
        <w:tabs>
          <w:tab w:val="left" w:pos="1086"/>
        </w:tabs>
        <w:jc w:val="left"/>
        <w:rPr>
          <w:rFonts w:ascii="仿宋_GB2312" w:eastAsia="仿宋_GB2312" w:hAnsiTheme="majorEastAsia"/>
          <w:b/>
          <w:sz w:val="28"/>
          <w:szCs w:val="28"/>
          <w:highlight w:val="yellow"/>
        </w:rPr>
        <w:sectPr w:rsidR="00D86769">
          <w:pgSz w:w="11906" w:h="16838"/>
          <w:pgMar w:top="2098" w:right="1474" w:bottom="1984" w:left="1588" w:header="851" w:footer="992" w:gutter="0"/>
          <w:cols w:space="0"/>
          <w:docGrid w:type="lines" w:linePitch="312"/>
        </w:sectPr>
      </w:pPr>
      <w:r>
        <w:rPr>
          <w:rFonts w:hint="eastAsia"/>
        </w:rPr>
        <w:tab/>
      </w:r>
    </w:p>
    <w:p w:rsidR="00D86769" w:rsidRDefault="00F04782">
      <w:pPr>
        <w:rPr>
          <w:rFonts w:ascii="宋体" w:hAnsi="宋体" w:cs="ArialUnicodeMS"/>
          <w:color w:val="000000"/>
          <w:kern w:val="0"/>
        </w:rPr>
        <w:sectPr w:rsidR="00D86769">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sidR="00FF5F70" w:rsidRPr="00FF5F70">
        <w:rPr>
          <w:sz w:val="72"/>
        </w:rPr>
        <w:pict>
          <v:shape id="_x0000_s1028" type="#_x0000_t202" style="position:absolute;left:0;text-align:left;margin-left:-78.7pt;margin-top:232.8pt;width:596.2pt;height:159.1pt;z-index:251643904;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filled="f" stroked="f" strokeweight=".5pt">
            <v:textbox>
              <w:txbxContent>
                <w:p w:rsidR="00D86769" w:rsidRDefault="00F0478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D86769" w:rsidRDefault="00F04782">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D86769" w:rsidRDefault="00F04782">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本部门2018年度收支总计（含结转和结余）74.4万元。与2017年度决算相比，收支各减少15.12万元，下降16.89%，主要原因是人员工资调整及设备购置减少。</w:t>
      </w:r>
    </w:p>
    <w:p w:rsidR="00D86769" w:rsidRDefault="00F04782">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本部门2018年度本年收入合计74.4万元，其中：财政拨款收入74.4万元，占100%；事业收入0万元，占0%；经营收入0万元，占0%；其他收入0万元，占0%。如图所示：</w:t>
      </w:r>
    </w:p>
    <w:p w:rsidR="00D86769" w:rsidRDefault="00F04782">
      <w:pPr>
        <w:adjustRightInd w:val="0"/>
        <w:snapToGrid w:val="0"/>
        <w:spacing w:after="0" w:line="580" w:lineRule="exact"/>
        <w:ind w:firstLineChars="200" w:firstLine="420"/>
        <w:rPr>
          <w:rFonts w:ascii="仿宋_GB2312" w:eastAsia="仿宋_GB2312" w:cs="DengXian-Regular"/>
          <w:sz w:val="32"/>
          <w:szCs w:val="32"/>
        </w:rPr>
      </w:pPr>
      <w:r>
        <w:rPr>
          <w:noProof/>
        </w:rPr>
        <w:drawing>
          <wp:anchor distT="0" distB="0" distL="114300" distR="114300" simplePos="0" relativeHeight="251653120" behindDoc="1" locked="0" layoutInCell="1" allowOverlap="1">
            <wp:simplePos x="0" y="0"/>
            <wp:positionH relativeFrom="column">
              <wp:posOffset>556895</wp:posOffset>
            </wp:positionH>
            <wp:positionV relativeFrom="paragraph">
              <wp:posOffset>173355</wp:posOffset>
            </wp:positionV>
            <wp:extent cx="4391025" cy="2552700"/>
            <wp:effectExtent l="57150" t="0" r="28575" b="95250"/>
            <wp:wrapTight wrapText="bothSides">
              <wp:wrapPolygon edited="0">
                <wp:start x="-187" y="0"/>
                <wp:lineTo x="-281" y="0"/>
                <wp:lineTo x="-281" y="22406"/>
                <wp:lineTo x="21741" y="22406"/>
                <wp:lineTo x="21741" y="2579"/>
                <wp:lineTo x="21647" y="161"/>
                <wp:lineTo x="21647" y="0"/>
                <wp:lineTo x="-187" y="0"/>
              </wp:wrapPolygon>
            </wp:wrapTight>
            <wp:docPr id="18"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F04782">
      <w:pPr>
        <w:adjustRightInd w:val="0"/>
        <w:snapToGrid w:val="0"/>
        <w:spacing w:after="0" w:line="580" w:lineRule="exact"/>
        <w:rPr>
          <w:rFonts w:ascii="仿宋_GB2312" w:eastAsia="仿宋_GB2312" w:cs="DengXian-Regular"/>
          <w:sz w:val="32"/>
          <w:szCs w:val="32"/>
        </w:rPr>
      </w:pPr>
      <w:r>
        <w:rPr>
          <w:noProof/>
        </w:rPr>
        <w:drawing>
          <wp:inline distT="0" distB="0" distL="114300" distR="114300">
            <wp:extent cx="4391025" cy="2552700"/>
            <wp:effectExtent l="47625" t="4445" r="57150" b="109855"/>
            <wp:docPr id="1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86769" w:rsidRDefault="00D86769">
      <w:pPr>
        <w:adjustRightInd w:val="0"/>
        <w:snapToGrid w:val="0"/>
        <w:spacing w:after="0" w:line="580" w:lineRule="exact"/>
        <w:ind w:firstLineChars="600" w:firstLine="1920"/>
        <w:rPr>
          <w:rFonts w:ascii="仿宋_GB2312" w:eastAsia="仿宋_GB2312" w:cs="DengXian-Regular"/>
          <w:sz w:val="32"/>
          <w:szCs w:val="32"/>
        </w:rPr>
      </w:pPr>
    </w:p>
    <w:p w:rsidR="00D86769" w:rsidRDefault="00D86769">
      <w:pPr>
        <w:pStyle w:val="2"/>
        <w:spacing w:before="0" w:after="0" w:line="580" w:lineRule="exact"/>
        <w:rPr>
          <w:rFonts w:ascii="黑体" w:eastAsia="黑体"/>
          <w:b w:val="0"/>
          <w:bCs w:val="0"/>
        </w:rPr>
      </w:pPr>
    </w:p>
    <w:p w:rsidR="00D86769" w:rsidRDefault="00F04782">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本部门2018年度本年支出合计74.4万元，其中：基本支出74.4万元，占100%；项目支出0万元，占0%；经营支出0万元，占0%。如图所示：</w:t>
      </w: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F04782">
      <w:pPr>
        <w:adjustRightInd w:val="0"/>
        <w:snapToGrid w:val="0"/>
        <w:spacing w:after="0" w:line="580" w:lineRule="exact"/>
        <w:ind w:firstLineChars="200" w:firstLine="420"/>
        <w:rPr>
          <w:rFonts w:ascii="仿宋_GB2312" w:eastAsia="仿宋_GB2312" w:cs="DengXian-Regular"/>
          <w:sz w:val="32"/>
          <w:szCs w:val="32"/>
        </w:rPr>
      </w:pPr>
      <w:r>
        <w:rPr>
          <w:noProof/>
        </w:rPr>
        <w:lastRenderedPageBreak/>
        <w:drawing>
          <wp:anchor distT="0" distB="0" distL="114300" distR="114300" simplePos="0" relativeHeight="251654144" behindDoc="0" locked="0" layoutInCell="1" allowOverlap="1">
            <wp:simplePos x="0" y="0"/>
            <wp:positionH relativeFrom="column">
              <wp:posOffset>847725</wp:posOffset>
            </wp:positionH>
            <wp:positionV relativeFrom="paragraph">
              <wp:posOffset>-488315</wp:posOffset>
            </wp:positionV>
            <wp:extent cx="4219575" cy="2514600"/>
            <wp:effectExtent l="57150" t="0" r="28575" b="95250"/>
            <wp:wrapSquare wrapText="bothSides"/>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D86769" w:rsidRDefault="00D86769">
      <w:pPr>
        <w:adjustRightInd w:val="0"/>
        <w:snapToGrid w:val="0"/>
        <w:spacing w:after="0" w:line="580" w:lineRule="exact"/>
        <w:ind w:firstLineChars="200" w:firstLine="640"/>
        <w:rPr>
          <w:rFonts w:ascii="仿宋_GB2312" w:eastAsia="仿宋_GB2312" w:cs="DengXian-Regular"/>
          <w:sz w:val="32"/>
          <w:szCs w:val="32"/>
        </w:rPr>
      </w:pPr>
    </w:p>
    <w:p w:rsidR="00D86769" w:rsidRDefault="00D86769">
      <w:pPr>
        <w:adjustRightInd w:val="0"/>
        <w:snapToGrid w:val="0"/>
        <w:spacing w:after="0" w:line="580" w:lineRule="exact"/>
        <w:ind w:firstLineChars="600" w:firstLine="1920"/>
        <w:rPr>
          <w:rFonts w:ascii="仿宋_GB2312" w:eastAsia="仿宋_GB2312" w:cs="DengXian-Regular"/>
          <w:sz w:val="32"/>
          <w:szCs w:val="32"/>
        </w:rPr>
      </w:pPr>
    </w:p>
    <w:p w:rsidR="00D86769" w:rsidRDefault="00D86769">
      <w:pPr>
        <w:pStyle w:val="2"/>
        <w:spacing w:before="0" w:after="0" w:line="580" w:lineRule="exact"/>
        <w:rPr>
          <w:rFonts w:ascii="黑体" w:eastAsia="黑体"/>
          <w:b w:val="0"/>
          <w:bCs w:val="0"/>
        </w:rPr>
      </w:pPr>
    </w:p>
    <w:p w:rsidR="00D86769" w:rsidRDefault="00F04782">
      <w:pPr>
        <w:pStyle w:val="2"/>
        <w:spacing w:before="0" w:after="0" w:line="580" w:lineRule="exact"/>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D86769" w:rsidRDefault="00F04782" w:rsidP="009A43F3">
      <w:pPr>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w:t>
      </w:r>
      <w:r>
        <w:rPr>
          <w:rFonts w:ascii="楷体" w:eastAsia="楷体" w:hAnsi="楷体" w:cs="DengXian-Bold" w:hint="eastAsia"/>
          <w:b/>
          <w:bCs/>
          <w:sz w:val="32"/>
          <w:szCs w:val="32"/>
        </w:rPr>
        <w:t>财政拨款收支与2017 年度决算对比情况</w:t>
      </w:r>
    </w:p>
    <w:p w:rsidR="00D86769" w:rsidRDefault="00F04782">
      <w:pPr>
        <w:adjustRightInd w:val="0"/>
        <w:snapToGrid w:val="0"/>
        <w:spacing w:after="0" w:line="580" w:lineRule="exact"/>
        <w:ind w:firstLineChars="200" w:firstLine="640"/>
        <w:rPr>
          <w:rFonts w:ascii="仿宋_GB2312" w:cs="DengXian-Regular"/>
          <w:sz w:val="32"/>
          <w:szCs w:val="32"/>
        </w:rPr>
      </w:pPr>
      <w:r>
        <w:rPr>
          <w:rFonts w:ascii="仿宋_GB2312" w:eastAsia="仿宋_GB2312" w:cs="DengXian-Regular" w:hint="eastAsia"/>
          <w:sz w:val="32"/>
          <w:szCs w:val="32"/>
        </w:rPr>
        <w:t>本部门2018年度形成的财政拨款收支均为一般公共预算财政拨款，其中一般公共预算财政拨款本年收入74.4万元,比2017年度减少15.12万元，降低16.89%，主要是人员工资调整及设备购置减少；本年支出74.4万元，减</w:t>
      </w:r>
      <w:r>
        <w:rPr>
          <w:rFonts w:ascii="宋体" w:hAnsi="宋体" w:cs="宋体" w:hint="eastAsia"/>
          <w:sz w:val="32"/>
          <w:szCs w:val="32"/>
        </w:rPr>
        <w:t>少</w:t>
      </w:r>
      <w:r>
        <w:rPr>
          <w:rFonts w:ascii="仿宋_GB2312" w:eastAsia="仿宋_GB2312" w:cs="DengXian-Regular" w:hint="eastAsia"/>
          <w:sz w:val="32"/>
          <w:szCs w:val="32"/>
        </w:rPr>
        <w:t>15.12万元，降低16.89%，主要是人员工资调整及设备购置减少</w:t>
      </w:r>
      <w:r>
        <w:rPr>
          <w:noProof/>
        </w:rPr>
        <w:drawing>
          <wp:anchor distT="0" distB="0" distL="114300" distR="114300" simplePos="0" relativeHeight="251655168" behindDoc="0" locked="0" layoutInCell="1" allowOverlap="1">
            <wp:simplePos x="0" y="0"/>
            <wp:positionH relativeFrom="column">
              <wp:posOffset>885825</wp:posOffset>
            </wp:positionH>
            <wp:positionV relativeFrom="paragraph">
              <wp:posOffset>2625090</wp:posOffset>
            </wp:positionV>
            <wp:extent cx="4572000" cy="2981325"/>
            <wp:effectExtent l="47625" t="4445" r="47625" b="100330"/>
            <wp:wrapSquare wrapText="bothSides"/>
            <wp:docPr id="20"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hint="eastAsia"/>
        </w:rPr>
        <w:t>。</w:t>
      </w: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D86769">
      <w:pPr>
        <w:spacing w:after="0" w:line="580" w:lineRule="exact"/>
        <w:rPr>
          <w:rFonts w:ascii="楷体_GB2312" w:eastAsia="楷体_GB2312" w:cs="DengXian-Bold"/>
          <w:b/>
          <w:bCs/>
          <w:sz w:val="32"/>
          <w:szCs w:val="32"/>
        </w:rPr>
      </w:pPr>
    </w:p>
    <w:p w:rsidR="00D86769" w:rsidRDefault="00F04782">
      <w:pPr>
        <w:spacing w:after="0" w:line="580" w:lineRule="exact"/>
        <w:rPr>
          <w:rFonts w:ascii="楷体" w:eastAsia="楷体" w:hAnsi="楷体" w:cs="DengXian-Bold"/>
          <w:b/>
          <w:bCs/>
          <w:sz w:val="32"/>
          <w:szCs w:val="32"/>
        </w:rPr>
      </w:pPr>
      <w:r>
        <w:rPr>
          <w:rFonts w:ascii="楷体_GB2312" w:eastAsia="楷体_GB2312" w:cs="DengXian-Bold" w:hint="eastAsia"/>
          <w:b/>
          <w:bCs/>
          <w:sz w:val="32"/>
          <w:szCs w:val="32"/>
        </w:rPr>
        <w:t>（二）</w:t>
      </w:r>
      <w:r>
        <w:rPr>
          <w:rFonts w:ascii="楷体" w:eastAsia="楷体" w:hAnsi="楷体" w:cs="DengXian-Bold" w:hint="eastAsia"/>
          <w:b/>
          <w:bCs/>
          <w:sz w:val="32"/>
          <w:szCs w:val="32"/>
        </w:rPr>
        <w:t>财政拨款收支与年初预算数对比情况</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一般公共预算财政拨款收入74.4万元，完成年初预算的101.5%,比年初预算增加1.14万元，决算数大于预算数主要原因是人员工资调整；本年支出74.4万元，完成年初预算的101.5%,比年初预算增加1.14万元，决算数大于预算数主要原因是人员工资调整。</w:t>
      </w:r>
    </w:p>
    <w:p w:rsidR="00D86769" w:rsidRDefault="00F04782">
      <w:pPr>
        <w:adjustRightInd w:val="0"/>
        <w:snapToGrid w:val="0"/>
        <w:spacing w:after="0" w:line="580" w:lineRule="exact"/>
        <w:ind w:firstLineChars="200" w:firstLine="420"/>
        <w:rPr>
          <w:rFonts w:ascii="仿宋_GB2312" w:eastAsia="仿宋_GB2312" w:cs="DengXian-Regular"/>
          <w:sz w:val="32"/>
          <w:szCs w:val="32"/>
          <w:highlight w:val="yellow"/>
        </w:rPr>
      </w:pPr>
      <w:r>
        <w:rPr>
          <w:noProof/>
        </w:rPr>
        <w:drawing>
          <wp:anchor distT="0" distB="0" distL="114300" distR="114300" simplePos="0" relativeHeight="251656192" behindDoc="0" locked="0" layoutInCell="1" allowOverlap="1">
            <wp:simplePos x="0" y="0"/>
            <wp:positionH relativeFrom="column">
              <wp:posOffset>434975</wp:posOffset>
            </wp:positionH>
            <wp:positionV relativeFrom="paragraph">
              <wp:posOffset>271780</wp:posOffset>
            </wp:positionV>
            <wp:extent cx="4380865" cy="2958465"/>
            <wp:effectExtent l="47625" t="4445" r="48260" b="104140"/>
            <wp:wrapSquare wrapText="bothSides"/>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D86769" w:rsidRDefault="00D86769">
      <w:pPr>
        <w:adjustRightInd w:val="0"/>
        <w:snapToGrid w:val="0"/>
        <w:spacing w:after="0" w:line="580" w:lineRule="exact"/>
        <w:ind w:firstLineChars="200" w:firstLine="640"/>
        <w:rPr>
          <w:rFonts w:ascii="仿宋_GB2312" w:eastAsia="仿宋_GB2312" w:cs="DengXian-Regular"/>
          <w:sz w:val="32"/>
          <w:szCs w:val="32"/>
          <w:highlight w:val="yellow"/>
        </w:rPr>
      </w:pPr>
    </w:p>
    <w:p w:rsidR="00D86769" w:rsidRDefault="00D86769">
      <w:pPr>
        <w:adjustRightInd w:val="0"/>
        <w:snapToGrid w:val="0"/>
        <w:spacing w:after="0" w:line="580" w:lineRule="exact"/>
        <w:ind w:firstLineChars="200" w:firstLine="640"/>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D86769">
      <w:pPr>
        <w:adjustRightInd w:val="0"/>
        <w:snapToGrid w:val="0"/>
        <w:spacing w:after="0" w:line="580" w:lineRule="exact"/>
        <w:rPr>
          <w:rFonts w:ascii="仿宋_GB2312" w:eastAsia="仿宋_GB2312" w:cs="DengXian-Regular"/>
          <w:sz w:val="32"/>
          <w:szCs w:val="32"/>
          <w:highlight w:val="yellow"/>
        </w:rPr>
      </w:pPr>
    </w:p>
    <w:p w:rsidR="00D86769" w:rsidRDefault="00F04782">
      <w:pPr>
        <w:numPr>
          <w:ilvl w:val="0"/>
          <w:numId w:val="2"/>
        </w:numPr>
        <w:adjustRightInd w:val="0"/>
        <w:snapToGrid w:val="0"/>
        <w:spacing w:after="0" w:line="580" w:lineRule="exact"/>
        <w:ind w:leftChars="200" w:left="420"/>
        <w:rPr>
          <w:rFonts w:ascii="楷体" w:eastAsia="楷体" w:hAnsi="楷体" w:cs="DengXian-Bold"/>
          <w:b/>
          <w:bCs/>
          <w:sz w:val="32"/>
          <w:szCs w:val="32"/>
        </w:rPr>
      </w:pPr>
      <w:r>
        <w:rPr>
          <w:rFonts w:ascii="楷体" w:eastAsia="楷体" w:hAnsi="楷体" w:cs="DengXian-Bold" w:hint="eastAsia"/>
          <w:b/>
          <w:bCs/>
          <w:sz w:val="32"/>
          <w:szCs w:val="32"/>
        </w:rPr>
        <w:t>财政拨款支出决算结构情况。</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2018 年度财政拨款支出74.4万元，主要用于以下方面：一般公共服务（类）支出73.64万元，占98.98%；公共安全类（类）</w:t>
      </w:r>
      <w:r>
        <w:rPr>
          <w:rFonts w:ascii="仿宋_GB2312" w:eastAsia="仿宋_GB2312" w:cs="DengXian-Regular" w:hint="eastAsia"/>
          <w:sz w:val="32"/>
          <w:szCs w:val="32"/>
        </w:rPr>
        <w:lastRenderedPageBreak/>
        <w:t>支出0万元，占0%；教育（类）支出0万元，占0%；科学技术（类）支出0万元，占 0%；社会保障和就业（类）支出 0.46万元，占0.62%；住房保障（类）支出0万元，占 0%;医疗卫生与计划生育支出0.3万元，占0.4%。</w:t>
      </w:r>
    </w:p>
    <w:p w:rsidR="00D86769" w:rsidRDefault="00F04782">
      <w:pPr>
        <w:adjustRightInd w:val="0"/>
        <w:snapToGrid w:val="0"/>
        <w:spacing w:after="0" w:line="580" w:lineRule="exact"/>
        <w:rPr>
          <w:rFonts w:ascii="楷体_GB2312" w:eastAsia="楷体_GB2312" w:cs="DengXian-Bold"/>
          <w:b/>
          <w:bCs/>
          <w:sz w:val="32"/>
          <w:szCs w:val="32"/>
        </w:rPr>
      </w:pPr>
      <w:r>
        <w:rPr>
          <w:noProof/>
        </w:rPr>
        <w:drawing>
          <wp:anchor distT="0" distB="0" distL="114300" distR="114300" simplePos="0" relativeHeight="251657216" behindDoc="0" locked="0" layoutInCell="1" allowOverlap="1">
            <wp:simplePos x="0" y="0"/>
            <wp:positionH relativeFrom="column">
              <wp:posOffset>92075</wp:posOffset>
            </wp:positionH>
            <wp:positionV relativeFrom="paragraph">
              <wp:posOffset>9525</wp:posOffset>
            </wp:positionV>
            <wp:extent cx="4569460" cy="3228340"/>
            <wp:effectExtent l="57150" t="0" r="59690" b="67310"/>
            <wp:wrapSquare wrapText="bothSides"/>
            <wp:docPr id="2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noProof/>
        </w:rPr>
        <w:drawing>
          <wp:inline distT="0" distB="0" distL="114300" distR="114300">
            <wp:extent cx="4572000" cy="3228975"/>
            <wp:effectExtent l="47625" t="4445" r="47625" b="100330"/>
            <wp:docPr id="2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D86769">
      <w:pPr>
        <w:adjustRightInd w:val="0"/>
        <w:snapToGrid w:val="0"/>
        <w:spacing w:after="0" w:line="580" w:lineRule="exact"/>
        <w:rPr>
          <w:rFonts w:ascii="楷体_GB2312" w:eastAsia="楷体_GB2312" w:cs="DengXian-Bold"/>
          <w:b/>
          <w:bCs/>
          <w:sz w:val="32"/>
          <w:szCs w:val="32"/>
        </w:rPr>
      </w:pPr>
    </w:p>
    <w:p w:rsidR="00D86769" w:rsidRDefault="00F04782">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（四）</w:t>
      </w:r>
      <w:r>
        <w:rPr>
          <w:rFonts w:ascii="楷体" w:eastAsia="楷体" w:hAnsi="楷体" w:cs="DengXian-Bold" w:hint="eastAsia"/>
          <w:b/>
          <w:bCs/>
          <w:sz w:val="32"/>
          <w:szCs w:val="32"/>
        </w:rPr>
        <w:t>一般公共预算财政拨款基本支出决算情况说明</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2018 年度一般公共预算财政拨款基本支出63.55万元，其中：人员经费54.39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w:t>
      </w:r>
      <w:r>
        <w:rPr>
          <w:rFonts w:ascii="仿宋_GB2312" w:eastAsia="仿宋_GB2312" w:cs="DengXian-Regular" w:hint="eastAsia"/>
          <w:sz w:val="32"/>
          <w:szCs w:val="32"/>
        </w:rPr>
        <w:lastRenderedPageBreak/>
        <w:t>个人和家庭的补助支出；公用经费 9.15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D86769" w:rsidRDefault="00F04782">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五、一般公共预算财政拨款“三公”经费支出决算情况说明</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本部门2018年度“三公”经费支出共计2.74万元，</w:t>
      </w:r>
      <w:r>
        <w:rPr>
          <w:rFonts w:ascii="仿宋_GB2312" w:eastAsia="仿宋_GB2312" w:cs="DengXian-Regular" w:hint="eastAsia"/>
          <w:b/>
          <w:bCs/>
          <w:sz w:val="32"/>
          <w:szCs w:val="32"/>
        </w:rPr>
        <w:t>较年初预算减少0.26万元，降低8.67%，</w:t>
      </w:r>
      <w:r>
        <w:rPr>
          <w:rFonts w:ascii="仿宋_GB2312" w:eastAsia="仿宋_GB2312" w:cs="DengXian-Regular" w:hint="eastAsia"/>
          <w:sz w:val="32"/>
          <w:szCs w:val="32"/>
        </w:rPr>
        <w:t>主要是从严控制“三公”经费开支，全年实际支出比预算有所节约。具体情况如下：</w:t>
      </w:r>
    </w:p>
    <w:p w:rsidR="00D86769" w:rsidRDefault="00F04782" w:rsidP="009A43F3">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（一）因公出国（境）费支出0万元。</w:t>
      </w:r>
      <w:r>
        <w:rPr>
          <w:rFonts w:ascii="仿宋_GB2312" w:eastAsia="仿宋_GB2312" w:cs="DengXian-Regular" w:hint="eastAsia"/>
          <w:sz w:val="32"/>
          <w:szCs w:val="32"/>
        </w:rPr>
        <w:t>本部门2018年度因公出国（境）团组0个、共0人。因公出国（境）费支出较年初预算持平，无增减变化。</w:t>
      </w:r>
    </w:p>
    <w:p w:rsidR="00D86769" w:rsidRDefault="00F04782" w:rsidP="009A43F3">
      <w:pPr>
        <w:adjustRightInd w:val="0"/>
        <w:snapToGrid w:val="0"/>
        <w:spacing w:after="0"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（二）公务用车购置及运行维护费支出3万元。</w:t>
      </w:r>
      <w:r>
        <w:rPr>
          <w:rFonts w:ascii="仿宋_GB2312" w:eastAsia="仿宋_GB2312" w:cs="DengXian-Regular" w:hint="eastAsia"/>
          <w:sz w:val="32"/>
          <w:szCs w:val="32"/>
        </w:rPr>
        <w:t>本部门2018年度公务用车购置及运行维护费2.74万元，较年初预算减少0.26万元，降低8.7%,主要是严格控制公车运行维护费，全年实际支出比预算有所节约。</w:t>
      </w:r>
      <w:r>
        <w:rPr>
          <w:rFonts w:ascii="仿宋_GB2312" w:eastAsia="仿宋_GB2312" w:cs="DengXian-Bold" w:hint="eastAsia"/>
          <w:b/>
          <w:bCs/>
          <w:sz w:val="32"/>
          <w:szCs w:val="32"/>
        </w:rPr>
        <w:t>其中：</w:t>
      </w:r>
    </w:p>
    <w:p w:rsidR="00D86769" w:rsidRDefault="00F04782" w:rsidP="009A43F3">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本部门2018年度公务用车购置量0辆，无公务用车购置费，较年初预算</w:t>
      </w:r>
      <w:r>
        <w:rPr>
          <w:rFonts w:ascii="宋体" w:hAnsi="宋体" w:cs="宋体" w:hint="eastAsia"/>
          <w:sz w:val="32"/>
          <w:szCs w:val="32"/>
        </w:rPr>
        <w:t>持平</w:t>
      </w:r>
      <w:r>
        <w:rPr>
          <w:rFonts w:ascii="仿宋_GB2312" w:eastAsia="仿宋_GB2312" w:cs="DengXian-Regular" w:hint="eastAsia"/>
          <w:sz w:val="32"/>
          <w:szCs w:val="32"/>
        </w:rPr>
        <w:t>。</w:t>
      </w:r>
    </w:p>
    <w:p w:rsidR="00D86769" w:rsidRDefault="00F04782" w:rsidP="009A43F3">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lastRenderedPageBreak/>
        <w:t>公务用车运行维护费：</w:t>
      </w:r>
      <w:r>
        <w:rPr>
          <w:rFonts w:ascii="仿宋_GB2312" w:eastAsia="仿宋_GB2312" w:cs="DengXian-Regular" w:hint="eastAsia"/>
          <w:sz w:val="32"/>
          <w:szCs w:val="32"/>
        </w:rPr>
        <w:t>本部门2018年度单位公务用车保有量1辆。公车运行维护费2.74万元，支出较年初预算减少0.26万元，降低8.67%,主要是严格控制公车运行维护费，全年实际支出比预算有所节约。</w:t>
      </w:r>
    </w:p>
    <w:p w:rsidR="00D86769" w:rsidRDefault="00F04782" w:rsidP="009A43F3">
      <w:pPr>
        <w:adjustRightInd w:val="0"/>
        <w:snapToGrid w:val="0"/>
        <w:spacing w:after="0" w:line="580" w:lineRule="exact"/>
        <w:ind w:firstLineChars="200" w:firstLine="643"/>
        <w:rPr>
          <w:rFonts w:ascii="仿宋" w:eastAsia="仿宋" w:hAnsi="仿宋" w:cs="DengXian-Regular"/>
          <w:sz w:val="32"/>
          <w:szCs w:val="32"/>
        </w:rPr>
      </w:pPr>
      <w:r>
        <w:rPr>
          <w:rFonts w:ascii="楷体_GB2312" w:eastAsia="楷体_GB2312" w:cs="DengXian-Bold" w:hint="eastAsia"/>
          <w:b/>
          <w:bCs/>
          <w:sz w:val="32"/>
          <w:szCs w:val="32"/>
        </w:rPr>
        <w:t>（三）</w:t>
      </w:r>
      <w:r>
        <w:rPr>
          <w:rFonts w:ascii="楷体" w:eastAsia="楷体" w:hAnsi="楷体" w:cs="DengXian-Bold" w:hint="eastAsia"/>
          <w:b/>
          <w:bCs/>
          <w:sz w:val="32"/>
          <w:szCs w:val="32"/>
        </w:rPr>
        <w:t>公务接待费支出0万元。</w:t>
      </w:r>
      <w:r>
        <w:rPr>
          <w:rFonts w:ascii="仿宋_GB2312" w:eastAsia="仿宋_GB2312" w:cs="DengXian-Regular" w:hint="eastAsia"/>
          <w:sz w:val="32"/>
          <w:szCs w:val="32"/>
        </w:rPr>
        <w:t>本部门2018年度公务接待共0批次、0人次。本部门无公务接待费支出，与年初预算</w:t>
      </w:r>
      <w:r>
        <w:rPr>
          <w:rFonts w:ascii="仿宋" w:eastAsia="仿宋" w:hAnsi="仿宋" w:cs="DengXian-Regular" w:hint="eastAsia"/>
          <w:sz w:val="32"/>
          <w:szCs w:val="32"/>
        </w:rPr>
        <w:t>持平。</w:t>
      </w:r>
    </w:p>
    <w:p w:rsidR="00D86769" w:rsidRDefault="00F04782">
      <w:pPr>
        <w:pStyle w:val="2"/>
        <w:spacing w:before="0" w:after="0" w:line="580" w:lineRule="exact"/>
        <w:ind w:firstLineChars="200" w:firstLine="643"/>
        <w:rPr>
          <w:rFonts w:ascii="黑体" w:eastAsia="黑体" w:cs="Times New Roman"/>
        </w:rPr>
      </w:pPr>
      <w:r>
        <w:rPr>
          <w:rFonts w:ascii="黑体" w:eastAsia="黑体" w:hint="eastAsia"/>
          <w:szCs w:val="40"/>
        </w:rPr>
        <w:t>六、</w:t>
      </w:r>
      <w:r>
        <w:rPr>
          <w:rFonts w:ascii="黑体" w:eastAsia="黑体" w:cs="Times New Roman" w:hint="eastAsia"/>
        </w:rPr>
        <w:t>绩效预算情况说明</w:t>
      </w:r>
    </w:p>
    <w:p w:rsidR="00D86769" w:rsidRDefault="00F04782">
      <w:pPr>
        <w:adjustRightInd w:val="0"/>
        <w:snapToGrid w:val="0"/>
        <w:spacing w:after="0"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（一）绩效管理工作开展情况。根据《关于开展2018年度财政专项资金部门绩效自评价工作的通知》（</w:t>
      </w:r>
      <w:r w:rsidR="00FA3E3C">
        <w:rPr>
          <w:rFonts w:ascii="仿宋_GB2312" w:eastAsia="仿宋_GB2312" w:cs="DengXian-Regular" w:hint="eastAsia"/>
          <w:sz w:val="32"/>
          <w:szCs w:val="32"/>
        </w:rPr>
        <w:t>无财[2019]13号</w:t>
      </w:r>
      <w:r>
        <w:rPr>
          <w:rFonts w:ascii="仿宋_GB2312" w:eastAsia="仿宋_GB2312" w:cs="DengXian-Regular" w:hint="eastAsia"/>
          <w:sz w:val="32"/>
          <w:szCs w:val="32"/>
        </w:rPr>
        <w:t>），本单位认真开展了预算绩效管理改革开展情况自查，对部门全面规范绩效预算编制、严格预算执行管理、推进绩效评价工作、推进预决算信息公开等方面进行了自评，考核结果为优秀。</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（二）预算项目绩效评价开展情况根据预算绩效管理要求，本单位组织对2017年度一般公共预算项目支出全面开展绩效自评，涉及</w:t>
      </w:r>
      <w:r w:rsidR="009A43F3">
        <w:rPr>
          <w:rFonts w:ascii="仿宋_GB2312" w:eastAsia="仿宋_GB2312" w:cs="DengXian-Regular" w:hint="eastAsia"/>
          <w:sz w:val="32"/>
          <w:szCs w:val="32"/>
        </w:rPr>
        <w:t>1</w:t>
      </w:r>
      <w:r>
        <w:rPr>
          <w:rFonts w:ascii="仿宋_GB2312" w:eastAsia="仿宋_GB2312" w:cs="DengXian-Regular" w:hint="eastAsia"/>
          <w:sz w:val="32"/>
          <w:szCs w:val="32"/>
        </w:rPr>
        <w:t>个项目，涉及资金</w:t>
      </w:r>
      <w:r w:rsidR="009A43F3">
        <w:rPr>
          <w:rFonts w:ascii="仿宋_GB2312" w:eastAsia="仿宋_GB2312" w:cs="DengXian-Regular" w:hint="eastAsia"/>
          <w:sz w:val="32"/>
          <w:szCs w:val="32"/>
        </w:rPr>
        <w:t>9.46</w:t>
      </w:r>
      <w:r>
        <w:rPr>
          <w:rFonts w:ascii="仿宋_GB2312" w:eastAsia="仿宋_GB2312" w:cs="DengXian-Regular" w:hint="eastAsia"/>
          <w:sz w:val="32"/>
          <w:szCs w:val="32"/>
        </w:rPr>
        <w:t>万元。从评价情况看，评价结果为优秀的项目有</w:t>
      </w:r>
      <w:r w:rsidR="009A43F3">
        <w:rPr>
          <w:rFonts w:ascii="仿宋_GB2312" w:eastAsia="仿宋_GB2312" w:cs="DengXian-Regular" w:hint="eastAsia"/>
          <w:sz w:val="32"/>
          <w:szCs w:val="32"/>
        </w:rPr>
        <w:t>1</w:t>
      </w:r>
      <w:r>
        <w:rPr>
          <w:rFonts w:ascii="仿宋_GB2312" w:eastAsia="仿宋_GB2312" w:cs="DengXian-Regular" w:hint="eastAsia"/>
          <w:sz w:val="32"/>
          <w:szCs w:val="32"/>
        </w:rPr>
        <w:t>个，良好的项目有0个，一般的项目有0个。</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9A43F3" w:rsidRDefault="009A43F3" w:rsidP="009A43F3">
      <w:pPr>
        <w:numPr>
          <w:ilvl w:val="0"/>
          <w:numId w:val="3"/>
        </w:numPr>
        <w:adjustRightInd w:val="0"/>
        <w:snapToGrid w:val="0"/>
        <w:spacing w:after="0"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根据年初设定的绩效目标，宗教事务项目绩效自评得分为92分。全年预算数为9.46万元，执行数为9.46万元，完成预算的100%。项目绩效目标完成情况：一是调查研究民族、</w:t>
      </w:r>
      <w:r>
        <w:rPr>
          <w:rFonts w:ascii="仿宋_GB2312" w:eastAsia="仿宋_GB2312" w:hAnsi="仿宋_GB2312" w:cs="仿宋_GB2312" w:hint="eastAsia"/>
          <w:sz w:val="32"/>
          <w:szCs w:val="32"/>
        </w:rPr>
        <w:lastRenderedPageBreak/>
        <w:t>宗教工作的理论、方针、政策和法律法规，做好重要工作和重大问题的处理，积极做好党的民族宗教政策宣传培训，联系少数民族和宗教界代表人士；二是协调有关部门做好宗教维稳、抵御境外渗透工作。发现的主要问题：无。</w:t>
      </w:r>
    </w:p>
    <w:p w:rsidR="00D86769" w:rsidRDefault="00F04782">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D86769" w:rsidRDefault="00F04782">
      <w:pPr>
        <w:pStyle w:val="3"/>
        <w:spacing w:before="0" w:after="0" w:line="580" w:lineRule="exact"/>
        <w:ind w:firstLineChars="200" w:firstLine="643"/>
        <w:rPr>
          <w:rFonts w:ascii="楷体" w:eastAsia="楷体" w:hAnsi="楷体" w:cs="DengXian-Bold"/>
        </w:rPr>
      </w:pPr>
      <w:r>
        <w:rPr>
          <w:rFonts w:ascii="楷体" w:eastAsia="楷体" w:hAnsi="楷体" w:cs="DengXian-Bold" w:hint="eastAsia"/>
        </w:rPr>
        <w:t>（一）机关运行经费情况</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本部门2018年度机关运行经费支出</w:t>
      </w:r>
      <w:r>
        <w:rPr>
          <w:rFonts w:ascii="宋体" w:hAnsi="宋体" w:cs="宋体" w:hint="eastAsia"/>
          <w:sz w:val="32"/>
          <w:szCs w:val="32"/>
        </w:rPr>
        <w:t>9.16</w:t>
      </w:r>
      <w:r>
        <w:rPr>
          <w:rFonts w:ascii="仿宋_GB2312" w:eastAsia="仿宋_GB2312" w:cs="DengXian-Regular" w:hint="eastAsia"/>
          <w:sz w:val="32"/>
          <w:szCs w:val="32"/>
        </w:rPr>
        <w:t>万元，比年初预算数增加1.24万元，增长11.</w:t>
      </w:r>
      <w:r>
        <w:rPr>
          <w:rFonts w:ascii="宋体" w:hAnsi="宋体" w:cs="宋体" w:hint="eastAsia"/>
          <w:sz w:val="32"/>
          <w:szCs w:val="32"/>
        </w:rPr>
        <w:t>92</w:t>
      </w:r>
      <w:r>
        <w:rPr>
          <w:rFonts w:ascii="仿宋_GB2312" w:eastAsia="仿宋_GB2312" w:cs="DengXian-Regular" w:hint="eastAsia"/>
          <w:sz w:val="32"/>
          <w:szCs w:val="32"/>
        </w:rPr>
        <w:t>%。主要原因是实际支出节约。</w:t>
      </w:r>
    </w:p>
    <w:p w:rsidR="00D86769" w:rsidRDefault="00F04782">
      <w:pPr>
        <w:pStyle w:val="3"/>
        <w:spacing w:before="0" w:after="0" w:line="580" w:lineRule="exact"/>
        <w:ind w:firstLineChars="200" w:firstLine="643"/>
        <w:rPr>
          <w:rFonts w:ascii="楷体" w:eastAsia="楷体" w:hAnsi="楷体" w:cs="DengXian-Bold"/>
        </w:rPr>
      </w:pPr>
      <w:r>
        <w:rPr>
          <w:rFonts w:ascii="楷体" w:eastAsia="楷体" w:hAnsi="楷体" w:cs="DengXian-Bold" w:hint="eastAsia"/>
        </w:rPr>
        <w:t>（二）政府采购情况</w:t>
      </w:r>
    </w:p>
    <w:p w:rsidR="00D86769" w:rsidRDefault="00F04782">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本部门2018年度政府采购支出总额0万元，从采购类型来看，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万元、政府采购服务支出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D86769" w:rsidRDefault="00F04782">
      <w:pPr>
        <w:pStyle w:val="3"/>
        <w:spacing w:before="0" w:after="0" w:line="580" w:lineRule="exact"/>
        <w:ind w:firstLineChars="200" w:firstLine="643"/>
        <w:rPr>
          <w:rFonts w:ascii="楷体" w:eastAsia="楷体" w:hAnsi="楷体" w:cs="DengXian-Bold"/>
        </w:rPr>
      </w:pPr>
      <w:r>
        <w:rPr>
          <w:rFonts w:ascii="楷体" w:eastAsia="楷体" w:hAnsi="楷体" w:cs="DengXian-Bold" w:hint="eastAsia"/>
        </w:rPr>
        <w:t>（三）国有资产占用情况</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2018年12月31日，本部门共有车辆1辆，比上年无变化。其中，副部（省）级及以上领导用车0辆，主要领导干部用车0辆，机要通信用车0辆，应急保障用车1辆，执法执勤用车0辆，特种专业技术用车0辆，离退休干部用车0辆，其他用车0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万元以上通用设备0台（套），比上年增加0套。单位价值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万元以上专用设备0台（套）比上年增加</w:t>
      </w:r>
      <w:r>
        <w:rPr>
          <w:rFonts w:ascii="仿宋_GB2312" w:eastAsia="仿宋_GB2312" w:cs="DengXian-Regular" w:hint="eastAsia"/>
          <w:sz w:val="32"/>
          <w:szCs w:val="32"/>
        </w:rPr>
        <w:lastRenderedPageBreak/>
        <w:t>0套。</w:t>
      </w:r>
    </w:p>
    <w:p w:rsidR="00D86769" w:rsidRDefault="00F04782">
      <w:pPr>
        <w:pStyle w:val="3"/>
        <w:spacing w:before="0" w:after="0" w:line="580" w:lineRule="exact"/>
        <w:ind w:firstLineChars="200" w:firstLine="643"/>
        <w:rPr>
          <w:rFonts w:ascii="楷体" w:eastAsia="楷体" w:hAnsi="楷体" w:cs="DengXian-Bold"/>
        </w:rPr>
      </w:pPr>
      <w:r>
        <w:rPr>
          <w:rFonts w:ascii="楷体" w:eastAsia="楷体" w:hAnsi="楷体" w:cs="DengXian-Bold" w:hint="eastAsia"/>
        </w:rPr>
        <w:t>（四）其他需要说明的情况</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1、本部门2018年度政府性基金预算财政拨款、国有资本经营预算财政拨款、政府采购情况，无收支及结转结余情况，故公开08表、公开09表、公开10表以空表列示。</w:t>
      </w:r>
    </w:p>
    <w:p w:rsidR="00D86769" w:rsidRDefault="00F04782">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2、由于决算公开表格中金额数值应当保留两位小数，公开数据为四舍五入计算结果，个别数据合计项与分项之和存在小数点后差额，特此说明。</w:t>
      </w:r>
    </w:p>
    <w:p w:rsidR="00D86769" w:rsidRDefault="00D86769">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D86769">
          <w:pgSz w:w="11906" w:h="16838"/>
          <w:pgMar w:top="2098" w:right="1474" w:bottom="1984" w:left="1588" w:header="851" w:footer="992" w:gutter="0"/>
          <w:cols w:space="0"/>
          <w:docGrid w:type="lines" w:linePitch="312"/>
        </w:sectPr>
      </w:pPr>
    </w:p>
    <w:p w:rsidR="00D86769" w:rsidRDefault="00F04782">
      <w:pPr>
        <w:rPr>
          <w:rFonts w:ascii="宋体" w:hAnsi="宋体" w:cs="ArialUnicodeMS"/>
          <w:color w:val="000000"/>
          <w:kern w:val="0"/>
        </w:rPr>
        <w:sectPr w:rsidR="00D86769">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sidR="00FF5F70" w:rsidRPr="00FF5F70">
        <w:rPr>
          <w:sz w:val="72"/>
        </w:rPr>
        <w:pict>
          <v:shape id="_x0000_s1027" type="#_x0000_t202" style="position:absolute;left:0;text-align:left;margin-left:-78.7pt;margin-top:232.8pt;width:596.2pt;height:159.1pt;z-index:251645952;mso-position-horizontal-relative:text;mso-position-vertical-relative:text"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filled="f" stroked="f" strokeweight=".5pt">
            <v:textbox>
              <w:txbxContent>
                <w:p w:rsidR="00D86769" w:rsidRDefault="00F04782">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D86769" w:rsidRDefault="00F04782">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填列单位公务用车购置支出（含车辆购置税、牌照费）。</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填列单位除公务用车外的其他各类交通工具（如船舶、飞机）购置支出（含车辆购置税、牌照费）。</w:t>
      </w:r>
    </w:p>
    <w:p w:rsidR="00D86769" w:rsidRDefault="00F04782" w:rsidP="009A43F3">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D86769" w:rsidRDefault="00F04782" w:rsidP="009A43F3">
      <w:pPr>
        <w:widowControl/>
        <w:spacing w:after="0" w:line="560" w:lineRule="exact"/>
        <w:ind w:firstLineChars="200" w:firstLine="643"/>
        <w:rPr>
          <w:rFonts w:ascii="仿宋_GB2312" w:eastAsia="仿宋_GB2312" w:hAnsiTheme="minorHAnsi" w:cs="ArialUnicodeMS"/>
          <w:kern w:val="0"/>
          <w:sz w:val="32"/>
          <w:szCs w:val="32"/>
        </w:rPr>
        <w:sectPr w:rsidR="00D86769">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D86769" w:rsidRDefault="00F04782">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9" cstate="print"/>
                    <a:stretch>
                      <a:fillRect/>
                    </a:stretch>
                  </pic:blipFill>
                  <pic:spPr>
                    <a:xfrm>
                      <a:off x="0" y="0"/>
                      <a:ext cx="7590155" cy="10735945"/>
                    </a:xfrm>
                    <a:prstGeom prst="rect">
                      <a:avLst/>
                    </a:prstGeom>
                  </pic:spPr>
                </pic:pic>
              </a:graphicData>
            </a:graphic>
          </wp:anchor>
        </w:drawing>
      </w:r>
    </w:p>
    <w:sectPr w:rsidR="00D86769" w:rsidSect="00FF5F70">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4420" w:rsidRDefault="00E24420" w:rsidP="00FA3E3C">
      <w:pPr>
        <w:spacing w:after="0" w:line="240" w:lineRule="auto"/>
      </w:pPr>
      <w:r>
        <w:separator/>
      </w:r>
    </w:p>
  </w:endnote>
  <w:endnote w:type="continuationSeparator" w:id="1">
    <w:p w:rsidR="00E24420" w:rsidRDefault="00E24420" w:rsidP="00FA3E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embedRegular r:id="rId1" w:subsetted="1" w:fontKey="{9AC6C799-8DD6-4845-B320-C2E8D52AE9DD}"/>
    <w:embedBold r:id="rId2" w:subsetted="1" w:fontKey="{23F23EB2-A127-4940-9FE3-75A7DBEE40FC}"/>
  </w:font>
  <w:font w:name="楷体">
    <w:panose1 w:val="02010609060101010101"/>
    <w:charset w:val="86"/>
    <w:family w:val="modern"/>
    <w:pitch w:val="fixed"/>
    <w:sig w:usb0="800002BF" w:usb1="38CF7CFA" w:usb2="00000016" w:usb3="00000000" w:csb0="00040001" w:csb1="00000000"/>
    <w:embedBold r:id="rId3" w:subsetted="1" w:fontKey="{690A7EAF-E702-488F-9377-85061A8D1D7F}"/>
  </w:font>
  <w:font w:name="楷体_GB2312">
    <w:altName w:val="楷体"/>
    <w:panose1 w:val="02010609030101010101"/>
    <w:charset w:val="86"/>
    <w:family w:val="modern"/>
    <w:pitch w:val="fixed"/>
    <w:sig w:usb0="00000001" w:usb1="080E0000" w:usb2="00000010" w:usb3="00000000" w:csb0="00040000" w:csb1="00000000"/>
    <w:embedBold r:id="rId4" w:subsetted="1" w:fontKey="{6918434F-009D-4400-B1B1-94439B081BC3}"/>
  </w:font>
  <w:font w:name="仿宋_GB2312">
    <w:altName w:val="仿宋"/>
    <w:panose1 w:val="02010609030101010101"/>
    <w:charset w:val="86"/>
    <w:family w:val="modern"/>
    <w:pitch w:val="fixed"/>
    <w:sig w:usb0="00000001" w:usb1="080E0000" w:usb2="00000010" w:usb3="00000000" w:csb0="00040000" w:csb1="00000000"/>
    <w:embedRegular r:id="rId5" w:subsetted="1" w:fontKey="{B909801B-C243-4DAA-B505-5A4DA06AA11C}"/>
    <w:embedBold r:id="rId6" w:subsetted="1" w:fontKey="{2A861490-AABC-4563-8F89-8724A6969EAC}"/>
  </w:font>
  <w:font w:name="ArialUnicodeMS">
    <w:altName w:val="Malgun Gothic"/>
    <w:charset w:val="81"/>
    <w:family w:val="auto"/>
    <w:pitch w:val="default"/>
    <w:sig w:usb0="00000000" w:usb1="00000000" w:usb2="00000010" w:usb3="00000000" w:csb0="00080001" w:csb1="00000000"/>
  </w:font>
  <w:font w:name="仿宋">
    <w:panose1 w:val="02010609060101010101"/>
    <w:charset w:val="86"/>
    <w:family w:val="modern"/>
    <w:pitch w:val="fixed"/>
    <w:sig w:usb0="800002BF" w:usb1="38CF7CFA" w:usb2="00000016" w:usb3="00000000" w:csb0="00040001" w:csb1="00000000"/>
    <w:embedRegular r:id="rId7" w:subsetted="1" w:fontKey="{1E78195D-9877-4063-A075-B08987CA8DB5}"/>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4420" w:rsidRDefault="00E24420" w:rsidP="00FA3E3C">
      <w:pPr>
        <w:spacing w:after="0" w:line="240" w:lineRule="auto"/>
      </w:pPr>
      <w:r>
        <w:separator/>
      </w:r>
    </w:p>
  </w:footnote>
  <w:footnote w:type="continuationSeparator" w:id="1">
    <w:p w:rsidR="00E24420" w:rsidRDefault="00E24420" w:rsidP="00FA3E3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singleLevel"/>
    <w:tmpl w:val="0000000A"/>
    <w:lvl w:ilvl="0">
      <w:start w:val="1"/>
      <w:numFmt w:val="decimal"/>
      <w:suff w:val="nothing"/>
      <w:lvlText w:val="（%1）"/>
      <w:lvlJc w:val="left"/>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5B97232B"/>
    <w:multiLevelType w:val="singleLevel"/>
    <w:tmpl w:val="5B97232B"/>
    <w:lvl w:ilvl="0">
      <w:start w:val="1"/>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defaultTabStop w:val="420"/>
  <w:drawingGridHorizontalSpacing w:val="105"/>
  <w:drawingGridVerticalSpacing w:val="156"/>
  <w:noPunctuationKerning/>
  <w:characterSpacingControl w:val="compressPunctuation"/>
  <w:hdrShapeDefaults>
    <o:shapedefaults v:ext="edit" spidmax="5122"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3C1413"/>
    <w:rsid w:val="00024E7F"/>
    <w:rsid w:val="00026845"/>
    <w:rsid w:val="00045D79"/>
    <w:rsid w:val="000475A0"/>
    <w:rsid w:val="000838C3"/>
    <w:rsid w:val="000B2446"/>
    <w:rsid w:val="000C4527"/>
    <w:rsid w:val="000D7C65"/>
    <w:rsid w:val="000E2F81"/>
    <w:rsid w:val="00117946"/>
    <w:rsid w:val="00117E2C"/>
    <w:rsid w:val="00146C47"/>
    <w:rsid w:val="00152FB8"/>
    <w:rsid w:val="00160C53"/>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3115EC"/>
    <w:rsid w:val="003315F5"/>
    <w:rsid w:val="00341C8F"/>
    <w:rsid w:val="0035463A"/>
    <w:rsid w:val="00391D9D"/>
    <w:rsid w:val="00391E1D"/>
    <w:rsid w:val="003B6C51"/>
    <w:rsid w:val="003C1413"/>
    <w:rsid w:val="003C549F"/>
    <w:rsid w:val="003D5A16"/>
    <w:rsid w:val="003E7DB3"/>
    <w:rsid w:val="003F7EC9"/>
    <w:rsid w:val="0040733C"/>
    <w:rsid w:val="00431175"/>
    <w:rsid w:val="004721E1"/>
    <w:rsid w:val="004B6E37"/>
    <w:rsid w:val="004C32BA"/>
    <w:rsid w:val="00502871"/>
    <w:rsid w:val="00567EC9"/>
    <w:rsid w:val="00575922"/>
    <w:rsid w:val="00587248"/>
    <w:rsid w:val="005A07A0"/>
    <w:rsid w:val="005A6C90"/>
    <w:rsid w:val="005E3FB0"/>
    <w:rsid w:val="005F4B66"/>
    <w:rsid w:val="005F5208"/>
    <w:rsid w:val="00641318"/>
    <w:rsid w:val="0064405D"/>
    <w:rsid w:val="00685302"/>
    <w:rsid w:val="00695557"/>
    <w:rsid w:val="006B5C13"/>
    <w:rsid w:val="006D4EA7"/>
    <w:rsid w:val="006E0DE6"/>
    <w:rsid w:val="0070012A"/>
    <w:rsid w:val="00703FE3"/>
    <w:rsid w:val="0070664B"/>
    <w:rsid w:val="007071B8"/>
    <w:rsid w:val="007414DE"/>
    <w:rsid w:val="0074209C"/>
    <w:rsid w:val="007905A9"/>
    <w:rsid w:val="007B6694"/>
    <w:rsid w:val="007E5500"/>
    <w:rsid w:val="007F055B"/>
    <w:rsid w:val="0080644C"/>
    <w:rsid w:val="00811C2F"/>
    <w:rsid w:val="00833D46"/>
    <w:rsid w:val="00840A97"/>
    <w:rsid w:val="0086230B"/>
    <w:rsid w:val="00881AAA"/>
    <w:rsid w:val="008C0149"/>
    <w:rsid w:val="008C689C"/>
    <w:rsid w:val="008D5DED"/>
    <w:rsid w:val="008E25CA"/>
    <w:rsid w:val="008F04CF"/>
    <w:rsid w:val="008F34FC"/>
    <w:rsid w:val="00903F9E"/>
    <w:rsid w:val="00933542"/>
    <w:rsid w:val="00935058"/>
    <w:rsid w:val="00944CD7"/>
    <w:rsid w:val="009612FE"/>
    <w:rsid w:val="009831B2"/>
    <w:rsid w:val="009A1ABE"/>
    <w:rsid w:val="009A43F3"/>
    <w:rsid w:val="009C1A09"/>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00E0A"/>
    <w:rsid w:val="00C12630"/>
    <w:rsid w:val="00C34562"/>
    <w:rsid w:val="00C3725F"/>
    <w:rsid w:val="00C3774E"/>
    <w:rsid w:val="00C57456"/>
    <w:rsid w:val="00C65387"/>
    <w:rsid w:val="00C87FAB"/>
    <w:rsid w:val="00C91FF7"/>
    <w:rsid w:val="00C94E53"/>
    <w:rsid w:val="00CA01F5"/>
    <w:rsid w:val="00D0048E"/>
    <w:rsid w:val="00D23E7A"/>
    <w:rsid w:val="00D46DB2"/>
    <w:rsid w:val="00D61063"/>
    <w:rsid w:val="00D86769"/>
    <w:rsid w:val="00DB35AF"/>
    <w:rsid w:val="00DD72D7"/>
    <w:rsid w:val="00DF5B88"/>
    <w:rsid w:val="00E0589E"/>
    <w:rsid w:val="00E241FA"/>
    <w:rsid w:val="00E24420"/>
    <w:rsid w:val="00E2595E"/>
    <w:rsid w:val="00E35374"/>
    <w:rsid w:val="00E50C19"/>
    <w:rsid w:val="00E64655"/>
    <w:rsid w:val="00E73081"/>
    <w:rsid w:val="00E856C9"/>
    <w:rsid w:val="00E8744D"/>
    <w:rsid w:val="00EB6A8B"/>
    <w:rsid w:val="00EF38C6"/>
    <w:rsid w:val="00F04782"/>
    <w:rsid w:val="00F679C7"/>
    <w:rsid w:val="00F7122F"/>
    <w:rsid w:val="00F7711A"/>
    <w:rsid w:val="00FA0D58"/>
    <w:rsid w:val="00FA3E3C"/>
    <w:rsid w:val="00FA56F4"/>
    <w:rsid w:val="00FB4EDA"/>
    <w:rsid w:val="00FC17C5"/>
    <w:rsid w:val="00FD3BD5"/>
    <w:rsid w:val="00FE3DC8"/>
    <w:rsid w:val="00FF5F70"/>
    <w:rsid w:val="04073F84"/>
    <w:rsid w:val="065317FC"/>
    <w:rsid w:val="0A96526D"/>
    <w:rsid w:val="0B504D4D"/>
    <w:rsid w:val="0B60750A"/>
    <w:rsid w:val="0E274752"/>
    <w:rsid w:val="10686488"/>
    <w:rsid w:val="10DF728A"/>
    <w:rsid w:val="1264200E"/>
    <w:rsid w:val="12CC41FA"/>
    <w:rsid w:val="130F4AC5"/>
    <w:rsid w:val="141C5B77"/>
    <w:rsid w:val="15726942"/>
    <w:rsid w:val="1613067F"/>
    <w:rsid w:val="161A335A"/>
    <w:rsid w:val="18D8339D"/>
    <w:rsid w:val="1A21388F"/>
    <w:rsid w:val="1A570D2F"/>
    <w:rsid w:val="1E3C55DB"/>
    <w:rsid w:val="20593F2C"/>
    <w:rsid w:val="211F018A"/>
    <w:rsid w:val="28452479"/>
    <w:rsid w:val="286F1F79"/>
    <w:rsid w:val="28FB0B8D"/>
    <w:rsid w:val="2A9870FC"/>
    <w:rsid w:val="2AE60013"/>
    <w:rsid w:val="2D2B7942"/>
    <w:rsid w:val="2D46481D"/>
    <w:rsid w:val="2E733B28"/>
    <w:rsid w:val="31852B5A"/>
    <w:rsid w:val="32D01238"/>
    <w:rsid w:val="3DFC59A8"/>
    <w:rsid w:val="3ECF245E"/>
    <w:rsid w:val="3EF321DC"/>
    <w:rsid w:val="3F823D3A"/>
    <w:rsid w:val="3FB96314"/>
    <w:rsid w:val="400729BF"/>
    <w:rsid w:val="41810389"/>
    <w:rsid w:val="44484453"/>
    <w:rsid w:val="4E7E415A"/>
    <w:rsid w:val="53A44FAF"/>
    <w:rsid w:val="56C4476D"/>
    <w:rsid w:val="594329EC"/>
    <w:rsid w:val="5BEE1540"/>
    <w:rsid w:val="5DE26687"/>
    <w:rsid w:val="5DE61A5D"/>
    <w:rsid w:val="5ED9160B"/>
    <w:rsid w:val="5F2821B5"/>
    <w:rsid w:val="5F3E3710"/>
    <w:rsid w:val="61D35525"/>
    <w:rsid w:val="633C3458"/>
    <w:rsid w:val="63C04243"/>
    <w:rsid w:val="649C01C7"/>
    <w:rsid w:val="699A3F60"/>
    <w:rsid w:val="6A880453"/>
    <w:rsid w:val="72902E62"/>
    <w:rsid w:val="73C61104"/>
    <w:rsid w:val="776452EA"/>
    <w:rsid w:val="796139FC"/>
    <w:rsid w:val="7C4B59F0"/>
    <w:rsid w:val="7CEA3A87"/>
    <w:rsid w:val="7D0B795C"/>
    <w:rsid w:val="7DC663B9"/>
    <w:rsid w:val="7EA151A6"/>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1"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5F70"/>
    <w:pPr>
      <w:widowControl w:val="0"/>
      <w:spacing w:after="160" w:line="480" w:lineRule="auto"/>
      <w:jc w:val="both"/>
    </w:pPr>
    <w:rPr>
      <w:kern w:val="2"/>
      <w:sz w:val="21"/>
      <w:szCs w:val="24"/>
    </w:rPr>
  </w:style>
  <w:style w:type="paragraph" w:styleId="1">
    <w:name w:val="heading 1"/>
    <w:basedOn w:val="a"/>
    <w:next w:val="a"/>
    <w:link w:val="1Char"/>
    <w:uiPriority w:val="9"/>
    <w:qFormat/>
    <w:rsid w:val="00FF5F70"/>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FF5F70"/>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FF5F70"/>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FF5F70"/>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qFormat/>
    <w:rsid w:val="00FF5F70"/>
    <w:pPr>
      <w:ind w:leftChars="2500" w:left="100"/>
    </w:pPr>
  </w:style>
  <w:style w:type="paragraph" w:styleId="a4">
    <w:name w:val="Balloon Text"/>
    <w:basedOn w:val="a"/>
    <w:link w:val="Char0"/>
    <w:uiPriority w:val="99"/>
    <w:semiHidden/>
    <w:unhideWhenUsed/>
    <w:qFormat/>
    <w:rsid w:val="00FF5F70"/>
    <w:rPr>
      <w:sz w:val="18"/>
      <w:szCs w:val="18"/>
    </w:rPr>
  </w:style>
  <w:style w:type="paragraph" w:styleId="a5">
    <w:name w:val="footer"/>
    <w:basedOn w:val="a"/>
    <w:link w:val="Char1"/>
    <w:uiPriority w:val="99"/>
    <w:unhideWhenUsed/>
    <w:qFormat/>
    <w:rsid w:val="00FF5F70"/>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FF5F7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FF5F70"/>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FF5F70"/>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FF5F70"/>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FF5F70"/>
    <w:rPr>
      <w:sz w:val="18"/>
      <w:szCs w:val="18"/>
    </w:rPr>
  </w:style>
  <w:style w:type="character" w:customStyle="1" w:styleId="Char1">
    <w:name w:val="页脚 Char"/>
    <w:basedOn w:val="a0"/>
    <w:link w:val="a5"/>
    <w:uiPriority w:val="99"/>
    <w:qFormat/>
    <w:rsid w:val="00FF5F70"/>
    <w:rPr>
      <w:sz w:val="18"/>
      <w:szCs w:val="18"/>
    </w:rPr>
  </w:style>
  <w:style w:type="paragraph" w:styleId="aa">
    <w:name w:val="No Spacing"/>
    <w:link w:val="Char5"/>
    <w:uiPriority w:val="1"/>
    <w:qFormat/>
    <w:rsid w:val="00FF5F70"/>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aa"/>
    <w:uiPriority w:val="1"/>
    <w:qFormat/>
    <w:rsid w:val="00FF5F70"/>
    <w:rPr>
      <w:kern w:val="0"/>
      <w:sz w:val="22"/>
    </w:rPr>
  </w:style>
  <w:style w:type="character" w:customStyle="1" w:styleId="Char0">
    <w:name w:val="批注框文本 Char"/>
    <w:basedOn w:val="a0"/>
    <w:link w:val="a4"/>
    <w:uiPriority w:val="99"/>
    <w:semiHidden/>
    <w:qFormat/>
    <w:rsid w:val="00FF5F70"/>
    <w:rPr>
      <w:rFonts w:ascii="Times New Roman" w:eastAsia="宋体" w:hAnsi="Times New Roman" w:cs="Times New Roman"/>
      <w:sz w:val="18"/>
      <w:szCs w:val="18"/>
    </w:rPr>
  </w:style>
  <w:style w:type="character" w:customStyle="1" w:styleId="Char4">
    <w:name w:val="标题 Char"/>
    <w:basedOn w:val="a0"/>
    <w:link w:val="a8"/>
    <w:uiPriority w:val="10"/>
    <w:qFormat/>
    <w:rsid w:val="00FF5F70"/>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FF5F70"/>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FF5F70"/>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FF5F70"/>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FF5F70"/>
    <w:rPr>
      <w:rFonts w:asciiTheme="minorHAnsi" w:eastAsiaTheme="minorEastAsia" w:hAnsiTheme="minorEastAsia" w:cstheme="minorBidi"/>
      <w:szCs w:val="22"/>
      <w:lang w:eastAsia="zh-CN"/>
    </w:rPr>
  </w:style>
  <w:style w:type="character" w:customStyle="1" w:styleId="Style4">
    <w:name w:val="Style4"/>
    <w:basedOn w:val="a0"/>
    <w:uiPriority w:val="1"/>
    <w:qFormat/>
    <w:rsid w:val="00FF5F70"/>
    <w:rPr>
      <w:rFonts w:asciiTheme="minorHAnsi" w:eastAsiaTheme="minorEastAsia" w:hAnsiTheme="minorEastAsia" w:cstheme="minorBidi"/>
      <w:szCs w:val="22"/>
      <w:lang w:eastAsia="zh-CN"/>
    </w:rPr>
  </w:style>
  <w:style w:type="character" w:customStyle="1" w:styleId="Style5">
    <w:name w:val="Style5"/>
    <w:basedOn w:val="a0"/>
    <w:uiPriority w:val="1"/>
    <w:qFormat/>
    <w:rsid w:val="00FF5F70"/>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FF5F70"/>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FF5F70"/>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FF5F70"/>
    <w:rPr>
      <w:rFonts w:ascii="Times New Roman" w:eastAsia="宋体" w:hAnsi="Times New Roman" w:cs="Times New Roman"/>
      <w:b/>
      <w:bCs/>
      <w:sz w:val="32"/>
      <w:szCs w:val="32"/>
    </w:rPr>
  </w:style>
  <w:style w:type="character" w:customStyle="1" w:styleId="4Char">
    <w:name w:val="标题 4 Char"/>
    <w:basedOn w:val="a0"/>
    <w:link w:val="4"/>
    <w:uiPriority w:val="9"/>
    <w:qFormat/>
    <w:rsid w:val="00FF5F70"/>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FF5F70"/>
    <w:rPr>
      <w:rFonts w:ascii="Times New Roman" w:eastAsia="宋体" w:hAnsi="Times New Roman" w:cs="Times New Roman"/>
      <w:szCs w:val="24"/>
    </w:rPr>
  </w:style>
  <w:style w:type="paragraph" w:styleId="ab">
    <w:name w:val="List Paragraph"/>
    <w:basedOn w:val="a"/>
    <w:uiPriority w:val="99"/>
    <w:unhideWhenUsed/>
    <w:qFormat/>
    <w:rsid w:val="00FF5F70"/>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chart" Target="charts/chart4.xml"/><Relationship Id="rId10" Type="http://schemas.openxmlformats.org/officeDocument/2006/relationships/image" Target="media/image1.jpeg"/><Relationship Id="rId19" Type="http://schemas.openxmlformats.org/officeDocument/2006/relationships/image" Target="media/image3.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3.xml"/><Relationship Id="rId22"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1</a:t>
            </a:r>
            <a:r>
              <a:rPr lang="zh-CN" altLang="zh-CN" sz="1200" b="0">
                <a:latin typeface="仿宋_GB2312" charset="-122"/>
                <a:ea typeface="仿宋_GB2312" charset="-122"/>
              </a:rPr>
              <a:t>：收入构成情况</a:t>
            </a:r>
            <a:endParaRPr lang="zh-CN" altLang="zh-CN" sz="1200" b="1">
              <a:latin typeface="仿宋_GB2312" charset="-122"/>
              <a:ea typeface="仿宋_GB2312"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82E-2"/>
          <c:w val="0.81137023815623899"/>
          <c:h val="0.76554785129470826"/>
        </c:manualLayout>
      </c:layout>
      <c:pieChart>
        <c:varyColors val="1"/>
        <c:ser>
          <c:idx val="0"/>
          <c:order val="0"/>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74.400000000000006</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1</a:t>
            </a:r>
            <a:r>
              <a:rPr lang="zh-CN" altLang="zh-CN" sz="1200" b="0">
                <a:latin typeface="仿宋_GB2312" charset="-122"/>
                <a:ea typeface="仿宋_GB2312" charset="-122"/>
              </a:rPr>
              <a:t>：收入构成情况</a:t>
            </a:r>
            <a:endParaRPr lang="zh-CN" altLang="zh-CN" sz="1200" b="1">
              <a:latin typeface="仿宋_GB2312" charset="-122"/>
              <a:ea typeface="仿宋_GB2312" charset="-122"/>
            </a:endParaRPr>
          </a:p>
        </c:rich>
      </c:tx>
      <c:layout>
        <c:manualLayout>
          <c:xMode val="edge"/>
          <c:yMode val="edge"/>
          <c:x val="0.36655086227019912"/>
          <c:y val="0.85074626865671721"/>
        </c:manualLayout>
      </c:layout>
    </c:title>
    <c:plotArea>
      <c:layout>
        <c:manualLayout>
          <c:layoutTarget val="inner"/>
          <c:xMode val="edge"/>
          <c:yMode val="edge"/>
          <c:x val="9.4314880921880534E-2"/>
          <c:y val="5.752458181533282E-2"/>
          <c:w val="0.81137023815623899"/>
          <c:h val="0.76554785129470826"/>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74.400000000000006</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2</a:t>
            </a:r>
            <a:r>
              <a:rPr lang="zh-CN" altLang="zh-CN" sz="1200" b="0">
                <a:latin typeface="仿宋_GB2312" charset="-122"/>
                <a:ea typeface="仿宋_GB2312" charset="-122"/>
              </a:rPr>
              <a:t>：支出构成情况</a:t>
            </a:r>
            <a:endParaRPr lang="zh-CN" altLang="zh-CN" sz="1200" b="1">
              <a:latin typeface="仿宋_GB2312" charset="-122"/>
              <a:ea typeface="仿宋_GB2312" charset="-122"/>
            </a:endParaRPr>
          </a:p>
        </c:rich>
      </c:tx>
      <c:layout>
        <c:manualLayout>
          <c:xMode val="edge"/>
          <c:yMode val="edge"/>
          <c:x val="0.36413833146703201"/>
          <c:y val="0.82323232323232276"/>
        </c:manualLayout>
      </c:layout>
    </c:title>
    <c:plotArea>
      <c:layout>
        <c:manualLayout>
          <c:layoutTarget val="inner"/>
          <c:xMode val="edge"/>
          <c:yMode val="edge"/>
          <c:x val="0.101627059597234"/>
          <c:y val="0.10324345820408802"/>
          <c:w val="0.80878500796881225"/>
          <c:h val="0.65515469657202141"/>
        </c:manualLayout>
      </c:layout>
      <c:pieChart>
        <c:varyColors val="1"/>
        <c:ser>
          <c:idx val="0"/>
          <c:order val="0"/>
          <c:dLbls>
            <c:dLbl>
              <c:idx val="1"/>
              <c:delete val="1"/>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74.400000000000006</c:v>
                </c:pt>
              </c:numCache>
            </c:numRef>
          </c:val>
        </c:ser>
        <c:dLbls>
          <c:showCatName val="1"/>
          <c:showPercent val="1"/>
        </c:dLbls>
        <c:firstSliceAng val="15"/>
      </c:pieChart>
      <c:spPr>
        <a:noFill/>
        <a:ln>
          <a:noFill/>
        </a:ln>
        <a:effectLst/>
      </c:spPr>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charset="-122"/>
                <a:ea typeface="仿宋_GB2312" charset="-122"/>
              </a:rPr>
              <a:t>图</a:t>
            </a:r>
            <a:r>
              <a:rPr lang="en-US" altLang="zh-CN" sz="1200" b="0">
                <a:latin typeface="仿宋_GB2312" charset="-122"/>
                <a:ea typeface="仿宋_GB2312" charset="-122"/>
              </a:rPr>
              <a:t>3</a:t>
            </a:r>
            <a:r>
              <a:rPr lang="zh-CN" altLang="zh-CN" sz="1200" b="0">
                <a:latin typeface="仿宋_GB2312" charset="-122"/>
                <a:ea typeface="仿宋_GB2312" charset="-122"/>
              </a:rPr>
              <a:t>：</a:t>
            </a:r>
            <a:r>
              <a:rPr lang="en-US" altLang="zh-CN" sz="1200" b="0">
                <a:latin typeface="仿宋_GB2312" charset="-122"/>
                <a:ea typeface="仿宋_GB2312" charset="-122"/>
              </a:rPr>
              <a:t>2017-2018</a:t>
            </a:r>
            <a:r>
              <a:rPr lang="zh-CN" altLang="zh-CN" sz="1200" b="0">
                <a:latin typeface="仿宋_GB2312" charset="-122"/>
                <a:ea typeface="仿宋_GB2312" charset="-122"/>
              </a:rPr>
              <a:t>年财政拨款收支对比情况</a:t>
            </a:r>
          </a:p>
        </c:rich>
      </c:tx>
      <c:layout>
        <c:manualLayout>
          <c:xMode val="edge"/>
          <c:yMode val="edge"/>
          <c:x val="0.22222222222222199"/>
          <c:y val="0.8647497337593204"/>
        </c:manualLayout>
      </c:layout>
    </c:title>
    <c:plotArea>
      <c:layout>
        <c:manualLayout>
          <c:layoutTarget val="inner"/>
          <c:xMode val="edge"/>
          <c:yMode val="edge"/>
          <c:x val="0.10015507436570402"/>
          <c:y val="7.0298273418698112E-2"/>
          <c:w val="0.86928937007874119"/>
          <c:h val="0.60199340897084419"/>
        </c:manualLayout>
      </c:layout>
      <c:barChart>
        <c:barDir val="col"/>
        <c:grouping val="clustered"/>
        <c:ser>
          <c:idx val="0"/>
          <c:order val="0"/>
          <c:tx>
            <c:strRef>
              <c:f>'[部门决算公开制图模板（修改版）(1).xlsx]收支与决算对比'!$A$5</c:f>
              <c:strCache>
                <c:ptCount val="1"/>
                <c:pt idx="0">
                  <c:v>2018</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74.400000000000006</c:v>
                </c:pt>
                <c:pt idx="1">
                  <c:v>74.400000000000006</c:v>
                </c:pt>
              </c:numCache>
            </c:numRef>
          </c:val>
        </c:ser>
        <c:ser>
          <c:idx val="1"/>
          <c:order val="1"/>
          <c:tx>
            <c:strRef>
              <c:f>'[部门决算公开制图模板（修改版）(1).xlsx]收支与决算对比'!$A$6</c:f>
              <c:strCache>
                <c:ptCount val="1"/>
                <c:pt idx="0">
                  <c:v>2017</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89.52</c:v>
                </c:pt>
                <c:pt idx="1">
                  <c:v>89.52</c:v>
                </c:pt>
              </c:numCache>
            </c:numRef>
          </c:val>
        </c:ser>
        <c:dLbls>
          <c:showVal val="1"/>
        </c:dLbls>
        <c:gapWidth val="75"/>
        <c:axId val="247897088"/>
        <c:axId val="248050432"/>
      </c:barChart>
      <c:catAx>
        <c:axId val="247897088"/>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8050432"/>
        <c:crosses val="autoZero"/>
        <c:auto val="1"/>
        <c:lblAlgn val="ctr"/>
        <c:lblOffset val="100"/>
      </c:catAx>
      <c:valAx>
        <c:axId val="248050432"/>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47897088"/>
        <c:crosses val="autoZero"/>
        <c:crossBetween val="between"/>
      </c:valAx>
    </c:plotArea>
    <c:legend>
      <c:legendPos val="b"/>
      <c:layout>
        <c:manualLayout>
          <c:xMode val="edge"/>
          <c:yMode val="edge"/>
          <c:x val="0.42634055118110198"/>
          <c:y val="0.75683529974088726"/>
          <c:w val="0.20842979002624706"/>
          <c:h val="7.7030514955598747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charset="-122"/>
                <a:ea typeface="仿宋_GB2312" charset="-122"/>
              </a:rPr>
              <a:t>图</a:t>
            </a:r>
            <a:r>
              <a:rPr lang="en-US" altLang="zh-CN" sz="1200" b="0" i="0" u="none" strike="noStrike" baseline="0">
                <a:latin typeface="仿宋_GB2312" charset="-122"/>
                <a:ea typeface="仿宋_GB2312" charset="-122"/>
              </a:rPr>
              <a:t>4</a:t>
            </a:r>
            <a:r>
              <a:rPr lang="zh-CN" altLang="zh-CN" sz="1200" b="0" i="0" u="none" strike="noStrike" baseline="0">
                <a:latin typeface="仿宋_GB2312" charset="-122"/>
                <a:ea typeface="仿宋_GB2312" charset="-122"/>
              </a:rPr>
              <a:t>：财政拨款收支预决算对比情况</a:t>
            </a:r>
            <a:endParaRPr lang="zh-CN" altLang="zh-CN" sz="1200" b="0">
              <a:latin typeface="仿宋_GB2312" charset="-122"/>
              <a:ea typeface="仿宋_GB2312" charset="-122"/>
            </a:endParaRPr>
          </a:p>
        </c:rich>
      </c:tx>
      <c:layout>
        <c:manualLayout>
          <c:xMode val="edge"/>
          <c:yMode val="edge"/>
          <c:x val="0.21944444444444516"/>
          <c:y val="0.9216757741347924"/>
        </c:manualLayout>
      </c:layout>
    </c:title>
    <c:plotArea>
      <c:layout>
        <c:manualLayout>
          <c:layoutTarget val="inner"/>
          <c:xMode val="edge"/>
          <c:yMode val="edge"/>
          <c:x val="0.11798374518756199"/>
          <c:y val="3.2195750160978802E-2"/>
          <c:w val="0.86928937007874119"/>
          <c:h val="0.76881800286328028"/>
        </c:manualLayout>
      </c:layout>
      <c:barChart>
        <c:barDir val="col"/>
        <c:grouping val="clustered"/>
        <c:ser>
          <c:idx val="0"/>
          <c:order val="0"/>
          <c:tx>
            <c:strRef>
              <c:f>'[部门决算公开制图模板（修改版）(1).xlsx]收支与预算对比'!$A$5</c:f>
              <c:strCache>
                <c:ptCount val="1"/>
                <c:pt idx="0">
                  <c:v>年初预算数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73.260000000000005</c:v>
                </c:pt>
                <c:pt idx="1">
                  <c:v>73.260000000000005</c:v>
                </c:pt>
              </c:numCache>
            </c:numRef>
          </c:val>
        </c:ser>
        <c:ser>
          <c:idx val="1"/>
          <c:order val="1"/>
          <c:tx>
            <c:strRef>
              <c:f>'[部门决算公开制图模板（修改版）(1).xlsx]收支与预算对比'!$A$6</c:f>
              <c:strCache>
                <c:ptCount val="1"/>
                <c:pt idx="0">
                  <c:v>决算数</c:v>
                </c:pt>
              </c:strCache>
            </c:strRef>
          </c:tx>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74.400000000000006</c:v>
                </c:pt>
                <c:pt idx="1">
                  <c:v>74.400000000000006</c:v>
                </c:pt>
              </c:numCache>
            </c:numRef>
          </c:val>
        </c:ser>
        <c:dLbls>
          <c:showVal val="1"/>
        </c:dLbls>
        <c:gapWidth val="75"/>
        <c:axId val="235663360"/>
        <c:axId val="235664896"/>
      </c:barChart>
      <c:catAx>
        <c:axId val="235663360"/>
        <c:scaling>
          <c:orientation val="minMax"/>
        </c:scaling>
        <c:axPos val="b"/>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35664896"/>
        <c:crosses val="autoZero"/>
        <c:auto val="1"/>
        <c:lblAlgn val="ctr"/>
        <c:lblOffset val="100"/>
      </c:catAx>
      <c:valAx>
        <c:axId val="235664896"/>
        <c:scaling>
          <c:orientation val="minMax"/>
        </c:scaling>
        <c:axPos val="l"/>
        <c:numFmt formatCode="General" sourceLinked="1"/>
        <c:maj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235663360"/>
        <c:crosses val="autoZero"/>
        <c:crossBetween val="between"/>
      </c:valAx>
    </c:plotArea>
    <c:legend>
      <c:legendPos val="b"/>
      <c:layout>
        <c:manualLayout>
          <c:xMode val="edge"/>
          <c:yMode val="edge"/>
          <c:x val="0.34671828521434922"/>
          <c:y val="0.84875034063365118"/>
          <c:w val="0.33989654418197712"/>
          <c:h val="6.5875822899186809E-2"/>
        </c:manualLayout>
      </c:layout>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charset="-122"/>
                <a:ea typeface="仿宋_GB2312" charset="-122"/>
              </a:rPr>
              <a:t>图</a:t>
            </a:r>
            <a:r>
              <a:rPr lang="en-US" altLang="zh-CN" sz="1400" b="0" i="0" u="none" strike="noStrike" baseline="0">
                <a:latin typeface="仿宋_GB2312" charset="-122"/>
                <a:ea typeface="仿宋_GB2312" charset="-122"/>
              </a:rPr>
              <a:t>5</a:t>
            </a:r>
            <a:r>
              <a:rPr lang="zh-CN" altLang="zh-CN" sz="1400" b="0" i="0" u="none" strike="noStrike" baseline="0">
                <a:latin typeface="仿宋_GB2312" charset="-122"/>
                <a:ea typeface="仿宋_GB2312" charset="-122"/>
              </a:rPr>
              <a:t>：财政拨款支出决算结构（按功能分类）</a:t>
            </a:r>
            <a:endParaRPr lang="zh-CN" altLang="en-US" sz="1400" b="0">
              <a:latin typeface="仿宋_GB2312" charset="-122"/>
              <a:ea typeface="仿宋_GB2312" charset="-122"/>
            </a:endParaRPr>
          </a:p>
        </c:rich>
      </c:tx>
      <c:layout>
        <c:manualLayout>
          <c:xMode val="edge"/>
          <c:yMode val="edge"/>
          <c:x val="0.12638888888888897"/>
          <c:y val="0.83712096244304424"/>
        </c:manualLayout>
      </c:layout>
    </c:title>
    <c:plotArea>
      <c:layout>
        <c:manualLayout>
          <c:layoutTarget val="inner"/>
          <c:xMode val="edge"/>
          <c:yMode val="edge"/>
          <c:x val="0.24277777777777801"/>
          <c:y val="7.1969675504153105E-2"/>
          <c:w val="0.51444466316710402"/>
          <c:h val="0.70151524054067005"/>
        </c:manualLayout>
      </c:layout>
      <c:pieChart>
        <c:varyColors val="1"/>
        <c:ser>
          <c:idx val="0"/>
          <c:order val="0"/>
          <c:dLbls>
            <c:dLbl>
              <c:idx val="1"/>
              <c:delete val="1"/>
            </c:dLbl>
            <c:dLbl>
              <c:idx val="2"/>
              <c:delete val="1"/>
            </c:dLbl>
            <c:dLbl>
              <c:idx val="3"/>
              <c:delete val="1"/>
            </c:dLbl>
            <c:dLbl>
              <c:idx val="4"/>
              <c:delete val="1"/>
            </c:dLbl>
            <c:dLbl>
              <c:idx val="5"/>
              <c:layout>
                <c:manualLayout>
                  <c:x val="-0.19923710898005501"/>
                  <c:y val="5.6058221872541336E-2"/>
                </c:manualLayout>
              </c:layout>
              <c:dLblPos val="bestFit"/>
              <c:showCatName val="1"/>
              <c:showPercent val="1"/>
              <c:extLst>
                <c:ext xmlns:c15="http://schemas.microsoft.com/office/drawing/2012/chart" uri="{CE6537A1-D6FC-4f65-9D91-7224C49458BB}">
                  <c15:layout/>
                </c:ext>
              </c:extLst>
            </c:dLbl>
            <c:dLbl>
              <c:idx val="6"/>
              <c:layout>
                <c:manualLayout>
                  <c:x val="0.21375217202908001"/>
                  <c:y val="5.6047070630726621E-2"/>
                </c:manualLayout>
              </c:layout>
              <c:dLblPos val="bestFit"/>
              <c:showCatName val="1"/>
              <c:showPercent val="1"/>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73.64</c:v>
                </c:pt>
                <c:pt idx="5">
                  <c:v>0.46</c:v>
                </c:pt>
                <c:pt idx="6">
                  <c:v>0.3000000000000001</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zh-CN"/>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charset="-122"/>
                <a:ea typeface="仿宋_GB2312" charset="-122"/>
              </a:rPr>
              <a:t>图</a:t>
            </a:r>
            <a:r>
              <a:rPr lang="en-US" altLang="zh-CN" sz="1400" b="0" i="0" u="none" strike="noStrike" baseline="0">
                <a:latin typeface="仿宋_GB2312" charset="-122"/>
                <a:ea typeface="仿宋_GB2312" charset="-122"/>
              </a:rPr>
              <a:t>5</a:t>
            </a:r>
            <a:r>
              <a:rPr lang="zh-CN" altLang="zh-CN" sz="1400" b="0" i="0" u="none" strike="noStrike" baseline="0">
                <a:latin typeface="仿宋_GB2312" charset="-122"/>
                <a:ea typeface="仿宋_GB2312" charset="-122"/>
              </a:rPr>
              <a:t>：财政拨款支出决算结构（按功能分类）</a:t>
            </a:r>
            <a:endParaRPr lang="zh-CN" altLang="en-US" sz="1400" b="0">
              <a:latin typeface="仿宋_GB2312" charset="-122"/>
              <a:ea typeface="仿宋_GB2312" charset="-122"/>
            </a:endParaRPr>
          </a:p>
        </c:rich>
      </c:tx>
      <c:layout>
        <c:manualLayout>
          <c:xMode val="edge"/>
          <c:yMode val="edge"/>
          <c:x val="0.12638888888888897"/>
          <c:y val="0.83712096244304424"/>
        </c:manualLayout>
      </c:layout>
    </c:title>
    <c:plotArea>
      <c:layout>
        <c:manualLayout>
          <c:layoutTarget val="inner"/>
          <c:xMode val="edge"/>
          <c:yMode val="edge"/>
          <c:x val="0.24277777777777801"/>
          <c:y val="7.1969675504153105E-2"/>
          <c:w val="0.51444466316710402"/>
          <c:h val="0.70151524054067005"/>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CatName val="1"/>
            <c:showPercent val="1"/>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73.64</c:v>
                </c:pt>
                <c:pt idx="5">
                  <c:v>0.46</c:v>
                </c:pt>
                <c:pt idx="6">
                  <c:v>0.3000000000000001</c:v>
                </c:pt>
              </c:numCache>
            </c:numRef>
          </c:val>
        </c:ser>
        <c:dLbls>
          <c:showCatName val="1"/>
          <c:showPercent val="1"/>
        </c:dLbls>
        <c:firstSliceAng val="0"/>
      </c:pieChart>
    </c:plotArea>
    <c:plotVisOnly val="1"/>
    <c:dispBlanksAs val="zero"/>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9018F0-7FA1-4492-B1A7-691396F15B20}">
  <ds:schemaRefs>
    <ds:schemaRef ds:uri="http://schemas.openxmlformats.org/officeDocument/2006/bibliography"/>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32</Pages>
  <Words>1527</Words>
  <Characters>8707</Characters>
  <Application>Microsoft Office Word</Application>
  <DocSecurity>0</DocSecurity>
  <Lines>72</Lines>
  <Paragraphs>20</Paragraphs>
  <ScaleCrop>false</ScaleCrop>
  <Company>Microsoft</Company>
  <LinksUpToDate>false</LinksUpToDate>
  <CharactersWithSpaces>10214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Administrator</cp:lastModifiedBy>
  <cp:revision>32</cp:revision>
  <cp:lastPrinted>2019-12-20T03:57:00Z</cp:lastPrinted>
  <dcterms:created xsi:type="dcterms:W3CDTF">2019-08-28T08:40:00Z</dcterms:created>
  <dcterms:modified xsi:type="dcterms:W3CDTF">2021-05-22T05:11:00Z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