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-1084580</wp:posOffset>
            </wp:positionH>
            <wp:positionV relativeFrom="paragraph">
              <wp:posOffset>-1323975</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HDPDVNsAAAAMAQAADwAAAAAAAAABACAAAAAiAAAAZHJzL2Rvd25yZXYu&#10;eG1sUEsBAhQAFAAAAAgAh07iQPhXCTQxAgAAMwQAAA4AAAAAAAAAAQAgAAAAKgEAAGRycy9lMm9E&#10;b2MueG1sUEsFBgAAAAAGAAYAWQEAAM0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无极县委宣传部</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宣传部</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7462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iKw6neAAAADQEAAA8AAAAAAAAAAQAgAAAAIgAAAGRycy9kb3ducmV2LnhtbFBL&#10;AQIUABQAAAAIAIdO4kB5JW2KKQIAACsEAAAOAAAAAAAAAAEAIAAAAC0BAABkcnMvZTJvRG9jLnht&#10;bFBLBQYAAAAABgAGAFkBAADIBQ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(一)拟订全县宣传思想文化工作重大方针政策和事业发展总体规划，统筹协调推进宣传思想文化领域法治建设，按照县委统一部署，协调宣传思想文化系统各部门之间的工作。</w:t>
      </w:r>
    </w:p>
    <w:p>
      <w:pPr>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(二)统筹协调全县党的意识形态工作，贯彻落实县委关于意识形态工作决策部署，组织协调意识形态工作责任制落实和日常监督检查。</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(三)统筹指导协调全县理论研究、理论学习、理论宣传工作，组织推动理论武装工作，推动落实马克思主义理论研究和建设工程任务，负责县委理论学习中心组理论学习的有关工作。</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(五)统筹分析研判和引导全县社会舆论，指导协调县直各新闻单位的工作，组织全县突发公共事件应急新闻工作。</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国内报社、通讯社驻无极分支机构和记者站的监督管理工作，负责全县新闻记者证的审核管理。</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(七)从宏观上统筹指导协调全县互联网宣传和信息内容管理工作。统筹数字新媒体的建设和管理。</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(八)从宏观上统筹指导协调推动全县精神文化产品的创作和生产，协调组织中华优秀传统文化传承发展有关工作，指导协调推动群众文化建设。</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(九)负责管理全县电影行政事务，指导监管电影制片、发行、放映工作，组织对电影内容进行审查，指导协调全县性重大电影活动。</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对全县新闻出版、广播影视、文化艺术业改革发展研究提出政策性建议，统筹指导协调文化体制改革和文化事业、文化产业及旅游业发展，负责县级文化企业国有资产监督管理。承担县文化体制改革和文化产业发展工作领导小组办公室、县深化文化体制改革专项小组办公室日常工作。</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(十一)统筹指导全县舆情信息工作，组织协调开展县内外舆情信息收集分析研判工作，跟踪了解、研究掌握宣传舆情动态。</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(十二)统筹研究拟订有关全县精神文明建设的方针、政策。规划部署全县精神文明建设工作，组织指导全县群众性精神文明创建活动。</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(十三)统筹协调全县对外宣传工作。指导协调有关部门研究拟订全县对外宣传事业发展规划，组织协调我县对外宣传文化交流工作，会同有关部门做好境外记者采访事务方面工作。</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(十四)统筹协调组织开展新闻发布工作。承担县委新闻发布有关组织协调工作，负责县政府新闻发布组织实施工作。指导协调县政府各部门和各乡（镇）的新闻发布工作，推动新闻发言人制度落实。</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(十五)统筹指导协调全县哲学社会科学发展工作。组织制定发展战略、中长期规划和专项计划。负责组织社会科学课题项目评审和成果转化应用等工作。</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widowControl/>
        <w:spacing w:line="580" w:lineRule="exact"/>
        <w:ind w:firstLine="1273" w:firstLineChars="398"/>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七)对县委网络安全和信息化委员会办公室(县互联网信息办公室)互联网宣传和信息内容管理方面的工作实施方针、政策的指导。归口领导无极之声、无极县文化广电和旅游局、无极县广播电视台。受县委委托，代管县文联。领导和管理县思想政治工作研究会。</w:t>
      </w:r>
    </w:p>
    <w:p>
      <w:pPr>
        <w:widowControl/>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(十八)完成县委交办的其他任务。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中国共产党无极县委员会宣传部</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71552;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Tms90NwAAAANAQAADwAAAAAAAAABACAAAAAiAAAAZHJzL2Rvd25yZXYueG1sUEsBAhQA&#10;FAAAAAgAh07iQHnGxqwnAgAAKQQAAA4AAAAAAAAAAQAgAAAAKwEAAGRycy9lMm9Eb2MueG1sUEsF&#10;BgAAAAAGAAYAWQEAAMQ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172.97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250"/>
              </w:tabs>
              <w:spacing w:after="0" w:line="200" w:lineRule="exact"/>
              <w:jc w:val="left"/>
              <w:rPr>
                <w:rFonts w:ascii="宋体" w:hAnsi="宋体" w:cs="宋体"/>
                <w:color w:val="000000"/>
                <w:sz w:val="20"/>
                <w:szCs w:val="20"/>
              </w:rPr>
            </w:pPr>
            <w:r>
              <w:rPr>
                <w:rFonts w:hint="eastAsia" w:ascii="宋体" w:hAnsi="宋体" w:cs="宋体"/>
                <w:color w:val="000000"/>
                <w:sz w:val="20"/>
                <w:szCs w:val="20"/>
              </w:rPr>
              <w:tab/>
            </w:r>
            <w:r>
              <w:rPr>
                <w:rFonts w:hint="eastAsia" w:ascii="宋体" w:hAnsi="宋体" w:cs="宋体"/>
                <w:color w:val="000000"/>
                <w:sz w:val="20"/>
                <w:szCs w:val="20"/>
              </w:rPr>
              <w:t>215.69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5.51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172.97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266"/>
              </w:tabs>
              <w:spacing w:after="0" w:line="200" w:lineRule="exact"/>
              <w:ind w:firstLine="600" w:firstLineChars="300"/>
              <w:jc w:val="left"/>
              <w:rPr>
                <w:rFonts w:ascii="宋体" w:hAnsi="宋体" w:cs="宋体"/>
                <w:color w:val="000000"/>
                <w:sz w:val="20"/>
                <w:szCs w:val="20"/>
              </w:rPr>
            </w:pPr>
            <w:r>
              <w:rPr>
                <w:rFonts w:hint="eastAsia" w:ascii="宋体" w:hAnsi="宋体" w:cs="宋体"/>
                <w:color w:val="000000"/>
                <w:sz w:val="20"/>
                <w:szCs w:val="20"/>
              </w:rPr>
              <w:t>162.56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48.23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 xml:space="preserve">  58.64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221.20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533"/>
              </w:tabs>
              <w:spacing w:after="0" w:line="200" w:lineRule="exact"/>
              <w:jc w:val="left"/>
              <w:rPr>
                <w:rFonts w:ascii="宋体" w:hAnsi="宋体" w:cs="宋体"/>
                <w:color w:val="000000"/>
                <w:sz w:val="20"/>
                <w:szCs w:val="20"/>
              </w:rPr>
            </w:pPr>
            <w:r>
              <w:rPr>
                <w:rFonts w:hint="eastAsia" w:ascii="宋体" w:hAnsi="宋体" w:cs="宋体"/>
                <w:color w:val="000000"/>
                <w:sz w:val="20"/>
                <w:szCs w:val="20"/>
              </w:rPr>
              <w:tab/>
            </w:r>
            <w:r>
              <w:rPr>
                <w:rFonts w:hint="eastAsia" w:ascii="宋体" w:hAnsi="宋体" w:cs="宋体"/>
                <w:color w:val="000000"/>
                <w:sz w:val="20"/>
                <w:szCs w:val="20"/>
              </w:rPr>
              <w:t>221.20</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部门：中国共产党无极县委员会宣传部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172.97</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172.97</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168.26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168.26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168.26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168.26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120.68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120.68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其他宣传事务支出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47.58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部门：中国共产党无极县委员会宣传部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221.20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121.15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100.05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215.69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215.69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131.64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其他宣传事务支出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172.97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215.69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215.69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172.97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221.20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221.20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48.23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48.23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221.20</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221.20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221.20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部门：中国共产党无极县委员会宣传部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221.20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121.15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100.05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215.69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215.69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131.64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2013399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其他宣传事务支出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部门：中国共产党无极县委员会宣传部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63.26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6.18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18.13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3.90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98.22</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22.93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部门：中国共产党无极县委员会宣传部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0.52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0.52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0.33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0.19</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7257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2WaejN4AAAANAQAADwAAAAAAAAABACAAAAAiAAAAZHJzL2Rvd25yZXYueG1sUEsBAhQA&#10;FAAAAAgAh07iQLUit+ElAgAAJwQAAA4AAAAAAAAAAQAgAAAALQEAAGRycy9lMm9Eb2MueG1sUEsF&#10;BgAAAAAGAAYAWQEAAMQ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本部门2018年度收支总计（含结转和结余）221.2万元。与2017年度决算相比，收支减少133.36万元，下降43.53%，</w:t>
      </w:r>
      <w:r>
        <w:rPr>
          <w:rFonts w:hint="eastAsia" w:ascii="仿宋" w:hAnsi="仿宋" w:eastAsia="仿宋" w:cs="DengXian-Regular"/>
          <w:sz w:val="32"/>
          <w:szCs w:val="32"/>
        </w:rPr>
        <w:t>主要原因是宣传费用降低</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本部门2018年度本年收入合计172.</w:t>
      </w:r>
      <w:r>
        <w:rPr>
          <w:rFonts w:hint="eastAsia" w:ascii="宋体" w:hAnsi="宋体" w:cs="宋体"/>
          <w:sz w:val="32"/>
          <w:szCs w:val="32"/>
        </w:rPr>
        <w:t>97</w:t>
      </w:r>
      <w:r>
        <w:rPr>
          <w:rFonts w:hint="eastAsia" w:ascii="仿宋_GB2312" w:eastAsia="仿宋_GB2312" w:cs="DengXian-Regular"/>
          <w:sz w:val="32"/>
          <w:szCs w:val="32"/>
        </w:rPr>
        <w:t>万元，其中：财政拨款收入172.</w:t>
      </w:r>
      <w:r>
        <w:rPr>
          <w:rFonts w:hint="eastAsia" w:ascii="宋体" w:hAnsi="宋体" w:cs="宋体"/>
          <w:sz w:val="32"/>
          <w:szCs w:val="32"/>
        </w:rPr>
        <w:t>97</w:t>
      </w:r>
      <w:r>
        <w:rPr>
          <w:rFonts w:hint="eastAsia" w:ascii="仿宋_GB2312" w:eastAsia="仿宋_GB2312" w:cs="DengXian-Regular"/>
          <w:sz w:val="32"/>
          <w:szCs w:val="32"/>
        </w:rPr>
        <w:t>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w:rPr>
          <w:rFonts w:ascii="黑体" w:eastAsia="黑体"/>
        </w:rPr>
        <w:drawing>
          <wp:anchor distT="0" distB="0" distL="0" distR="0" simplePos="0" relativeHeight="251665408" behindDoc="0" locked="0" layoutInCell="1" allowOverlap="1">
            <wp:simplePos x="0" y="0"/>
            <wp:positionH relativeFrom="column">
              <wp:posOffset>454025</wp:posOffset>
            </wp:positionH>
            <wp:positionV relativeFrom="paragraph">
              <wp:posOffset>177165</wp:posOffset>
            </wp:positionV>
            <wp:extent cx="4391025" cy="2638425"/>
            <wp:effectExtent l="57150" t="0" r="47625" b="66675"/>
            <wp:wrapSquare wrapText="bothSides"/>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本部门2018年度本年支出合计221.2万元，其中：基本支121.15万元，占54.77%；项目支出100.05万元，占45.23%；经营支出0万元，占0%。如图所示：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66432" behindDoc="0" locked="0" layoutInCell="1" allowOverlap="1">
            <wp:simplePos x="0" y="0"/>
            <wp:positionH relativeFrom="column">
              <wp:posOffset>628650</wp:posOffset>
            </wp:positionH>
            <wp:positionV relativeFrom="paragraph">
              <wp:posOffset>359410</wp:posOffset>
            </wp:positionV>
            <wp:extent cx="4219575" cy="2514600"/>
            <wp:effectExtent l="57150" t="0" r="28575" b="95250"/>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p>
    <w:p>
      <w:pPr>
        <w:pStyle w:val="3"/>
        <w:spacing w:before="0" w:after="0" w:line="580" w:lineRule="exact"/>
        <w:ind w:firstLine="960" w:firstLineChars="3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172.97万元,比2017年减少133.36万元，降低43.53%，主要原因是宣传费用降低；本年支出221.2万元，减少28.8万元，降低11.52%，主要原因是宣传费用降低。</w:t>
      </w: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420" w:firstLineChars="200"/>
        <w:rPr>
          <w:rFonts w:ascii="楷体_GB2312" w:eastAsia="楷体_GB2312" w:cs="DengXian-Bold"/>
          <w:b/>
          <w:bCs/>
          <w:sz w:val="32"/>
          <w:szCs w:val="32"/>
        </w:rPr>
      </w:pPr>
      <w:r>
        <w:drawing>
          <wp:inline distT="0" distB="0" distL="114300" distR="114300">
            <wp:extent cx="4572000" cy="2981325"/>
            <wp:effectExtent l="47625" t="4445" r="47625" b="100330"/>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spacing w:after="0" w:line="580" w:lineRule="exact"/>
        <w:ind w:firstLine="643" w:firstLineChars="200"/>
        <w:rPr>
          <w:rFonts w:ascii="楷体_GB2312" w:eastAsia="楷体_GB2312" w:cs="DengXian-Bold"/>
          <w:b/>
          <w:bCs/>
          <w:sz w:val="32"/>
          <w:szCs w:val="32"/>
        </w:rPr>
      </w:pPr>
    </w:p>
    <w:p>
      <w:pPr>
        <w:spacing w:after="0" w:line="580" w:lineRule="exact"/>
        <w:ind w:firstLine="420" w:firstLineChars="200"/>
        <w:rPr>
          <w:rFonts w:ascii="楷体_GB2312" w:eastAsia="楷体_GB2312" w:cs="DengXian-Bold"/>
          <w:b/>
          <w:bCs/>
          <w:sz w:val="32"/>
          <w:szCs w:val="32"/>
        </w:rPr>
      </w:pPr>
      <w:r>
        <w:drawing>
          <wp:anchor distT="0" distB="0" distL="114300" distR="114300" simplePos="0" relativeHeight="251667456" behindDoc="0" locked="0" layoutInCell="1" allowOverlap="1">
            <wp:simplePos x="0" y="0"/>
            <wp:positionH relativeFrom="column">
              <wp:posOffset>462280</wp:posOffset>
            </wp:positionH>
            <wp:positionV relativeFrom="paragraph">
              <wp:posOffset>364490</wp:posOffset>
            </wp:positionV>
            <wp:extent cx="4572000" cy="2981325"/>
            <wp:effectExtent l="47625" t="4445" r="47625" b="100330"/>
            <wp:wrapSquare wrapText="bothSides"/>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楷体_GB2312" w:eastAsia="楷体_GB2312" w:cs="DengXian-Bold"/>
          <w:b/>
          <w:bCs/>
          <w:sz w:val="32"/>
          <w:szCs w:val="32"/>
        </w:rPr>
      </w:pPr>
    </w:p>
    <w:p>
      <w:pPr>
        <w:spacing w:after="0" w:line="580" w:lineRule="exact"/>
        <w:ind w:left="1063" w:leftChars="200" w:hanging="643" w:hanging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一般公共预算财政拨款收入172.97万元，完成年初预算的133.05%,比年初预算增加42.97万元，决算数大于预算数主要原因是追加了创城经费；本年支出221.2万元，完成年初预算的170.15%,比年初预算增加91.2万元，决算数大于预算数主要原因是追加了创城经费及十九大宣传经费。</w:t>
      </w:r>
    </w:p>
    <w:p>
      <w:pPr>
        <w:adjustRightInd w:val="0"/>
        <w:snapToGrid w:val="0"/>
        <w:spacing w:after="0" w:line="580" w:lineRule="exact"/>
        <w:ind w:firstLine="640" w:firstLineChars="200"/>
        <w:rPr>
          <w:rFonts w:ascii="仿宋_GB2312" w:cs="DengXian-Regular" w:eastAsiaTheme="minorEastAsia"/>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420" w:firstLineChars="200"/>
        <w:rPr>
          <w:rFonts w:ascii="楷体_GB2312" w:eastAsia="楷体_GB2312" w:cs="DengXian-Bold"/>
          <w:b/>
          <w:bCs/>
          <w:sz w:val="32"/>
          <w:szCs w:val="32"/>
        </w:rPr>
      </w:pPr>
      <w:r>
        <w:drawing>
          <wp:anchor distT="0" distB="0" distL="114300" distR="114300" simplePos="0" relativeHeight="251668480" behindDoc="0" locked="0" layoutInCell="1" allowOverlap="1">
            <wp:simplePos x="0" y="0"/>
            <wp:positionH relativeFrom="column">
              <wp:posOffset>314325</wp:posOffset>
            </wp:positionH>
            <wp:positionV relativeFrom="paragraph">
              <wp:posOffset>-3301365</wp:posOffset>
            </wp:positionV>
            <wp:extent cx="4572000" cy="3486150"/>
            <wp:effectExtent l="47625" t="4445" r="47625" b="109855"/>
            <wp:wrapSquare wrapText="bothSides"/>
            <wp:docPr id="1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年度财政拨款支出221.2万元，主要用于以下方面一般公共服务（类）支出215.7万元，占97.51%；公共安全类（类）支出0万元，占0%；教育（类）支出0万元，占0%；科学技术（类）支出0万元，占 0%；社会保障和就业（类）支出 5.5万元，占2.49%；住房保障（类）支出0万元，占 0%。</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drawing>
          <wp:anchor distT="0" distB="0" distL="114300" distR="114300" simplePos="0" relativeHeight="251669504" behindDoc="0" locked="0" layoutInCell="1" allowOverlap="1">
            <wp:simplePos x="0" y="0"/>
            <wp:positionH relativeFrom="column">
              <wp:posOffset>314325</wp:posOffset>
            </wp:positionH>
            <wp:positionV relativeFrom="paragraph">
              <wp:posOffset>-3034665</wp:posOffset>
            </wp:positionV>
            <wp:extent cx="4572000" cy="3228975"/>
            <wp:effectExtent l="57150" t="0" r="57150" b="66675"/>
            <wp:wrapSquare wrapText="bothSides"/>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年度一般公共预算财政拨款基本支出121.15万元，其中：人员经费 98.22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22.93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本部门2018年度“三公”经费支出共计0.52万元，</w:t>
      </w:r>
      <w:r>
        <w:rPr>
          <w:rFonts w:hint="eastAsia" w:ascii="仿宋_GB2312" w:eastAsia="仿宋_GB2312" w:cs="DengXian-Regular"/>
          <w:b/>
          <w:bCs/>
          <w:sz w:val="32"/>
          <w:szCs w:val="32"/>
        </w:rPr>
        <w:t>较年初预算减少</w:t>
      </w:r>
      <w:r>
        <w:rPr>
          <w:rFonts w:hint="eastAsia" w:cs="DengXian-Regular" w:asciiTheme="minorEastAsia" w:hAnsiTheme="minorEastAsia" w:eastAsiaTheme="minorEastAsia"/>
          <w:b/>
          <w:bCs/>
          <w:sz w:val="32"/>
          <w:szCs w:val="32"/>
        </w:rPr>
        <w:t>2</w:t>
      </w:r>
      <w:r>
        <w:rPr>
          <w:rFonts w:hint="eastAsia" w:ascii="仿宋_GB2312" w:eastAsia="仿宋_GB2312" w:cs="DengXian-Regular"/>
          <w:b/>
          <w:bCs/>
          <w:sz w:val="32"/>
          <w:szCs w:val="32"/>
        </w:rPr>
        <w:t>.87万元，降低78%，</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本部门2018年度因公出国（境）团组0个、0人.参加其他单位组织的因公出国（境）</w:t>
      </w:r>
      <w:r>
        <w:rPr>
          <w:rFonts w:hint="eastAsia" w:ascii="仿宋" w:hAnsi="仿宋" w:eastAsia="仿宋" w:cs="DengXian-Regular"/>
          <w:sz w:val="32"/>
          <w:szCs w:val="32"/>
        </w:rPr>
        <w:t>较年初预算无增减变化。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（二）公务用车购置及运行维护费支出0.33万元。</w:t>
      </w:r>
      <w:r>
        <w:rPr>
          <w:rFonts w:hint="eastAsia" w:ascii="仿宋_GB2312" w:eastAsia="仿宋_GB2312" w:cs="DengXian-Regular"/>
          <w:sz w:val="32"/>
          <w:szCs w:val="32"/>
        </w:rPr>
        <w:t>本部门2018年度公务用车购置及运行维护费较年初预算减少2.67万元，降低89%,主要是认真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 w:hAnsi="仿宋" w:eastAsia="仿宋"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w:t>
      </w:r>
      <w:r>
        <w:rPr>
          <w:rFonts w:hint="eastAsia" w:ascii="仿宋" w:hAnsi="仿宋" w:eastAsia="仿宋" w:cs="宋体"/>
          <w:sz w:val="32"/>
          <w:szCs w:val="32"/>
        </w:rPr>
        <w:t>本年未</w:t>
      </w:r>
      <w:r>
        <w:rPr>
          <w:rFonts w:hint="eastAsia" w:ascii="仿宋" w:hAnsi="仿宋" w:eastAsia="仿宋" w:cs="DengXian-Regular"/>
          <w:color w:val="000000" w:themeColor="text1"/>
          <w:sz w:val="32"/>
          <w:szCs w:val="32"/>
        </w:rPr>
        <w:t>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本部门2018年度单位公务用车保有量1辆。公车运行维护费支出较年初预算减少2.67万元，降低89%,主要是年末未结算车辆维修维护费。</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（三）公务接待费支出0.19万元。</w:t>
      </w:r>
      <w:r>
        <w:rPr>
          <w:rFonts w:hint="eastAsia" w:ascii="仿宋_GB2312" w:eastAsia="仿宋_GB2312" w:cs="DengXian-Regular"/>
          <w:sz w:val="32"/>
          <w:szCs w:val="32"/>
        </w:rPr>
        <w:t>本部门2018年度公务接待共2批次、16人次。公务接待费支出较年初预算</w:t>
      </w:r>
      <w:r>
        <w:rPr>
          <w:rFonts w:hint="eastAsia" w:ascii="宋体" w:hAnsi="宋体" w:cs="宋体"/>
          <w:sz w:val="32"/>
          <w:szCs w:val="32"/>
        </w:rPr>
        <w:t>减少</w:t>
      </w:r>
      <w:r>
        <w:rPr>
          <w:rFonts w:hint="eastAsia" w:ascii="仿宋_GB2312" w:eastAsia="仿宋_GB2312" w:cs="DengXian-Regular"/>
          <w:sz w:val="32"/>
          <w:szCs w:val="32"/>
        </w:rPr>
        <w:t>0.01万元，</w:t>
      </w:r>
      <w:r>
        <w:rPr>
          <w:rFonts w:hint="eastAsia" w:ascii="宋体" w:hAnsi="宋体" w:cs="宋体"/>
          <w:sz w:val="32"/>
          <w:szCs w:val="32"/>
        </w:rPr>
        <w:t>降低</w:t>
      </w:r>
      <w:r>
        <w:rPr>
          <w:rFonts w:hint="eastAsia" w:ascii="仿宋_GB2312" w:eastAsia="仿宋_GB2312" w:cs="DengXian-Regular"/>
          <w:sz w:val="32"/>
          <w:szCs w:val="32"/>
        </w:rPr>
        <w:t>5%,主要是认真</w:t>
      </w:r>
      <w:r>
        <w:rPr>
          <w:rFonts w:hint="eastAsia" w:ascii="仿宋_GB2312" w:eastAsia="仿宋_GB2312" w:cs="DengXian-Regular"/>
          <w:sz w:val="32"/>
          <w:szCs w:val="32"/>
          <w:lang w:eastAsia="zh-CN"/>
        </w:rPr>
        <w:t>贯彻落实中央</w:t>
      </w:r>
      <w:bookmarkStart w:id="0" w:name="_GoBack"/>
      <w:bookmarkEnd w:id="0"/>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创城、十九大宣传、理论中心组学习、对外宣传等4个项目，涉及资金100.05万元。从评价情况看，评价结果为优秀的项目有2个，良好的项目有1个，一般的项目有1个。</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（三）预算项目绩效自评选例本单位</w:t>
      </w:r>
    </w:p>
    <w:p>
      <w:pPr>
        <w:spacing w:line="500" w:lineRule="exact"/>
        <w:ind w:firstLine="640" w:firstLineChars="200"/>
        <w:rPr>
          <w:rFonts w:ascii="仿宋_GB2312" w:hAnsi="仿宋" w:eastAsia="仿宋_GB2312" w:cs="仿宋_GB2312"/>
          <w:sz w:val="30"/>
          <w:szCs w:val="30"/>
        </w:rPr>
      </w:pPr>
      <w:r>
        <w:rPr>
          <w:rFonts w:hint="eastAsia" w:ascii="仿宋_GB2312" w:hAnsi="仿宋_GB2312" w:eastAsia="仿宋_GB2312" w:cs="仿宋_GB2312"/>
          <w:sz w:val="32"/>
          <w:szCs w:val="32"/>
        </w:rPr>
        <w:t>补助地方国家电影事业发展专项资金项目自评综述：根据年初设定的绩效目标，创建省省级文明县城项目自评94分。全年预算数为84.05万元，执行数为84.05万元，完成预算的100%。项目绩效目标完成情况及产出效果：</w:t>
      </w:r>
      <w:r>
        <w:rPr>
          <w:rFonts w:hint="eastAsia" w:ascii="仿宋_GB2312" w:hAnsi="仿宋" w:eastAsia="仿宋_GB2312" w:cs="仿宋_GB2312"/>
          <w:sz w:val="30"/>
          <w:szCs w:val="30"/>
        </w:rPr>
        <w:t>2018年创建省级文明县城，环境更加优美，人们素质普遍提高。未发现其他问题</w:t>
      </w:r>
    </w:p>
    <w:p>
      <w:pPr>
        <w:adjustRightInd w:val="0"/>
        <w:snapToGrid w:val="0"/>
        <w:spacing w:after="0" w:line="580" w:lineRule="exact"/>
        <w:ind w:firstLine="640" w:firstLineChars="200"/>
        <w:rPr>
          <w:rFonts w:ascii="仿宋_GB2312" w:eastAsia="仿宋_GB2312" w:cs="DengXian-Regular"/>
          <w:sz w:val="32"/>
          <w:szCs w:val="32"/>
        </w:rPr>
      </w:pP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本部门2018年度机关运行经费支出22.93万元，比年初预算数增加10.93万元，增长91%。主要原因是上年应结未结机关运行维护费。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增加0辆。其中，副部（省）级及以上领导用车0辆，主要领导干部用车1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1、本部门2018年度政府性基金、国有资本经营、政府采购无收支及结转结余情况，故表08、表09、表10以空表列示。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Zp6M3gAAAA0BAAAPAAAAAAAAAAEAIAAAACIAAABkcnMvZG93bnJldi54bWxQSwEC&#10;FAAUAAAACACHTuJAKulGQycCAAApBAAADgAAAAAAAAABACAAAAAtAQAAZHJzL2Uyb0RvYy54bWxQ&#10;SwUGAAAAAAYABgBZAQAAxg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8E77B94-AD24-4C62-910C-9AD1EBF318D3}"/>
  </w:font>
  <w:font w:name="黑体">
    <w:panose1 w:val="02010609060101010101"/>
    <w:charset w:val="86"/>
    <w:family w:val="auto"/>
    <w:pitch w:val="default"/>
    <w:sig w:usb0="800002BF" w:usb1="38CF7CFA" w:usb2="00000016" w:usb3="00000000" w:csb0="00040001" w:csb1="00000000"/>
    <w:embedRegular r:id="rId2" w:fontKey="{4899A64C-1464-412D-97A5-A7731CD0C46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3CD3994F-E387-4EB0-B89C-E614429535CC}"/>
  </w:font>
  <w:font w:name="楷体">
    <w:panose1 w:val="02010609060101010101"/>
    <w:charset w:val="86"/>
    <w:family w:val="modern"/>
    <w:pitch w:val="default"/>
    <w:sig w:usb0="800002BF" w:usb1="38CF7CFA" w:usb2="00000016" w:usb3="00000000" w:csb0="00040001" w:csb1="00000000"/>
    <w:embedRegular r:id="rId4" w:fontKey="{3ECAF185-E785-49A7-B088-7052FF49AB8D}"/>
  </w:font>
  <w:font w:name="楷体_GB2312">
    <w:panose1 w:val="02010609030101010101"/>
    <w:charset w:val="86"/>
    <w:family w:val="modern"/>
    <w:pitch w:val="default"/>
    <w:sig w:usb0="00000001" w:usb1="080E0000" w:usb2="00000000" w:usb3="00000000" w:csb0="00040000" w:csb1="00000000"/>
    <w:embedRegular r:id="rId5" w:fontKey="{735B7B75-44AC-4E8F-81E6-F0973A9A50F8}"/>
  </w:font>
  <w:font w:name="仿宋_GB2312">
    <w:panose1 w:val="02010609030101010101"/>
    <w:charset w:val="86"/>
    <w:family w:val="modern"/>
    <w:pitch w:val="default"/>
    <w:sig w:usb0="00000001" w:usb1="080E0000" w:usb2="00000000" w:usb3="00000000" w:csb0="00040000" w:csb1="00000000"/>
    <w:embedRegular r:id="rId6" w:fontKey="{5ED0C183-704F-484C-AF4B-F501AFA1454B}"/>
  </w:font>
  <w:font w:name="ArialUnicodeMS">
    <w:altName w:val="Malgun Gothic"/>
    <w:panose1 w:val="00000000000000000000"/>
    <w:charset w:val="81"/>
    <w:family w:val="auto"/>
    <w:pitch w:val="default"/>
    <w:sig w:usb0="00000000" w:usb1="00000000" w:usb2="00000010" w:usb3="00000000" w:csb0="00080001" w:csb1="00000000"/>
    <w:embedRegular r:id="rId7" w:fontKey="{574B1FC0-926D-4B2E-AA6E-F76FF5DF9E5B}"/>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81726C06-B04A-4910-8F5A-85FC00E25E0B}"/>
  </w:font>
  <w:font w:name="DengXian-Regular">
    <w:altName w:val="宋体"/>
    <w:panose1 w:val="00000000000000000000"/>
    <w:charset w:val="86"/>
    <w:family w:val="auto"/>
    <w:pitch w:val="default"/>
    <w:sig w:usb0="00000000" w:usb1="00000000" w:usb2="00000010" w:usb3="00000000" w:csb0="00040001" w:csb1="00000000"/>
    <w:embedRegular r:id="rId9" w:fontKey="{2370EE72-1C6B-4AD5-B40A-F36547E891AF}"/>
  </w:font>
  <w:font w:name="仿宋">
    <w:panose1 w:val="02010609060101010101"/>
    <w:charset w:val="86"/>
    <w:family w:val="modern"/>
    <w:pitch w:val="default"/>
    <w:sig w:usb0="800002BF" w:usb1="38CF7CFA" w:usb2="00000016" w:usb3="00000000" w:csb0="00040001" w:csb1="00000000"/>
    <w:embedRegular r:id="rId10" w:fontKey="{A9FE7828-1731-42B7-8A99-70C58030A4A3}"/>
  </w:font>
  <w:font w:name="DengXian-Bold">
    <w:altName w:val="宋体"/>
    <w:panose1 w:val="00000000000000000000"/>
    <w:charset w:val="86"/>
    <w:family w:val="auto"/>
    <w:pitch w:val="default"/>
    <w:sig w:usb0="00000000" w:usb1="00000000" w:usb2="00000010" w:usb3="00000000" w:csb0="00040001" w:csb1="00000000"/>
    <w:embedRegular r:id="rId11" w:fontKey="{30D0388A-ADDA-4F9E-A760-27BD6B5AD43F}"/>
  </w:font>
  <w:font w:name="TimesNewRomanPSMT">
    <w:altName w:val="Arial"/>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00FCC"/>
    <w:rsid w:val="00005AE3"/>
    <w:rsid w:val="00024E7F"/>
    <w:rsid w:val="00024EA3"/>
    <w:rsid w:val="000475A0"/>
    <w:rsid w:val="000838C3"/>
    <w:rsid w:val="000A39EE"/>
    <w:rsid w:val="000B2446"/>
    <w:rsid w:val="000B440E"/>
    <w:rsid w:val="000C6A29"/>
    <w:rsid w:val="000D3439"/>
    <w:rsid w:val="000D7C65"/>
    <w:rsid w:val="000E2F81"/>
    <w:rsid w:val="000F0A7D"/>
    <w:rsid w:val="00112B4D"/>
    <w:rsid w:val="00117946"/>
    <w:rsid w:val="00117E2C"/>
    <w:rsid w:val="00146C47"/>
    <w:rsid w:val="00152FB8"/>
    <w:rsid w:val="00176658"/>
    <w:rsid w:val="0018239E"/>
    <w:rsid w:val="001B3410"/>
    <w:rsid w:val="001C030D"/>
    <w:rsid w:val="001C4A84"/>
    <w:rsid w:val="001D0EEC"/>
    <w:rsid w:val="001E5902"/>
    <w:rsid w:val="001F24AB"/>
    <w:rsid w:val="00221B5E"/>
    <w:rsid w:val="00224E91"/>
    <w:rsid w:val="00233705"/>
    <w:rsid w:val="00274652"/>
    <w:rsid w:val="00275CA2"/>
    <w:rsid w:val="002A65A5"/>
    <w:rsid w:val="002B6C13"/>
    <w:rsid w:val="002C04C4"/>
    <w:rsid w:val="002D08B0"/>
    <w:rsid w:val="002D1AE3"/>
    <w:rsid w:val="002E7C00"/>
    <w:rsid w:val="002F2ECE"/>
    <w:rsid w:val="0030297A"/>
    <w:rsid w:val="0032188D"/>
    <w:rsid w:val="003417A3"/>
    <w:rsid w:val="00341C8F"/>
    <w:rsid w:val="0035463A"/>
    <w:rsid w:val="00367BDC"/>
    <w:rsid w:val="003705C8"/>
    <w:rsid w:val="00380A24"/>
    <w:rsid w:val="00391D9D"/>
    <w:rsid w:val="00391E1D"/>
    <w:rsid w:val="003B6C51"/>
    <w:rsid w:val="003C1413"/>
    <w:rsid w:val="003C549F"/>
    <w:rsid w:val="003D5A16"/>
    <w:rsid w:val="003E7DB3"/>
    <w:rsid w:val="003F7EC9"/>
    <w:rsid w:val="004049CD"/>
    <w:rsid w:val="00412683"/>
    <w:rsid w:val="0042051E"/>
    <w:rsid w:val="00431175"/>
    <w:rsid w:val="00450861"/>
    <w:rsid w:val="00456F9E"/>
    <w:rsid w:val="004B6E37"/>
    <w:rsid w:val="004C32BA"/>
    <w:rsid w:val="004F5F12"/>
    <w:rsid w:val="00502871"/>
    <w:rsid w:val="00561C66"/>
    <w:rsid w:val="00575922"/>
    <w:rsid w:val="005A6C90"/>
    <w:rsid w:val="005D7DD5"/>
    <w:rsid w:val="005E3FB0"/>
    <w:rsid w:val="005F4B66"/>
    <w:rsid w:val="005F5208"/>
    <w:rsid w:val="00617F0A"/>
    <w:rsid w:val="00641318"/>
    <w:rsid w:val="00643CDD"/>
    <w:rsid w:val="0064405D"/>
    <w:rsid w:val="00685302"/>
    <w:rsid w:val="00695557"/>
    <w:rsid w:val="006D4EA7"/>
    <w:rsid w:val="006E58D8"/>
    <w:rsid w:val="0070012A"/>
    <w:rsid w:val="0070664B"/>
    <w:rsid w:val="007071B8"/>
    <w:rsid w:val="007414DE"/>
    <w:rsid w:val="0074209C"/>
    <w:rsid w:val="00746E6C"/>
    <w:rsid w:val="00782DA0"/>
    <w:rsid w:val="007905A9"/>
    <w:rsid w:val="0079471D"/>
    <w:rsid w:val="007C56B7"/>
    <w:rsid w:val="007E5500"/>
    <w:rsid w:val="007F055B"/>
    <w:rsid w:val="0080644C"/>
    <w:rsid w:val="00811C2F"/>
    <w:rsid w:val="00833D46"/>
    <w:rsid w:val="00840A97"/>
    <w:rsid w:val="00877920"/>
    <w:rsid w:val="00881A42"/>
    <w:rsid w:val="008C0149"/>
    <w:rsid w:val="008C689C"/>
    <w:rsid w:val="008D5DED"/>
    <w:rsid w:val="008E25CA"/>
    <w:rsid w:val="008F34FC"/>
    <w:rsid w:val="00935058"/>
    <w:rsid w:val="00944CD7"/>
    <w:rsid w:val="009831B2"/>
    <w:rsid w:val="009A1ABE"/>
    <w:rsid w:val="009A6852"/>
    <w:rsid w:val="009B7A1E"/>
    <w:rsid w:val="009D5BA8"/>
    <w:rsid w:val="009E21A4"/>
    <w:rsid w:val="009F22C6"/>
    <w:rsid w:val="00A07E50"/>
    <w:rsid w:val="00A15397"/>
    <w:rsid w:val="00A35CE0"/>
    <w:rsid w:val="00A4462E"/>
    <w:rsid w:val="00A44AA4"/>
    <w:rsid w:val="00A572BB"/>
    <w:rsid w:val="00A61623"/>
    <w:rsid w:val="00A75E53"/>
    <w:rsid w:val="00A84687"/>
    <w:rsid w:val="00AB0A0E"/>
    <w:rsid w:val="00AC7BCE"/>
    <w:rsid w:val="00AD3B6E"/>
    <w:rsid w:val="00AE5269"/>
    <w:rsid w:val="00B1751F"/>
    <w:rsid w:val="00B4695C"/>
    <w:rsid w:val="00B56722"/>
    <w:rsid w:val="00B74D39"/>
    <w:rsid w:val="00B8317E"/>
    <w:rsid w:val="00B91DA4"/>
    <w:rsid w:val="00C12630"/>
    <w:rsid w:val="00C34562"/>
    <w:rsid w:val="00C3774E"/>
    <w:rsid w:val="00C57456"/>
    <w:rsid w:val="00C65387"/>
    <w:rsid w:val="00C87FAB"/>
    <w:rsid w:val="00C91FF7"/>
    <w:rsid w:val="00C94E53"/>
    <w:rsid w:val="00CC393F"/>
    <w:rsid w:val="00D0048E"/>
    <w:rsid w:val="00D23E7A"/>
    <w:rsid w:val="00D61063"/>
    <w:rsid w:val="00DA0CC0"/>
    <w:rsid w:val="00DB35AF"/>
    <w:rsid w:val="00DD11A2"/>
    <w:rsid w:val="00DD72D7"/>
    <w:rsid w:val="00DF5B88"/>
    <w:rsid w:val="00E0589E"/>
    <w:rsid w:val="00E05AC8"/>
    <w:rsid w:val="00E234F0"/>
    <w:rsid w:val="00E241FA"/>
    <w:rsid w:val="00E2595E"/>
    <w:rsid w:val="00E35374"/>
    <w:rsid w:val="00E50C19"/>
    <w:rsid w:val="00E64655"/>
    <w:rsid w:val="00E73081"/>
    <w:rsid w:val="00E856C9"/>
    <w:rsid w:val="00E8744D"/>
    <w:rsid w:val="00E93101"/>
    <w:rsid w:val="00EB4213"/>
    <w:rsid w:val="00EB54E3"/>
    <w:rsid w:val="00EB6A8B"/>
    <w:rsid w:val="00EF38C6"/>
    <w:rsid w:val="00F679C7"/>
    <w:rsid w:val="00F71D58"/>
    <w:rsid w:val="00F7711A"/>
    <w:rsid w:val="00FA0D58"/>
    <w:rsid w:val="00FA56F4"/>
    <w:rsid w:val="00FB4EDA"/>
    <w:rsid w:val="00FD3BD5"/>
    <w:rsid w:val="00FE3DC8"/>
    <w:rsid w:val="02311CB9"/>
    <w:rsid w:val="04073F84"/>
    <w:rsid w:val="0586592E"/>
    <w:rsid w:val="0B60750A"/>
    <w:rsid w:val="0CD4615A"/>
    <w:rsid w:val="0D8C6612"/>
    <w:rsid w:val="0F315B58"/>
    <w:rsid w:val="10686488"/>
    <w:rsid w:val="10DF728A"/>
    <w:rsid w:val="1264200E"/>
    <w:rsid w:val="141C5B77"/>
    <w:rsid w:val="14E35238"/>
    <w:rsid w:val="161223B3"/>
    <w:rsid w:val="17A53B05"/>
    <w:rsid w:val="18D8339D"/>
    <w:rsid w:val="1A21388F"/>
    <w:rsid w:val="1A570D2F"/>
    <w:rsid w:val="1BCA7B8F"/>
    <w:rsid w:val="1F2E24E1"/>
    <w:rsid w:val="1F591DBD"/>
    <w:rsid w:val="216340D6"/>
    <w:rsid w:val="21955106"/>
    <w:rsid w:val="272D30DC"/>
    <w:rsid w:val="2886465A"/>
    <w:rsid w:val="28CB03FB"/>
    <w:rsid w:val="28FB0B8D"/>
    <w:rsid w:val="2A72420B"/>
    <w:rsid w:val="2A9870FC"/>
    <w:rsid w:val="2C651337"/>
    <w:rsid w:val="2D2B7942"/>
    <w:rsid w:val="2D46481D"/>
    <w:rsid w:val="2E733B28"/>
    <w:rsid w:val="31852B5A"/>
    <w:rsid w:val="32D01238"/>
    <w:rsid w:val="32D56DC6"/>
    <w:rsid w:val="36000BA8"/>
    <w:rsid w:val="372D676E"/>
    <w:rsid w:val="3B645C3E"/>
    <w:rsid w:val="3C400C5B"/>
    <w:rsid w:val="3D3C402E"/>
    <w:rsid w:val="3D590B7D"/>
    <w:rsid w:val="3DFC59A8"/>
    <w:rsid w:val="3ECF245E"/>
    <w:rsid w:val="3FB96314"/>
    <w:rsid w:val="42670160"/>
    <w:rsid w:val="444A55B3"/>
    <w:rsid w:val="45AF544C"/>
    <w:rsid w:val="47EB4BDD"/>
    <w:rsid w:val="4B285B8C"/>
    <w:rsid w:val="4BF95A96"/>
    <w:rsid w:val="4C9A6754"/>
    <w:rsid w:val="4D5C112F"/>
    <w:rsid w:val="4DAD4D47"/>
    <w:rsid w:val="4DC205A9"/>
    <w:rsid w:val="501D0809"/>
    <w:rsid w:val="53A44FAF"/>
    <w:rsid w:val="54B85525"/>
    <w:rsid w:val="54FF5EFA"/>
    <w:rsid w:val="56C16074"/>
    <w:rsid w:val="587B022D"/>
    <w:rsid w:val="5891698A"/>
    <w:rsid w:val="590371A2"/>
    <w:rsid w:val="594329EC"/>
    <w:rsid w:val="5A441C49"/>
    <w:rsid w:val="5B641F9A"/>
    <w:rsid w:val="5BEE1540"/>
    <w:rsid w:val="5CD73EC2"/>
    <w:rsid w:val="5DE61A5D"/>
    <w:rsid w:val="63C04243"/>
    <w:rsid w:val="649C01C7"/>
    <w:rsid w:val="65666A57"/>
    <w:rsid w:val="68AA0935"/>
    <w:rsid w:val="699A3F60"/>
    <w:rsid w:val="6EC20572"/>
    <w:rsid w:val="6FCE2D34"/>
    <w:rsid w:val="70227EC6"/>
    <w:rsid w:val="70A77D98"/>
    <w:rsid w:val="72902E62"/>
    <w:rsid w:val="73C61104"/>
    <w:rsid w:val="776452EA"/>
    <w:rsid w:val="77EA2099"/>
    <w:rsid w:val="794E6028"/>
    <w:rsid w:val="7D8F44C3"/>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3.xml"/><Relationship Id="rId17" Type="http://schemas.openxmlformats.org/officeDocument/2006/relationships/customXml" Target="../customXml/item2.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chart" Target="charts/chart6.xml"/><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3459;&#20256;&#37096;\&#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3459;&#20256;&#37096;\&#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3459;&#20256;&#37096;\&#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23459;&#20256;&#37096;\&#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3459;&#20256;&#37096;\&#37096;&#38376;&#20915;&#31639;&#20844;&#24320;&#21046;&#22270;&#27169;&#26495;&#65288;&#20462;&#25913;&#29256;&#65289;(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23459;&#20256;&#37096;\&#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01"/>
          <c:y val="0.850746268656718"/>
        </c:manualLayout>
      </c:layout>
      <c:overlay val="0"/>
    </c:title>
    <c:autoTitleDeleted val="0"/>
    <c:plotArea>
      <c:layout>
        <c:manualLayout>
          <c:layoutTarget val="inner"/>
          <c:xMode val="edge"/>
          <c:yMode val="edge"/>
          <c:x val="0.0943148809218805"/>
          <c:y val="0.0575245818153329"/>
          <c:w val="0.811370238156239"/>
          <c:h val="0.765547851294711"/>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172.97</c:v>
                </c:pt>
                <c:pt idx="3">
                  <c:v>0</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121.15</c:v>
                </c:pt>
                <c:pt idx="1">
                  <c:v>100.05</c:v>
                </c:pt>
                <c:pt idx="2">
                  <c:v>0</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#,##0.00</c:formatCode>
                <c:ptCount val="2"/>
                <c:pt idx="0">
                  <c:v>172.97</c:v>
                </c:pt>
                <c:pt idx="1">
                  <c:v>221.2</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#,##0.00</c:formatCode>
                <c:ptCount val="2"/>
                <c:pt idx="0">
                  <c:v>306.33</c:v>
                </c:pt>
                <c:pt idx="1">
                  <c:v>250</c:v>
                </c:pt>
              </c:numCache>
            </c:numRef>
          </c:val>
        </c:ser>
        <c:dLbls>
          <c:showLegendKey val="0"/>
          <c:showVal val="1"/>
          <c:showCatName val="0"/>
          <c:showSerName val="0"/>
          <c:showPercent val="0"/>
          <c:showBubbleSize val="0"/>
        </c:dLbls>
        <c:gapWidth val="75"/>
        <c:axId val="235211008"/>
        <c:axId val="235249664"/>
      </c:barChart>
      <c:catAx>
        <c:axId val="23521100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249664"/>
        <c:crosses val="autoZero"/>
        <c:auto val="1"/>
        <c:lblAlgn val="ctr"/>
        <c:lblOffset val="100"/>
        <c:noMultiLvlLbl val="0"/>
      </c:catAx>
      <c:valAx>
        <c:axId val="235249664"/>
        <c:scaling>
          <c:orientation val="minMax"/>
        </c:scaling>
        <c:delete val="0"/>
        <c:axPos val="l"/>
        <c:numFmt formatCode="#,##0.00"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211008"/>
        <c:crosses val="autoZero"/>
        <c:crossBetween val="between"/>
      </c:valAx>
    </c:plotArea>
    <c:legend>
      <c:legendPos val="b"/>
      <c:layout>
        <c:manualLayout>
          <c:xMode val="edge"/>
          <c:yMode val="edge"/>
          <c:x val="0.426340551181102"/>
          <c:y val="0.756835299740888"/>
          <c:w val="0.208429790026247"/>
          <c:h val="0.077030514955598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#,##0.00</c:formatCode>
                <c:ptCount val="2"/>
                <c:pt idx="0">
                  <c:v>172.97</c:v>
                </c:pt>
                <c:pt idx="1">
                  <c:v>221.2</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#,##0.00</c:formatCode>
                <c:ptCount val="2"/>
                <c:pt idx="0">
                  <c:v>306.33</c:v>
                </c:pt>
                <c:pt idx="1">
                  <c:v>250</c:v>
                </c:pt>
              </c:numCache>
            </c:numRef>
          </c:val>
        </c:ser>
        <c:dLbls>
          <c:showLegendKey val="0"/>
          <c:showVal val="1"/>
          <c:showCatName val="0"/>
          <c:showSerName val="0"/>
          <c:showPercent val="0"/>
          <c:showBubbleSize val="0"/>
        </c:dLbls>
        <c:gapWidth val="75"/>
        <c:axId val="250785792"/>
        <c:axId val="250787328"/>
      </c:barChart>
      <c:catAx>
        <c:axId val="2507857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0787328"/>
        <c:crosses val="autoZero"/>
        <c:auto val="1"/>
        <c:lblAlgn val="ctr"/>
        <c:lblOffset val="100"/>
        <c:noMultiLvlLbl val="0"/>
      </c:catAx>
      <c:valAx>
        <c:axId val="250787328"/>
        <c:scaling>
          <c:orientation val="minMax"/>
        </c:scaling>
        <c:delete val="0"/>
        <c:axPos val="l"/>
        <c:numFmt formatCode="#,##0.00"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0785792"/>
        <c:crosses val="autoZero"/>
        <c:crossBetween val="between"/>
      </c:valAx>
    </c:plotArea>
    <c:legend>
      <c:legendPos val="b"/>
      <c:layout>
        <c:manualLayout>
          <c:xMode val="edge"/>
          <c:yMode val="edge"/>
          <c:x val="0.426340551181102"/>
          <c:y val="0.756835299740888"/>
          <c:w val="0.208429790026247"/>
          <c:h val="0.077030514955598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132</c:v>
                </c:pt>
                <c:pt idx="1">
                  <c:v>132</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#,##0.00</c:formatCode>
                <c:ptCount val="2"/>
                <c:pt idx="0">
                  <c:v>172.97</c:v>
                </c:pt>
                <c:pt idx="1">
                  <c:v>221.2</c:v>
                </c:pt>
              </c:numCache>
            </c:numRef>
          </c:val>
        </c:ser>
        <c:dLbls>
          <c:showLegendKey val="0"/>
          <c:showVal val="1"/>
          <c:showCatName val="0"/>
          <c:showSerName val="0"/>
          <c:showPercent val="0"/>
          <c:showBubbleSize val="0"/>
        </c:dLbls>
        <c:gapWidth val="75"/>
        <c:axId val="256125184"/>
        <c:axId val="256139264"/>
      </c:barChart>
      <c:catAx>
        <c:axId val="25612518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6139264"/>
        <c:crosses val="autoZero"/>
        <c:auto val="1"/>
        <c:lblAlgn val="ctr"/>
        <c:lblOffset val="100"/>
        <c:noMultiLvlLbl val="0"/>
      </c:catAx>
      <c:valAx>
        <c:axId val="25613926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6125184"/>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5</a:t>
            </a:r>
            <a:r>
              <a:rPr lang="zh-CN" altLang="zh-CN" sz="12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2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215.7</c:v>
                </c:pt>
                <c:pt idx="5">
                  <c:v>5.5</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FBC84B8-2853-49A9-B936-042D388F6CB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1724</Words>
  <Characters>9831</Characters>
  <Lines>81</Lines>
  <Paragraphs>23</Paragraphs>
  <TotalTime>7</TotalTime>
  <ScaleCrop>false</ScaleCrop>
  <LinksUpToDate>false</LinksUpToDate>
  <CharactersWithSpaces>11532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2024-06-20T12:42:37Z</dcterms:modified>
  <dc:subject>石家庄市xxx部门</dc:subject>
  <dc:title>2017年度部门决算</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BEED55E46A7B4261A28BE3806054681A</vt:lpwstr>
  </property>
</Properties>
</file>