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2"/>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中共无极县委员会办公室</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624"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县委办</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3"/>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（一）负责推动党中央和省、市、县委决策部署的落实，按照县委要求协调有关方面开展工作，承担县委运行保障具体事务。</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（二）负责县委和县委办公室文件、县委领导讲话的起草、修改等工作。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三）围绕党中央和省、市、县委总体工作部署及领导关注的重大问题开展调查研究，为科学决策提供参考；向上级党委和县委反馈全县重要工作及情况，收集和处理信息，反映动态；负责全县全面深化改革工作的组织协调、督办考核；负责社情民意的搜集、整理和编报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（四）负责县委全会、县委常委会和县委其他重要会议的会务工作；负责县委领导参加重大活动和日常工作活动的组织安排；承担县委值班工作；负责编写县委大事记。</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（五）承担县委履行全面从严治党主体责任相关工作的谋划、部署、督导、推动和落实；负责统筹协调和督促指导全县党务公开工作。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（六）负责县委日常文书处理；负责县委文件和县委办公室代县委行文的审核工作；负责县委制定规范性文件；负责为县委领导提供法律方面的服务工作。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（七）督查上级党委指示和县委重要决策的贯彻落实，督办上级和县委领导交办的重要事项。</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八）贯彻落实党中央和省、市、县委关于国家安全工作的各项决策部署，负责研究提出县委国家安全委员会重点工作安排，收集汇总、整理分析并上报涉及国家安全的情报信息，指导协调有关方面开展国家安全风险排查，组织全县国家安全工作督查检查、考评考核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（九）负责上级党委、政府和全县党政军领导机关及要害部门核心机密的传递工作；承担县委保密委员会的日常工作；按规定程序传送和处理机要文电，保证机要通信畅通。</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（十）负责全县档案事业宏观管理和执法复议、监督指导等工作。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（十一）负责地方志和党史有关工作。</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（十二）完成县委交办的其它任务。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年度本部门决算汇编范围的独立核算单位（以下简称“单位”）共2个，具体情况如下：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rPr>
                <w:kern w:val="0"/>
              </w:rPr>
            </w:pPr>
            <w:r>
              <w:rPr>
                <w:rFonts w:hint="eastAsia" w:ascii="仿宋_GB2312" w:eastAsia="仿宋_GB2312" w:cs="ArialUnicodeMS" w:hAnsiTheme="minorHAnsi"/>
                <w:kern w:val="0"/>
              </w:rPr>
              <w:t>中国共产</w:t>
            </w:r>
            <w:r>
              <w:rPr>
                <w:rFonts w:hint="eastAsia"/>
                <w:kern w:val="0"/>
              </w:rPr>
              <w:t>党无极县委员会办公室</w:t>
            </w:r>
          </w:p>
        </w:tc>
        <w:tc>
          <w:tcPr>
            <w:tcW w:w="2445" w:type="dxa"/>
          </w:tcPr>
          <w:p>
            <w:pPr>
              <w:rPr>
                <w:rFonts w:hint="eastAsia" w:eastAsia="宋体"/>
                <w:kern w:val="0"/>
                <w:lang w:val="en-US" w:eastAsia="zh-CN"/>
              </w:rPr>
            </w:pPr>
            <w:r>
              <w:rPr>
                <w:rFonts w:hint="eastAsia"/>
                <w:kern w:val="0"/>
              </w:rPr>
              <w:t>行政</w:t>
            </w:r>
            <w:r>
              <w:rPr>
                <w:rFonts w:hint="eastAsia"/>
                <w:kern w:val="0"/>
                <w:lang w:val="en-US" w:eastAsia="zh-CN"/>
              </w:rPr>
              <w:t>单位</w:t>
            </w:r>
          </w:p>
        </w:tc>
        <w:tc>
          <w:tcPr>
            <w:tcW w:w="2665" w:type="dxa"/>
          </w:tcPr>
          <w:p>
            <w:pPr>
              <w:rPr>
                <w:kern w:val="0"/>
              </w:rPr>
            </w:pPr>
            <w:r>
              <w:rPr>
                <w:rFonts w:hint="eastAsia"/>
                <w:kern w:val="0"/>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rPr>
                <w:kern w:val="0"/>
              </w:rPr>
            </w:pPr>
            <w:r>
              <w:rPr>
                <w:rFonts w:hint="eastAsia" w:ascii="仿宋_GB2312" w:eastAsia="仿宋_GB2312" w:cs="ArialUnicodeMS" w:hAnsiTheme="minorHAnsi"/>
                <w:kern w:val="0"/>
              </w:rPr>
              <w:t>无</w:t>
            </w:r>
            <w:r>
              <w:rPr>
                <w:rFonts w:hint="eastAsia"/>
                <w:kern w:val="0"/>
              </w:rPr>
              <w:t>极县国防教育办公室</w:t>
            </w:r>
          </w:p>
        </w:tc>
        <w:tc>
          <w:tcPr>
            <w:tcW w:w="2445" w:type="dxa"/>
          </w:tcPr>
          <w:p>
            <w:pPr>
              <w:rPr>
                <w:rFonts w:hint="eastAsia" w:eastAsia="宋体"/>
                <w:kern w:val="0"/>
                <w:lang w:val="en-US" w:eastAsia="zh-CN"/>
              </w:rPr>
            </w:pPr>
            <w:r>
              <w:rPr>
                <w:rFonts w:hint="eastAsia"/>
                <w:kern w:val="0"/>
              </w:rPr>
              <w:t>行政</w:t>
            </w:r>
            <w:r>
              <w:rPr>
                <w:rFonts w:hint="eastAsia"/>
                <w:kern w:val="0"/>
                <w:lang w:val="en-US" w:eastAsia="zh-CN"/>
              </w:rPr>
              <w:t>单位</w:t>
            </w:r>
          </w:p>
        </w:tc>
        <w:tc>
          <w:tcPr>
            <w:tcW w:w="2665" w:type="dxa"/>
          </w:tcPr>
          <w:p>
            <w:pPr>
              <w:rPr>
                <w:kern w:val="0"/>
              </w:rPr>
            </w:pPr>
            <w:r>
              <w:rPr>
                <w:rFonts w:hint="eastAsia"/>
                <w:kern w:val="0"/>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3"/>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1142.55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979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6.36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0.30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233.40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1142.55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1239.07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276.55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1419.07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1419.07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202" w:type="dxa"/>
        <w:jc w:val="center"/>
        <w:tblLayout w:type="fixed"/>
        <w:tblCellMar>
          <w:top w:w="0" w:type="dxa"/>
          <w:left w:w="0" w:type="dxa"/>
          <w:bottom w:w="0" w:type="dxa"/>
          <w:right w:w="0" w:type="dxa"/>
        </w:tblCellMar>
      </w:tblPr>
      <w:tblGrid>
        <w:gridCol w:w="334"/>
        <w:gridCol w:w="178"/>
        <w:gridCol w:w="354"/>
        <w:gridCol w:w="2016"/>
        <w:gridCol w:w="260"/>
        <w:gridCol w:w="815"/>
        <w:gridCol w:w="594"/>
        <w:gridCol w:w="50"/>
        <w:gridCol w:w="260"/>
        <w:gridCol w:w="541"/>
        <w:gridCol w:w="274"/>
        <w:gridCol w:w="691"/>
        <w:gridCol w:w="50"/>
        <w:gridCol w:w="75"/>
        <w:gridCol w:w="300"/>
        <w:gridCol w:w="453"/>
        <w:gridCol w:w="62"/>
        <w:gridCol w:w="505"/>
        <w:gridCol w:w="310"/>
        <w:gridCol w:w="257"/>
        <w:gridCol w:w="421"/>
        <w:gridCol w:w="14"/>
        <w:gridCol w:w="388"/>
      </w:tblGrid>
      <w:tr>
        <w:tblPrEx>
          <w:tblCellMar>
            <w:top w:w="0" w:type="dxa"/>
            <w:left w:w="0" w:type="dxa"/>
            <w:bottom w:w="0" w:type="dxa"/>
            <w:right w:w="0" w:type="dxa"/>
          </w:tblCellMar>
        </w:tblPrEx>
        <w:trPr>
          <w:gridAfter w:val="2"/>
          <w:wAfter w:w="402" w:type="dxa"/>
          <w:trHeight w:val="770" w:hRule="atLeast"/>
          <w:jc w:val="center"/>
        </w:trPr>
        <w:tc>
          <w:tcPr>
            <w:tcW w:w="8800" w:type="dxa"/>
            <w:gridSpan w:val="2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68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0"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388" w:type="dxa"/>
          <w:trHeight w:val="362" w:hRule="atLeast"/>
          <w:jc w:val="center"/>
        </w:trPr>
        <w:tc>
          <w:tcPr>
            <w:tcW w:w="2882"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6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7"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402" w:type="dxa"/>
          <w:trHeight w:val="325" w:hRule="atLeast"/>
          <w:jc w:val="center"/>
        </w:trPr>
        <w:tc>
          <w:tcPr>
            <w:tcW w:w="4551"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51"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65"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425"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453"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567"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567"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421"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2"/>
          <w:wAfter w:w="402" w:type="dxa"/>
          <w:trHeight w:val="1417"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3685" w:type="dxa"/>
            <w:gridSpan w:val="4"/>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51"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65"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425"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453"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421"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402" w:type="dxa"/>
          <w:trHeight w:val="271" w:hRule="atLeast"/>
          <w:jc w:val="center"/>
        </w:trPr>
        <w:tc>
          <w:tcPr>
            <w:tcW w:w="4551"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4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2"/>
          <w:wAfter w:w="402" w:type="dxa"/>
          <w:trHeight w:val="90" w:hRule="atLeast"/>
          <w:jc w:val="center"/>
        </w:trPr>
        <w:tc>
          <w:tcPr>
            <w:tcW w:w="4551"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5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1142.55</w:t>
            </w:r>
          </w:p>
        </w:tc>
        <w:tc>
          <w:tcPr>
            <w:tcW w:w="96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1142.55</w:t>
            </w:r>
          </w:p>
        </w:tc>
        <w:tc>
          <w:tcPr>
            <w:tcW w:w="425"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4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421"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1117.63</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1117.63</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党委办公厅（室）及相关机构事务</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894.41</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894.41</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2013001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243.99</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243.99</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2013105</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专项业务</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29.70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29.70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2013199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其他党委办公厅（室）及相关机构事务支出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615.71</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615.71</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43.22</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43.22</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43.22</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43.22</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20199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其他一般公共服务支出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2019999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其他一般公共服务支出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4.62</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371"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农村综合改革示范试点补助</w:t>
            </w: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162" w:hRule="atLeast"/>
          <w:jc w:val="center"/>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402" w:type="dxa"/>
          <w:trHeight w:val="481" w:hRule="atLeast"/>
          <w:jc w:val="center"/>
        </w:trPr>
        <w:tc>
          <w:tcPr>
            <w:tcW w:w="8800" w:type="dxa"/>
            <w:gridSpan w:val="2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287"/>
        <w:gridCol w:w="516"/>
        <w:gridCol w:w="1117"/>
        <w:gridCol w:w="647"/>
        <w:gridCol w:w="697"/>
        <w:gridCol w:w="421"/>
        <w:gridCol w:w="429"/>
        <w:gridCol w:w="691"/>
        <w:gridCol w:w="301"/>
        <w:gridCol w:w="817"/>
        <w:gridCol w:w="317"/>
        <w:gridCol w:w="803"/>
        <w:gridCol w:w="48"/>
        <w:gridCol w:w="567"/>
        <w:gridCol w:w="763"/>
      </w:tblGrid>
      <w:tr>
        <w:tblPrEx>
          <w:tblCellMar>
            <w:top w:w="0" w:type="dxa"/>
            <w:left w:w="0" w:type="dxa"/>
            <w:bottom w:w="0" w:type="dxa"/>
            <w:right w:w="0" w:type="dxa"/>
          </w:tblCellMar>
        </w:tblPrEx>
        <w:trPr>
          <w:trHeight w:val="798" w:hRule="atLeast"/>
        </w:trPr>
        <w:tc>
          <w:tcPr>
            <w:tcW w:w="90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843"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5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5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567"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763"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4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5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67"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63"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384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227" w:hRule="atLeast"/>
        </w:trPr>
        <w:tc>
          <w:tcPr>
            <w:tcW w:w="3843"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1239.07</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384.98</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854.09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979.00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378.31</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600.69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党委办公厅（室）及相关机构事务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934.69</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334.00</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600.69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2013101</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276.32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232.84</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43.48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2013103</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2103105</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专项业务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37.66</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2013199</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其他党委办公厅（室）及相关机构事务支出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615.71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101.15</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514.56</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机关事业单位基本养老保险缴费支出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6.32</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2080599</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其他行政事业单位离退休支出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0.04</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国有土地使用权出让收入及对应专项债务收入安排的支出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2120805</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补助被征地农民支出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233.40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2130707</w:t>
            </w: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农村综合改革示范试点补助</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9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90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1142.55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979.00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979.00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233.40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233.40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1142.55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1239.07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1005.67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233.40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276.52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43.12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233.40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1419.07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1419.07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1185.67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233.40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1113" w:type="dxa"/>
        <w:tblInd w:w="15" w:type="dxa"/>
        <w:tblLayout w:type="fixed"/>
        <w:tblCellMar>
          <w:top w:w="0" w:type="dxa"/>
          <w:left w:w="0" w:type="dxa"/>
          <w:bottom w:w="0" w:type="dxa"/>
          <w:right w:w="0" w:type="dxa"/>
        </w:tblCellMar>
      </w:tblPr>
      <w:tblGrid>
        <w:gridCol w:w="302"/>
        <w:gridCol w:w="319"/>
        <w:gridCol w:w="357"/>
        <w:gridCol w:w="2109"/>
        <w:gridCol w:w="745"/>
        <w:gridCol w:w="1174"/>
        <w:gridCol w:w="718"/>
        <w:gridCol w:w="1201"/>
        <w:gridCol w:w="1920"/>
        <w:gridCol w:w="1134"/>
        <w:gridCol w:w="1134"/>
      </w:tblGrid>
      <w:tr>
        <w:tblPrEx>
          <w:tblCellMar>
            <w:top w:w="0" w:type="dxa"/>
            <w:left w:w="0" w:type="dxa"/>
            <w:bottom w:w="0" w:type="dxa"/>
            <w:right w:w="0" w:type="dxa"/>
          </w:tblCellMar>
        </w:tblPrEx>
        <w:trPr>
          <w:gridAfter w:val="2"/>
          <w:wAfter w:w="2268" w:type="dxa"/>
          <w:trHeight w:val="600" w:hRule="atLeast"/>
        </w:trPr>
        <w:tc>
          <w:tcPr>
            <w:tcW w:w="8845"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gridAfter w:val="2"/>
          <w:wAfter w:w="2268" w:type="dxa"/>
          <w:trHeight w:val="334" w:hRule="atLeast"/>
        </w:trPr>
        <w:tc>
          <w:tcPr>
            <w:tcW w:w="30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gridAfter w:val="2"/>
          <w:wAfter w:w="2268" w:type="dxa"/>
          <w:trHeight w:val="334" w:hRule="atLeast"/>
        </w:trPr>
        <w:tc>
          <w:tcPr>
            <w:tcW w:w="3832"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2268" w:type="dxa"/>
          <w:trHeight w:val="351" w:hRule="atLeast"/>
        </w:trPr>
        <w:tc>
          <w:tcPr>
            <w:tcW w:w="308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gridAfter w:val="2"/>
          <w:wAfter w:w="2268" w:type="dxa"/>
          <w:trHeight w:val="334" w:hRule="atLeast"/>
        </w:trPr>
        <w:tc>
          <w:tcPr>
            <w:tcW w:w="97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gridAfter w:val="2"/>
          <w:wAfter w:w="2268" w:type="dxa"/>
          <w:trHeight w:val="334" w:hRule="atLeast"/>
        </w:trPr>
        <w:tc>
          <w:tcPr>
            <w:tcW w:w="97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12" w:hRule="atLeast"/>
        </w:trPr>
        <w:tc>
          <w:tcPr>
            <w:tcW w:w="97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308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08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1239.07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384.09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620.69</w:t>
            </w:r>
          </w:p>
        </w:tc>
        <w:tc>
          <w:tcPr>
            <w:tcW w:w="1134" w:type="dxa"/>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600.69</w:t>
            </w: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378.31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600.69</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党委办公厅（室）及相关机构事务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934.69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334.00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600.69</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276.32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43.48</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2103105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专项业务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37.66</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其他党委办公厅（室）及相关机构事务支出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615.71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514.56</w:t>
            </w: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其他共产党事务支出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其他行政事业单位离退休支出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34"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34" w:type="dxa"/>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农村综合改革示范试点补助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9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2268" w:type="dxa"/>
          <w:trHeight w:val="368" w:hRule="atLeast"/>
        </w:trPr>
        <w:tc>
          <w:tcPr>
            <w:tcW w:w="8845"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194.59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133.25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38.17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32.81</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32.81</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25.60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7.53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16.50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218.92</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166.06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36.20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11.94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11.80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11.80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0.14</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529" w:type="dxa"/>
        <w:tblInd w:w="0" w:type="dxa"/>
        <w:tblLayout w:type="fixed"/>
        <w:tblCellMar>
          <w:top w:w="0" w:type="dxa"/>
          <w:left w:w="0" w:type="dxa"/>
          <w:bottom w:w="0" w:type="dxa"/>
          <w:right w:w="0" w:type="dxa"/>
        </w:tblCellMar>
      </w:tblPr>
      <w:tblGrid>
        <w:gridCol w:w="296"/>
        <w:gridCol w:w="191"/>
        <w:gridCol w:w="379"/>
        <w:gridCol w:w="100"/>
        <w:gridCol w:w="669"/>
        <w:gridCol w:w="2633"/>
        <w:gridCol w:w="850"/>
        <w:gridCol w:w="709"/>
        <w:gridCol w:w="50"/>
        <w:gridCol w:w="801"/>
        <w:gridCol w:w="391"/>
        <w:gridCol w:w="317"/>
        <w:gridCol w:w="851"/>
        <w:gridCol w:w="24"/>
        <w:gridCol w:w="599"/>
        <w:gridCol w:w="669"/>
      </w:tblGrid>
      <w:tr>
        <w:tblPrEx>
          <w:tblCellMar>
            <w:top w:w="0" w:type="dxa"/>
            <w:left w:w="0" w:type="dxa"/>
            <w:bottom w:w="0" w:type="dxa"/>
            <w:right w:w="0" w:type="dxa"/>
          </w:tblCellMar>
        </w:tblPrEx>
        <w:trPr>
          <w:gridAfter w:val="1"/>
          <w:wAfter w:w="669" w:type="dxa"/>
          <w:trHeight w:val="707" w:hRule="atLeast"/>
        </w:trPr>
        <w:tc>
          <w:tcPr>
            <w:tcW w:w="8860" w:type="dxa"/>
            <w:gridSpan w:val="15"/>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348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70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5118"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70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669" w:type="dxa"/>
          <w:trHeight w:val="324" w:hRule="atLeast"/>
        </w:trPr>
        <w:tc>
          <w:tcPr>
            <w:tcW w:w="4268"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7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2410"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623"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gridAfter w:val="1"/>
          <w:wAfter w:w="669" w:type="dxa"/>
          <w:trHeight w:val="324" w:hRule="atLeast"/>
        </w:trPr>
        <w:tc>
          <w:tcPr>
            <w:tcW w:w="966"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3302"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708"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8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62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966"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3302"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8"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62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12" w:hRule="atLeast"/>
        </w:trPr>
        <w:tc>
          <w:tcPr>
            <w:tcW w:w="966"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3302"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08"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62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4268"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669" w:type="dxa"/>
          <w:trHeight w:val="324" w:hRule="atLeast"/>
        </w:trPr>
        <w:tc>
          <w:tcPr>
            <w:tcW w:w="4268"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233.40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233.40</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233.40</w:t>
            </w: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城乡社区支出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ind w:right="105"/>
              <w:jc w:val="right"/>
              <w:rPr>
                <w:rFonts w:ascii="宋体" w:hAnsi="宋体" w:cs="宋体"/>
                <w:color w:val="000000"/>
                <w:szCs w:val="21"/>
              </w:rPr>
            </w:pPr>
            <w:r>
              <w:rPr>
                <w:rFonts w:hint="eastAsia" w:ascii="宋体" w:hAnsi="宋体" w:cs="宋体"/>
                <w:color w:val="000000"/>
                <w:szCs w:val="21"/>
              </w:rPr>
              <w:t>233.40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 w:val="13"/>
                <w:szCs w:val="13"/>
              </w:rPr>
            </w:pPr>
            <w:r>
              <w:rPr>
                <w:rFonts w:hint="eastAsia" w:ascii="宋体" w:hAnsi="宋体" w:cs="宋体"/>
                <w:color w:val="000000"/>
                <w:sz w:val="13"/>
                <w:szCs w:val="13"/>
              </w:rPr>
              <w:t>国有土地使用权出让收入及对应专项债务收入安排的支出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2120805</w:t>
            </w: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补助被征地农民支出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233.40</w:t>
            </w: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340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62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669" w:type="dxa"/>
          <w:trHeight w:val="324" w:hRule="atLeast"/>
        </w:trPr>
        <w:tc>
          <w:tcPr>
            <w:tcW w:w="8860" w:type="dxa"/>
            <w:gridSpan w:val="15"/>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注：本表反映部门本年度国有资本经营预算财政拨款支出情况。本单位无国有资本经营预算财政拨款支出数据，按要求以空表列式。</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注：本表反映部门本年度纳入部门预算范围的政府采购预算及支出情况。本单位无政府采购，按要求以空表列式。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360" w:lineRule="auto"/>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本部门2018年度收支总计（含结转和结余）1419.07万元。与2017年度决算相比，收支各增加574.72万元，增长68%，主要原因是美丽乡村建设及农村环境卫生长效保洁经费增长较多。</w:t>
      </w:r>
    </w:p>
    <w:p>
      <w:pPr>
        <w:pStyle w:val="3"/>
        <w:spacing w:before="0" w:after="0" w:line="360" w:lineRule="auto"/>
        <w:ind w:firstLine="640" w:firstLineChars="200"/>
        <w:rPr>
          <w:rFonts w:ascii="黑体" w:eastAsia="黑体"/>
          <w:b w:val="0"/>
          <w:bCs w:val="0"/>
        </w:rPr>
      </w:pPr>
      <w:r>
        <w:rPr>
          <w:rFonts w:hint="eastAsia" w:ascii="黑体" w:eastAsia="黑体"/>
          <w:b w:val="0"/>
          <w:bCs w:val="0"/>
        </w:rPr>
        <w:t>二、收入决算情况说明</w:t>
      </w:r>
    </w:p>
    <w:p>
      <w:pPr>
        <w:spacing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本部门2018年度本年收入合计1142.55万元，其中：财政拨款收入1142.55万元，占100%；事业收入0万元，占0%；经营收入0万元，占0%；其他收入0万元，占0%。如图所示：</w:t>
      </w:r>
    </w:p>
    <w:p>
      <w:pPr>
        <w:adjustRightInd w:val="0"/>
        <w:snapToGrid w:val="0"/>
        <w:spacing w:after="0" w:line="360" w:lineRule="auto"/>
        <w:ind w:firstLine="800" w:firstLineChars="250"/>
        <w:rPr>
          <w:rFonts w:ascii="仿宋_GB2312" w:eastAsia="仿宋_GB2312" w:cs="DengXian-Regular"/>
          <w:sz w:val="32"/>
          <w:szCs w:val="32"/>
        </w:rPr>
      </w:pPr>
      <w:r>
        <w:rPr>
          <w:rFonts w:ascii="仿宋_GB2312" w:eastAsia="仿宋_GB2312" w:cs="DengXian-Regular"/>
          <w:sz w:val="32"/>
          <w:szCs w:val="32"/>
        </w:rPr>
        <w:pict>
          <v:shape id="_x0000_i1025" o:spt="75" type="#_x0000_t75" style="height:189.2pt;width:346.6pt;" filled="f" o:preferrelative="t" stroked="f" coordsize="21600,21600">
            <v:path/>
            <v:fill on="f" focussize="0,0"/>
            <v:stroke on="f" joinstyle="miter"/>
            <v:imagedata r:id="rId14" o:title=""/>
            <o:lock v:ext="edit" aspectratio="t"/>
            <w10:wrap type="none"/>
            <w10:anchorlock/>
          </v:shape>
        </w:pict>
      </w:r>
    </w:p>
    <w:p>
      <w:pPr>
        <w:pStyle w:val="3"/>
        <w:spacing w:before="0" w:after="0" w:line="360" w:lineRule="auto"/>
        <w:ind w:firstLine="640" w:firstLineChars="200"/>
        <w:rPr>
          <w:rFonts w:ascii="黑体" w:eastAsia="黑体"/>
          <w:b w:val="0"/>
          <w:bCs w:val="0"/>
        </w:rPr>
      </w:pPr>
      <w:r>
        <w:rPr>
          <w:rFonts w:hint="eastAsia" w:ascii="黑体" w:eastAsia="黑体"/>
          <w:b w:val="0"/>
          <w:bCs w:val="0"/>
        </w:rPr>
        <w:t>三、支出决算情况说明</w:t>
      </w:r>
    </w:p>
    <w:p>
      <w:pPr>
        <w:spacing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本部门2018年度本年支出合计1239.07万元，其中：基本支出384.98万元，占31.07%；项目支出854.09万元，占68.93%；经营支出0万元，占0%。如图所示：</w:t>
      </w:r>
    </w:p>
    <w:p>
      <w:pPr>
        <w:adjustRightInd w:val="0"/>
        <w:snapToGrid w:val="0"/>
        <w:spacing w:after="0" w:line="360" w:lineRule="auto"/>
        <w:rPr>
          <w:rFonts w:ascii="仿宋_GB2312" w:eastAsia="仿宋_GB2312" w:cs="DengXian-Regular"/>
          <w:sz w:val="32"/>
          <w:szCs w:val="32"/>
        </w:rPr>
      </w:pPr>
    </w:p>
    <w:p>
      <w:pPr>
        <w:adjustRightInd w:val="0"/>
        <w:snapToGrid w:val="0"/>
        <w:spacing w:after="0" w:line="360" w:lineRule="auto"/>
        <w:ind w:firstLine="1280" w:firstLineChars="400"/>
        <w:rPr>
          <w:rFonts w:ascii="仿宋_GB2312" w:eastAsia="仿宋_GB2312" w:cs="DengXian-Regular"/>
          <w:sz w:val="32"/>
          <w:szCs w:val="32"/>
        </w:rPr>
      </w:pPr>
      <w:r>
        <w:rPr>
          <w:rFonts w:ascii="仿宋_GB2312" w:eastAsia="仿宋_GB2312" w:cs="DengXian-Regular"/>
          <w:sz w:val="32"/>
          <w:szCs w:val="32"/>
        </w:rPr>
        <w:pict>
          <v:shape id="_x0000_i1026" o:spt="75" type="#_x0000_t75" style="height:185.85pt;width:333.2pt;" filled="f" o:preferrelative="t" stroked="f" coordsize="21600,21600">
            <v:path/>
            <v:fill on="f" focussize="0,0"/>
            <v:stroke on="f" joinstyle="miter"/>
            <v:imagedata r:id="rId15" o:title=""/>
            <o:lock v:ext="edit" aspectratio="t"/>
            <w10:wrap type="none"/>
            <w10:anchorlock/>
          </v:shape>
        </w:pict>
      </w:r>
    </w:p>
    <w:p>
      <w:pPr>
        <w:pStyle w:val="3"/>
        <w:spacing w:before="0" w:after="0" w:line="360" w:lineRule="auto"/>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360" w:lineRule="auto"/>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1142.55万元,比2017年度增加363.41万元，增长46.38%，主要是农村环境卫生长效保洁经费增长较多；本年支出1239.07万元，增加677.15万元，增长120.51%，主要是农村环境卫生长效保洁经费增长较多。</w:t>
      </w:r>
    </w:p>
    <w:p>
      <w:pPr>
        <w:adjustRightInd w:val="0"/>
        <w:snapToGrid w:val="0"/>
        <w:spacing w:after="0" w:line="36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1142.55万元，比上年增加363.41万元，增长46.38%；主要是农村环境卫生长效保洁经费增长较多；本年支出1005.67万元，比上年增加484.35万元，增长92.91%，主要是农村环境卫生长效保洁经费增长较多。</w:t>
      </w:r>
      <w:r>
        <w:rPr>
          <w:rFonts w:hint="eastAsia" w:ascii="仿宋_GB2312" w:eastAsia="仿宋_GB2312" w:cs="DengXian-Regular"/>
          <w:sz w:val="32"/>
          <w:szCs w:val="32"/>
          <w:lang w:val="en-US" w:eastAsia="zh-CN"/>
        </w:rPr>
        <w:t>政府性基金预算财政拨款本年收入0万元，比上年减少233.4万元，主要原因是今年没有生成政府性基金项目，政府性基金资金的使用全部来自2017年结余政府性基金资金；</w:t>
      </w:r>
      <w:r>
        <w:rPr>
          <w:rFonts w:hint="eastAsia" w:ascii="仿宋_GB2312" w:eastAsia="仿宋_GB2312" w:cs="DengXian-Regular"/>
          <w:sz w:val="32"/>
          <w:szCs w:val="32"/>
        </w:rPr>
        <w:t>政府性基金预算财政拨款本年支出233.4万元，比上年增加192.80万元，增长474.88%，主要是美丽乡村建设资金增长。</w:t>
      </w:r>
    </w:p>
    <w:p>
      <w:pPr>
        <w:adjustRightInd w:val="0"/>
        <w:snapToGrid w:val="0"/>
        <w:spacing w:after="0" w:line="360" w:lineRule="auto"/>
        <w:ind w:firstLine="640" w:firstLineChars="200"/>
        <w:rPr>
          <w:rFonts w:ascii="仿宋_GB2312" w:eastAsia="仿宋_GB2312" w:cs="DengXian-Regular"/>
          <w:sz w:val="32"/>
          <w:szCs w:val="32"/>
        </w:rPr>
      </w:pPr>
      <w:r>
        <w:rPr>
          <w:rFonts w:ascii="仿宋_GB2312" w:eastAsia="仿宋_GB2312" w:cs="DengXian-Regular"/>
          <w:sz w:val="32"/>
          <w:szCs w:val="32"/>
        </w:rPr>
        <w:pict>
          <v:shape id="_x0000_i1027" o:spt="75" type="#_x0000_t75" style="height:222.7pt;width:360.85pt;" filled="f" o:preferrelative="t" stroked="f" coordsize="21600,21600">
            <v:path/>
            <v:fill on="f" focussize="0,0"/>
            <v:stroke on="f" joinstyle="miter"/>
            <v:imagedata r:id="rId16" o:title=""/>
            <o:lock v:ext="edit" aspectratio="t"/>
            <w10:wrap type="none"/>
            <w10:anchorlock/>
          </v:shape>
        </w:pict>
      </w:r>
    </w:p>
    <w:p>
      <w:pPr>
        <w:spacing w:after="0" w:line="360" w:lineRule="auto"/>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360" w:lineRule="auto"/>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本部门2018年度一般公共预算财政拨款收入1142.55万元，完成年初预算的79% ,比年初预算减少301.93万元，决算数小于预算数主要原因是农村环境卫生长效保洁资金预算安排1000万元，实际下达500万元；本年支出1239.07万元，完成年初预算的86%,比年初预算减少205.41万元，决算数小于预算数主要原因是农村环境卫生长效保洁资金预算安排1000万元，实际支出500万元。</w:t>
      </w:r>
    </w:p>
    <w:p>
      <w:pPr>
        <w:adjustRightInd w:val="0"/>
        <w:snapToGrid w:val="0"/>
        <w:spacing w:after="0" w:line="360" w:lineRule="auto"/>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其中，一般公共预算财政拨款本年收入完成年初预算79%</w:t>
      </w:r>
      <w:r>
        <w:rPr>
          <w:rFonts w:hint="eastAsia" w:ascii="仿宋_GB2312" w:eastAsia="仿宋_GB2312" w:cs="DengXian-Regular"/>
          <w:sz w:val="32"/>
          <w:szCs w:val="32"/>
        </w:rPr>
        <w:t xml:space="preserve"> ,比年初预算减少301.93万元，主要原因是农村环境卫生长效保洁资金预算安排1000万元，实际下达500万元；支出完成年初预算的86%,比年初预算减少205.41万元，主要原因是农村环境卫生长效保洁资金预算安排1000万元，实际支出500万元。</w:t>
      </w:r>
      <w:r>
        <w:rPr>
          <w:rFonts w:hint="eastAsia" w:ascii="仿宋_GB2312" w:eastAsia="仿宋_GB2312" w:cs="DengXian-Regular"/>
          <w:sz w:val="32"/>
          <w:szCs w:val="32"/>
          <w:lang w:val="en-US" w:eastAsia="zh-CN"/>
        </w:rPr>
        <w:t>政府性基金预算财政拨款本年无年初预算，主要原因是2017年政府性基金资金结转到2018年，2017年使用2018结转资金故没有年初预算。支出完成年初预算100%，比年初预算增加233.4万元，主要原因是2017年政府性基金资金结转到2018年使用。</w:t>
      </w:r>
    </w:p>
    <w:p>
      <w:pPr>
        <w:adjustRightInd w:val="0"/>
        <w:snapToGrid w:val="0"/>
        <w:spacing w:after="0" w:line="360" w:lineRule="auto"/>
        <w:ind w:firstLine="640" w:firstLineChars="200"/>
        <w:rPr>
          <w:rFonts w:hint="default" w:ascii="仿宋_GB2312" w:eastAsia="仿宋_GB2312" w:cs="DengXian-Regular"/>
          <w:sz w:val="32"/>
          <w:szCs w:val="32"/>
          <w:lang w:val="en-US" w:eastAsia="zh-CN"/>
        </w:rPr>
      </w:pPr>
    </w:p>
    <w:p>
      <w:pPr>
        <w:adjustRightInd w:val="0"/>
        <w:snapToGrid w:val="0"/>
        <w:spacing w:after="0" w:line="360" w:lineRule="auto"/>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inline distT="0" distB="0" distL="0" distR="0">
            <wp:extent cx="4572000" cy="2914650"/>
            <wp:effectExtent l="57150" t="0" r="57150" b="7620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adjustRightInd w:val="0"/>
        <w:snapToGrid w:val="0"/>
        <w:spacing w:after="0" w:line="360" w:lineRule="auto"/>
        <w:rPr>
          <w:rFonts w:ascii="楷体_GB2312" w:eastAsia="楷体_GB2312" w:cs="DengXian-Bold"/>
          <w:b/>
          <w:bCs/>
          <w:sz w:val="32"/>
          <w:szCs w:val="32"/>
        </w:rPr>
      </w:pPr>
    </w:p>
    <w:p>
      <w:pPr>
        <w:adjustRightInd w:val="0"/>
        <w:snapToGrid w:val="0"/>
        <w:spacing w:after="0" w:line="360" w:lineRule="auto"/>
        <w:rPr>
          <w:rFonts w:ascii="楷体_GB2312" w:eastAsia="楷体_GB2312" w:cs="DengXian-Bold"/>
          <w:b/>
          <w:bCs/>
          <w:sz w:val="32"/>
          <w:szCs w:val="32"/>
        </w:rPr>
      </w:pPr>
    </w:p>
    <w:p>
      <w:pPr>
        <w:adjustRightInd w:val="0"/>
        <w:snapToGrid w:val="0"/>
        <w:spacing w:after="0" w:line="360" w:lineRule="auto"/>
        <w:rPr>
          <w:rFonts w:ascii="楷体_GB2312" w:eastAsia="楷体_GB2312" w:cs="DengXian-Bold"/>
          <w:b/>
          <w:bCs/>
          <w:sz w:val="32"/>
          <w:szCs w:val="32"/>
        </w:rPr>
      </w:pPr>
    </w:p>
    <w:p>
      <w:pPr>
        <w:adjustRightInd w:val="0"/>
        <w:snapToGrid w:val="0"/>
        <w:spacing w:after="0" w:line="360" w:lineRule="auto"/>
        <w:rPr>
          <w:rFonts w:ascii="楷体_GB2312" w:eastAsia="楷体_GB2312" w:cs="DengXian-Bold"/>
          <w:b/>
          <w:bCs/>
          <w:sz w:val="32"/>
          <w:szCs w:val="32"/>
        </w:rPr>
      </w:pPr>
    </w:p>
    <w:p>
      <w:pPr>
        <w:adjustRightInd w:val="0"/>
        <w:snapToGrid w:val="0"/>
        <w:spacing w:after="0" w:line="360" w:lineRule="auto"/>
        <w:rPr>
          <w:rFonts w:ascii="宋体" w:hAnsi="宋体" w:cs="宋体"/>
          <w:b/>
          <w:bCs/>
          <w:sz w:val="32"/>
          <w:szCs w:val="32"/>
        </w:rPr>
      </w:pPr>
    </w:p>
    <w:p>
      <w:pPr>
        <w:adjustRightInd w:val="0"/>
        <w:snapToGrid w:val="0"/>
        <w:spacing w:after="0" w:line="360" w:lineRule="auto"/>
        <w:rPr>
          <w:rFonts w:ascii="宋体" w:hAnsi="宋体" w:cs="宋体"/>
          <w:b/>
          <w:bCs/>
          <w:sz w:val="32"/>
          <w:szCs w:val="32"/>
        </w:rPr>
      </w:pPr>
    </w:p>
    <w:p>
      <w:pPr>
        <w:adjustRightInd w:val="0"/>
        <w:snapToGrid w:val="0"/>
        <w:spacing w:after="0" w:line="360" w:lineRule="auto"/>
        <w:rPr>
          <w:rFonts w:ascii="宋体" w:hAnsi="宋体" w:cs="宋体"/>
          <w:b/>
          <w:bCs/>
          <w:sz w:val="32"/>
          <w:szCs w:val="32"/>
        </w:rPr>
      </w:pPr>
    </w:p>
    <w:p>
      <w:pPr>
        <w:spacing w:after="0" w:line="360" w:lineRule="auto"/>
        <w:ind w:firstLine="643" w:firstLineChars="200"/>
        <w:rPr>
          <w:rFonts w:ascii="宋体" w:hAnsi="宋体" w:cs="宋体"/>
          <w:b/>
          <w:bCs/>
          <w:sz w:val="32"/>
          <w:szCs w:val="32"/>
        </w:rPr>
      </w:pPr>
      <w:r>
        <w:rPr>
          <w:rFonts w:hint="eastAsia" w:ascii="宋体" w:hAnsi="宋体" w:cs="宋体"/>
          <w:b/>
          <w:bCs/>
          <w:sz w:val="32"/>
          <w:szCs w:val="32"/>
        </w:rPr>
        <w:t>(三)</w:t>
      </w:r>
      <w:r>
        <w:rPr>
          <w:rFonts w:hint="eastAsia" w:ascii="楷体_GB2312" w:eastAsia="楷体_GB2312" w:cs="DengXian-Bold"/>
          <w:b/>
          <w:bCs/>
          <w:sz w:val="32"/>
          <w:szCs w:val="32"/>
        </w:rPr>
        <w:t>财政拨款支出决算结构情况。</w:t>
      </w:r>
    </w:p>
    <w:p>
      <w:pPr>
        <w:adjustRightInd w:val="0"/>
        <w:snapToGrid w:val="0"/>
        <w:spacing w:after="0" w:line="360" w:lineRule="auto"/>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年度财政拨款支出1239.07万元，主要用于以下方面一般公共服务（类）支出979万元，占79.01%；社会保障和就业（类）支出 6.36万元，占0.51%；医疗卫生与计划生育（类）支出0.30万元，占0.02%;城乡社区（类）支出233.4万元，占18.84%；农林水（类）支出20万元，占1.61%。</w:t>
      </w:r>
    </w:p>
    <w:p>
      <w:pPr>
        <w:adjustRightInd w:val="0"/>
        <w:snapToGrid w:val="0"/>
        <w:spacing w:after="0" w:line="580" w:lineRule="exact"/>
        <w:ind w:left="420" w:leftChars="200"/>
        <w:rPr>
          <w:rFonts w:ascii="楷体_GB2312" w:eastAsia="楷体_GB2312" w:cs="DengXian-Bold"/>
          <w:b/>
          <w:bCs/>
          <w:sz w:val="32"/>
          <w:szCs w:val="32"/>
        </w:rPr>
      </w:pPr>
      <w:r>
        <w:rPr>
          <w:rFonts w:ascii="楷体_GB2312" w:eastAsia="楷体_GB2312" w:cs="DengXian-Bold"/>
          <w:b/>
          <w:bCs/>
          <w:sz w:val="32"/>
          <w:szCs w:val="32"/>
        </w:rPr>
        <w:pict>
          <v:shape id="_x0000_s1051" o:spid="_x0000_s1051" o:spt="75" type="#_x0000_t75" style="position:absolute;left:0pt;margin-left:77.4pt;margin-top:53.45pt;height:192.7pt;width:286.95pt;mso-wrap-distance-bottom:0pt;mso-wrap-distance-left:9pt;mso-wrap-distance-right:9pt;mso-wrap-distance-top:0pt;z-index:251670528;mso-width-relative:page;mso-height-relative:page;" filled="f" o:preferrelative="t" stroked="f" coordsize="21600,21600">
            <v:path/>
            <v:fill on="f" focussize="0,0"/>
            <v:stroke on="f" joinstyle="miter"/>
            <v:imagedata r:id="rId18" o:title=""/>
            <o:lock v:ext="edit" aspectratio="t"/>
            <w10:wrap type="square"/>
          </v:shape>
        </w:pic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年度一般公共预算财政拨款基本支出384.98万元，其中：人员经费 218.92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166.06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“三公”经费支出共计11.94万元，</w:t>
      </w:r>
      <w:r>
        <w:rPr>
          <w:rFonts w:hint="eastAsia" w:ascii="仿宋_GB2312" w:eastAsia="仿宋_GB2312" w:cs="DengXian-Regular"/>
          <w:b/>
          <w:bCs/>
          <w:sz w:val="32"/>
          <w:szCs w:val="32"/>
        </w:rPr>
        <w:t>较年初预算减少24.06万元，降低201.51%，</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w:t>
      </w:r>
      <w:r>
        <w:rPr>
          <w:rFonts w:hint="eastAsia" w:ascii="仿宋_GB2312" w:eastAsia="仿宋_GB2312" w:cs="DengXian-Regular"/>
          <w:sz w:val="32"/>
          <w:szCs w:val="32"/>
          <w:lang w:val="en-US" w:eastAsia="zh-CN"/>
        </w:rPr>
        <w:t>/参加其他单位组织的因公出国（境）团组0个、共0人/无本单位组织的出国（境）团组。</w:t>
      </w:r>
      <w:r>
        <w:rPr>
          <w:rFonts w:hint="eastAsia" w:ascii="仿宋_GB2312" w:eastAsia="仿宋_GB2312" w:cs="DengXian-Regular"/>
          <w:sz w:val="32"/>
          <w:szCs w:val="32"/>
        </w:rPr>
        <w:t xml:space="preserve">因公出国（境）费支出较年初预算持平。  </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（二）公务用车购置及运行维护费支出11.80万元。</w:t>
      </w:r>
      <w:r>
        <w:rPr>
          <w:rFonts w:hint="eastAsia" w:ascii="仿宋_GB2312" w:eastAsia="仿宋_GB2312" w:cs="DengXian-Regular"/>
          <w:sz w:val="32"/>
          <w:szCs w:val="32"/>
        </w:rPr>
        <w:t>本部门2018年度公务用车购置及运行维护费较年初预算减少24.2万元，降低205.08%。原因为车辆减少相应费用减少</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本部门2018年度单位公务用车保有量9辆。公车运行维护费11.80万元，支出较年初预算减少24.2万元，降低205.08%,主要是认真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（三）公务接待费支出0.14万元。</w:t>
      </w:r>
      <w:r>
        <w:rPr>
          <w:rFonts w:hint="eastAsia" w:ascii="仿宋_GB2312" w:eastAsia="仿宋_GB2312" w:cs="DengXian-Regular"/>
          <w:sz w:val="32"/>
          <w:szCs w:val="32"/>
        </w:rPr>
        <w:t>本部门2018年度公务接待共2批次、11人次。公务接待费支出0.14万元，较年初预算减少0.06万元，降低30%,本部门2018年度公务接待共2批次、11人次。公务接待费支出较年初预算减少0.06万元，降低30%,主要是</w:t>
      </w:r>
      <w:bookmarkStart w:id="0" w:name="_GoBack"/>
      <w:bookmarkEnd w:id="0"/>
      <w:r>
        <w:rPr>
          <w:rFonts w:hint="eastAsia" w:ascii="仿宋_GB2312" w:eastAsia="仿宋_GB2312" w:cs="DengXian-Regular"/>
          <w:sz w:val="32"/>
          <w:szCs w:val="32"/>
        </w:rPr>
        <w:t>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精神和厉行节约要求，从严控制招待费开支，全年实际支出比预算有所节约。</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绩效预算情况说明(以下内容必有，其他可以多)</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b/>
          <w:sz w:val="32"/>
          <w:szCs w:val="32"/>
        </w:rPr>
        <w:t>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2017年度一般公共预算项目支出全面开展绩效自评，涉及农村环境卫生长效保洁、美丽乡村建设、等8个项目，涉及资金790.65万元。从评价情况看，评价结果为优秀的项目有7个，良好的项目有1个</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一般的项目有0个</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农村环境卫生长效保洁项目绩效自评：根据年初设定的绩效目标，农村环境卫生长效保洁项目绩效自评结果为良好。项目全年预算数为1000万元，执行数为500万元，完成预算的50%。主要产出和效果是村容村貌得到了明显改善，村民的生活质量得到了进一步提高。</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美丽乡村建设项目绩效自评：根据年初设定的绩效目标，美丽乡村建设项目绩效自评结果为优秀。项目全年预算数为233.4万元，执行数为233.4万元，完成预算的100%。主要产出和效果是建设美丽乡村，发展农业经济，改善了农村人居环境，传承了生态文化，培育文明新风成为当前农村建设的重点，提升了社会主义新农村建设水平。</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本部门2018年度机关运行经费支出166.06万元，比年初预算数增加30.46万元，增长18.34%。主要原因是网络运行维护费及当时编纂费用增加。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9辆，比上年持平。其中，副部（省）级及以上领导用车0辆，主要领导干部用车0辆，机要通信用车4辆，应急保障用车3辆，执法执勤用车0辆，特种专业技术用车1辆，离退休干部用车0辆，其他用车1辆，其他用车主要是机要局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万元以上通用设备0台（套），比上年持平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1、本部门2018年度无国有资本经营预算财政拨款支出及政府采购情况，故国有资本经营预算财政拨款支出决算表政府采购情况表以空表列示。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3"/>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9"/>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0EF7D1-B5EF-4592-ABAD-94B1D5EE8ACB}"/>
  </w:font>
  <w:font w:name="黑体">
    <w:panose1 w:val="02010609060101010101"/>
    <w:charset w:val="86"/>
    <w:family w:val="auto"/>
    <w:pitch w:val="default"/>
    <w:sig w:usb0="800002BF" w:usb1="38CF7CFA" w:usb2="00000016" w:usb3="00000000" w:csb0="00040001" w:csb1="00000000"/>
    <w:embedRegular r:id="rId2" w:fontKey="{B170C18E-E861-475E-AC56-956951AE6B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E23B6924-B107-4AAB-8D2F-9AF7086CB14B}"/>
  </w:font>
  <w:font w:name="楷体">
    <w:panose1 w:val="02010609060101010101"/>
    <w:charset w:val="86"/>
    <w:family w:val="modern"/>
    <w:pitch w:val="default"/>
    <w:sig w:usb0="800002BF" w:usb1="38CF7CFA" w:usb2="00000016" w:usb3="00000000" w:csb0="00040001" w:csb1="00000000"/>
    <w:embedRegular r:id="rId4" w:fontKey="{FB34108D-5E4D-4025-9B4D-AFBEE1D071D3}"/>
  </w:font>
  <w:font w:name="楷体_GB2312">
    <w:panose1 w:val="02010609030101010101"/>
    <w:charset w:val="86"/>
    <w:family w:val="modern"/>
    <w:pitch w:val="default"/>
    <w:sig w:usb0="00000001" w:usb1="080E0000" w:usb2="00000000" w:usb3="00000000" w:csb0="00040000" w:csb1="00000000"/>
    <w:embedRegular r:id="rId5" w:fontKey="{DA7641D3-66E5-4FFD-AA5F-9B2F75874A24}"/>
  </w:font>
  <w:font w:name="仿宋_GB2312">
    <w:panose1 w:val="02010609030101010101"/>
    <w:charset w:val="86"/>
    <w:family w:val="modern"/>
    <w:pitch w:val="default"/>
    <w:sig w:usb0="00000001" w:usb1="080E0000" w:usb2="00000000" w:usb3="00000000" w:csb0="00040000" w:csb1="00000000"/>
    <w:embedRegular r:id="rId6" w:fontKey="{181DFD3A-2742-43CD-BEA3-A30F2B156D41}"/>
  </w:font>
  <w:font w:name="ArialUnicodeMS">
    <w:altName w:val="Malgun Gothic"/>
    <w:panose1 w:val="00000000000000000000"/>
    <w:charset w:val="81"/>
    <w:family w:val="auto"/>
    <w:pitch w:val="default"/>
    <w:sig w:usb0="00000000" w:usb1="00000000" w:usb2="00000010" w:usb3="00000000" w:csb0="00080001" w:csb1="00000000"/>
    <w:embedRegular r:id="rId7" w:fontKey="{92818E86-F9D2-46F5-9ABF-DC174445B186}"/>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36CF7BD7-40C3-41FD-8090-06FE57DBE3F7}"/>
  </w:font>
  <w:font w:name="DengXian-Regular">
    <w:altName w:val="宋体"/>
    <w:panose1 w:val="00000000000000000000"/>
    <w:charset w:val="86"/>
    <w:family w:val="auto"/>
    <w:pitch w:val="default"/>
    <w:sig w:usb0="00000000" w:usb1="00000000" w:usb2="00000010" w:usb3="00000000" w:csb0="00040001" w:csb1="00000000"/>
    <w:embedRegular r:id="rId9" w:fontKey="{CD96DC58-7AAA-4C2F-B6E0-A3A307B732D7}"/>
  </w:font>
  <w:font w:name="DengXian-Bold">
    <w:altName w:val="宋体"/>
    <w:panose1 w:val="00000000000000000000"/>
    <w:charset w:val="86"/>
    <w:family w:val="auto"/>
    <w:pitch w:val="default"/>
    <w:sig w:usb0="00000000" w:usb1="00000000" w:usb2="00000010" w:usb3="00000000" w:csb0="00040001" w:csb1="00000000"/>
    <w:embedRegular r:id="rId10" w:fontKey="{BFFC69D2-E34B-4225-B748-AC0B930B6092}"/>
  </w:font>
  <w:font w:name="TimesNewRomanPS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12914"/>
    <w:rsid w:val="00024E7F"/>
    <w:rsid w:val="00040ADC"/>
    <w:rsid w:val="000475A0"/>
    <w:rsid w:val="000838C3"/>
    <w:rsid w:val="000B20F0"/>
    <w:rsid w:val="000B2446"/>
    <w:rsid w:val="000D7C65"/>
    <w:rsid w:val="000E2F81"/>
    <w:rsid w:val="00117946"/>
    <w:rsid w:val="00117E2C"/>
    <w:rsid w:val="00137D6B"/>
    <w:rsid w:val="00146C47"/>
    <w:rsid w:val="00152FB8"/>
    <w:rsid w:val="00176658"/>
    <w:rsid w:val="0018239E"/>
    <w:rsid w:val="001A4C24"/>
    <w:rsid w:val="001B3410"/>
    <w:rsid w:val="001C030D"/>
    <w:rsid w:val="001C4A84"/>
    <w:rsid w:val="001E5902"/>
    <w:rsid w:val="00207A09"/>
    <w:rsid w:val="00215689"/>
    <w:rsid w:val="00221B5E"/>
    <w:rsid w:val="00224E91"/>
    <w:rsid w:val="00233705"/>
    <w:rsid w:val="00240926"/>
    <w:rsid w:val="00272A7E"/>
    <w:rsid w:val="00275CA2"/>
    <w:rsid w:val="002A65A5"/>
    <w:rsid w:val="002C04C4"/>
    <w:rsid w:val="002D08B0"/>
    <w:rsid w:val="002D1AE3"/>
    <w:rsid w:val="002F2ECE"/>
    <w:rsid w:val="002F6572"/>
    <w:rsid w:val="00327542"/>
    <w:rsid w:val="00341C8F"/>
    <w:rsid w:val="0035463A"/>
    <w:rsid w:val="00391D9D"/>
    <w:rsid w:val="00391E1D"/>
    <w:rsid w:val="00395D3A"/>
    <w:rsid w:val="003B52D5"/>
    <w:rsid w:val="003B5DC8"/>
    <w:rsid w:val="003B6C51"/>
    <w:rsid w:val="003C1413"/>
    <w:rsid w:val="003C549F"/>
    <w:rsid w:val="003D5A16"/>
    <w:rsid w:val="003E3AC2"/>
    <w:rsid w:val="003E7DB3"/>
    <w:rsid w:val="003F7EC9"/>
    <w:rsid w:val="00426C98"/>
    <w:rsid w:val="00431175"/>
    <w:rsid w:val="00451821"/>
    <w:rsid w:val="004631F2"/>
    <w:rsid w:val="00465079"/>
    <w:rsid w:val="004B6E37"/>
    <w:rsid w:val="004B7323"/>
    <w:rsid w:val="004C32BA"/>
    <w:rsid w:val="004F2882"/>
    <w:rsid w:val="00502871"/>
    <w:rsid w:val="0057305B"/>
    <w:rsid w:val="00575922"/>
    <w:rsid w:val="00592A2D"/>
    <w:rsid w:val="005A38C5"/>
    <w:rsid w:val="005A6C90"/>
    <w:rsid w:val="005B49BA"/>
    <w:rsid w:val="005D09CB"/>
    <w:rsid w:val="005D68F6"/>
    <w:rsid w:val="005E1EB5"/>
    <w:rsid w:val="005E3FB0"/>
    <w:rsid w:val="005F4B66"/>
    <w:rsid w:val="005F5208"/>
    <w:rsid w:val="00641318"/>
    <w:rsid w:val="0064405D"/>
    <w:rsid w:val="00685302"/>
    <w:rsid w:val="00695557"/>
    <w:rsid w:val="006B4047"/>
    <w:rsid w:val="006D4EA7"/>
    <w:rsid w:val="0070012A"/>
    <w:rsid w:val="0070664B"/>
    <w:rsid w:val="007071B8"/>
    <w:rsid w:val="007414DE"/>
    <w:rsid w:val="0074209C"/>
    <w:rsid w:val="007905A9"/>
    <w:rsid w:val="007A6ED8"/>
    <w:rsid w:val="007E5500"/>
    <w:rsid w:val="007F055B"/>
    <w:rsid w:val="0080644C"/>
    <w:rsid w:val="00807D66"/>
    <w:rsid w:val="00811C2F"/>
    <w:rsid w:val="00833D46"/>
    <w:rsid w:val="00840A97"/>
    <w:rsid w:val="00843FE9"/>
    <w:rsid w:val="008543C4"/>
    <w:rsid w:val="00872448"/>
    <w:rsid w:val="00897ED3"/>
    <w:rsid w:val="008B2CFF"/>
    <w:rsid w:val="008C0149"/>
    <w:rsid w:val="008C52C5"/>
    <w:rsid w:val="008C689C"/>
    <w:rsid w:val="008D079F"/>
    <w:rsid w:val="008D5DED"/>
    <w:rsid w:val="008E25CA"/>
    <w:rsid w:val="008F34FC"/>
    <w:rsid w:val="00906E22"/>
    <w:rsid w:val="00910393"/>
    <w:rsid w:val="00935058"/>
    <w:rsid w:val="00944CD7"/>
    <w:rsid w:val="00957695"/>
    <w:rsid w:val="00960A34"/>
    <w:rsid w:val="009831B2"/>
    <w:rsid w:val="009A1ABE"/>
    <w:rsid w:val="009E21A4"/>
    <w:rsid w:val="009E44A7"/>
    <w:rsid w:val="009F22C6"/>
    <w:rsid w:val="00A07E50"/>
    <w:rsid w:val="00A15397"/>
    <w:rsid w:val="00A166DF"/>
    <w:rsid w:val="00A35CE0"/>
    <w:rsid w:val="00A4462E"/>
    <w:rsid w:val="00A44AA4"/>
    <w:rsid w:val="00A55FC7"/>
    <w:rsid w:val="00A61623"/>
    <w:rsid w:val="00A83DB0"/>
    <w:rsid w:val="00A84687"/>
    <w:rsid w:val="00AB0A0E"/>
    <w:rsid w:val="00AB3DD8"/>
    <w:rsid w:val="00AD3B6E"/>
    <w:rsid w:val="00B1751F"/>
    <w:rsid w:val="00B36531"/>
    <w:rsid w:val="00B42C4B"/>
    <w:rsid w:val="00B56722"/>
    <w:rsid w:val="00B74D39"/>
    <w:rsid w:val="00B91DA4"/>
    <w:rsid w:val="00BA3F1D"/>
    <w:rsid w:val="00BC3E98"/>
    <w:rsid w:val="00C059E6"/>
    <w:rsid w:val="00C12630"/>
    <w:rsid w:val="00C17C5D"/>
    <w:rsid w:val="00C23B01"/>
    <w:rsid w:val="00C34562"/>
    <w:rsid w:val="00C35DFB"/>
    <w:rsid w:val="00C3774E"/>
    <w:rsid w:val="00C57456"/>
    <w:rsid w:val="00C65387"/>
    <w:rsid w:val="00C7014A"/>
    <w:rsid w:val="00C87FAB"/>
    <w:rsid w:val="00C91FF7"/>
    <w:rsid w:val="00C94E53"/>
    <w:rsid w:val="00CF3500"/>
    <w:rsid w:val="00D0048E"/>
    <w:rsid w:val="00D0335D"/>
    <w:rsid w:val="00D23E7A"/>
    <w:rsid w:val="00D450D1"/>
    <w:rsid w:val="00D52F7C"/>
    <w:rsid w:val="00D54ED4"/>
    <w:rsid w:val="00D61063"/>
    <w:rsid w:val="00D667B1"/>
    <w:rsid w:val="00DA347B"/>
    <w:rsid w:val="00DB35AF"/>
    <w:rsid w:val="00DC323A"/>
    <w:rsid w:val="00DD72D7"/>
    <w:rsid w:val="00DE4A7A"/>
    <w:rsid w:val="00DE5A9F"/>
    <w:rsid w:val="00DF5B88"/>
    <w:rsid w:val="00E0589E"/>
    <w:rsid w:val="00E15C62"/>
    <w:rsid w:val="00E241FA"/>
    <w:rsid w:val="00E2595E"/>
    <w:rsid w:val="00E35374"/>
    <w:rsid w:val="00E472F0"/>
    <w:rsid w:val="00E50C19"/>
    <w:rsid w:val="00E64655"/>
    <w:rsid w:val="00E73081"/>
    <w:rsid w:val="00E856C9"/>
    <w:rsid w:val="00E859FC"/>
    <w:rsid w:val="00E8744D"/>
    <w:rsid w:val="00EA3603"/>
    <w:rsid w:val="00EA486A"/>
    <w:rsid w:val="00EB6A8B"/>
    <w:rsid w:val="00EC179D"/>
    <w:rsid w:val="00EF38C6"/>
    <w:rsid w:val="00EF60E0"/>
    <w:rsid w:val="00F30F82"/>
    <w:rsid w:val="00F432F7"/>
    <w:rsid w:val="00F679C7"/>
    <w:rsid w:val="00F7711A"/>
    <w:rsid w:val="00FA0D58"/>
    <w:rsid w:val="00FA56F4"/>
    <w:rsid w:val="00FB4EDA"/>
    <w:rsid w:val="00FD3BD5"/>
    <w:rsid w:val="00FD63EB"/>
    <w:rsid w:val="00FE3DC8"/>
    <w:rsid w:val="011464CC"/>
    <w:rsid w:val="04073F84"/>
    <w:rsid w:val="0B60750A"/>
    <w:rsid w:val="0E712C37"/>
    <w:rsid w:val="10686488"/>
    <w:rsid w:val="10DF728A"/>
    <w:rsid w:val="1264200E"/>
    <w:rsid w:val="141C5B77"/>
    <w:rsid w:val="160C378C"/>
    <w:rsid w:val="18D8339D"/>
    <w:rsid w:val="1A21388F"/>
    <w:rsid w:val="1A570D2F"/>
    <w:rsid w:val="27E55D52"/>
    <w:rsid w:val="28FB0B8D"/>
    <w:rsid w:val="2A9870FC"/>
    <w:rsid w:val="2D2B7942"/>
    <w:rsid w:val="2D46481D"/>
    <w:rsid w:val="2E733B28"/>
    <w:rsid w:val="31852B5A"/>
    <w:rsid w:val="32D01238"/>
    <w:rsid w:val="3D1F2BC7"/>
    <w:rsid w:val="3DFC59A8"/>
    <w:rsid w:val="3E7743C4"/>
    <w:rsid w:val="3ECF245E"/>
    <w:rsid w:val="3FB96314"/>
    <w:rsid w:val="52D246C0"/>
    <w:rsid w:val="53A44FAF"/>
    <w:rsid w:val="594329EC"/>
    <w:rsid w:val="5BEE1540"/>
    <w:rsid w:val="5DE61A5D"/>
    <w:rsid w:val="61C80F0D"/>
    <w:rsid w:val="63C04243"/>
    <w:rsid w:val="649C01C7"/>
    <w:rsid w:val="68EB7F9C"/>
    <w:rsid w:val="699A3F60"/>
    <w:rsid w:val="6B3A3059"/>
    <w:rsid w:val="6FB24007"/>
    <w:rsid w:val="72902E62"/>
    <w:rsid w:val="73C61104"/>
    <w:rsid w:val="776452EA"/>
    <w:rsid w:val="78F75BB8"/>
    <w:rsid w:val="7B5C6DCE"/>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chart" Target="charts/chart1.xml"/><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37096;&#38376;&#20915;&#31639;&#20844;&#24320;&#21046;&#22270;&#27169;&#26495;&#65288;&#20462;&#25913;&#292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6"/>
          <c:y val="0.921675774134793"/>
        </c:manualLayout>
      </c:layout>
      <c:overlay val="0"/>
    </c:title>
    <c:autoTitleDeleted val="0"/>
    <c:plotArea>
      <c:layout>
        <c:manualLayout>
          <c:layoutTarget val="inner"/>
          <c:xMode val="edge"/>
          <c:yMode val="edge"/>
          <c:x val="0.109185039370079"/>
          <c:y val="0.0342483660130719"/>
          <c:w val="0.869289370078741"/>
          <c:h val="0.768818002863281"/>
        </c:manualLayout>
      </c:layout>
      <c:barChart>
        <c:barDir val="col"/>
        <c:grouping val="clustered"/>
        <c:varyColors val="0"/>
        <c:ser>
          <c:idx val="0"/>
          <c:order val="0"/>
          <c:tx>
            <c:strRef>
              <c:f>收支与预算对比!$A$5</c:f>
              <c:strCache>
                <c:ptCount val="1"/>
                <c:pt idx="0">
                  <c:v>年初预算数</c:v>
                </c:pt>
              </c:strCache>
            </c:strRef>
          </c:tx>
          <c:invertIfNegative val="0"/>
          <c:dPt>
            <c:idx val="0"/>
            <c:invertIfNegative val="0"/>
            <c:bubble3D val="0"/>
            <c:spPr>
              <a:solidFill>
                <a:srgbClr val="0070C0"/>
              </a:solidFill>
            </c:spPr>
          </c:dPt>
          <c:dPt>
            <c:idx val="1"/>
            <c:invertIfNegative val="0"/>
            <c:bubble3D val="0"/>
            <c:spPr>
              <a:solidFill>
                <a:srgbClr val="0070C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1444.48</c:v>
                </c:pt>
                <c:pt idx="1">
                  <c:v>1444.48</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1142.55</c:v>
                </c:pt>
                <c:pt idx="1">
                  <c:v>1239.07</c:v>
                </c:pt>
              </c:numCache>
            </c:numRef>
          </c:val>
        </c:ser>
        <c:dLbls>
          <c:showLegendKey val="0"/>
          <c:showVal val="1"/>
          <c:showCatName val="0"/>
          <c:showSerName val="0"/>
          <c:showPercent val="0"/>
          <c:showBubbleSize val="0"/>
        </c:dLbls>
        <c:gapWidth val="75"/>
        <c:axId val="140846592"/>
        <c:axId val="148706816"/>
      </c:barChart>
      <c:catAx>
        <c:axId val="14084659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8706816"/>
        <c:crosses val="autoZero"/>
        <c:auto val="1"/>
        <c:lblAlgn val="ctr"/>
        <c:lblOffset val="100"/>
        <c:noMultiLvlLbl val="0"/>
      </c:catAx>
      <c:valAx>
        <c:axId val="14870681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0846592"/>
        <c:crosses val="autoZero"/>
        <c:crossBetween val="between"/>
      </c:valAx>
    </c:plotArea>
    <c:legend>
      <c:legendPos val="b"/>
      <c:layout>
        <c:manualLayout>
          <c:xMode val="edge"/>
          <c:yMode val="edge"/>
          <c:x val="0.34671828521435"/>
          <c:y val="0.848750340633651"/>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5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288BDF-58E6-43FF-96ED-15D788123EC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1920</Words>
  <Characters>10949</Characters>
  <Lines>91</Lines>
  <Paragraphs>25</Paragraphs>
  <TotalTime>16</TotalTime>
  <ScaleCrop>false</ScaleCrop>
  <LinksUpToDate>false</LinksUpToDate>
  <CharactersWithSpaces>12844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2020-01-04T08:38:00Z</dcterms:created>
  <dc:creator>User</dc:creator>
  <cp:lastModifiedBy>浮生</cp:lastModifiedBy>
  <cp:lastPrinted>2019-08-02T01:01:00Z</cp:lastPrinted>
  <dcterms:modified xsi:type="dcterms:W3CDTF">2025-01-15T02:04:53Z</dcterms:modified>
  <dc:subject>石家庄市xxx部门</dc:subject>
  <dc:title>2017年度部门决算</dc:title>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989DFB45C4E44EBABE8C1000F2C808B8</vt:lpwstr>
  </property>
</Properties>
</file>