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中共无极县委党校</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bookmarkStart w:id="0" w:name="_GoBack"/>
      <w:bookmarkEnd w:id="0"/>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党校</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667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党校是在党委直接领导下培养党员领导干部好和理论干部的学校，是党委的重要部门，是培训轮训党员领导干部、公务员的主渠道，是党的哲学社会科学研究机构，主要任务是：</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1、培训轮训各级党员领导干部、公务员及后备干部，培养理论干部。</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2、承办党委和政府举办的专题研讨班。</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3、围绕国际国内出现的新情况新问题开展科学研究，承担党委和政府下达的调研任务，推进理论创新。</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4、针对改革开放和社会主义现代化进程中的重大理论和现实问题，开展马克思主义中国化最新成果的理论宣传，开展党的路线、方针、政策的宣传。</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5、开展同国内国（境）外教育、研究等机构和组织的合作与交流。</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3234"/>
        <w:gridCol w:w="3085"/>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019" w:type="dxa"/>
            <w:vAlign w:val="center"/>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序号</w:t>
            </w:r>
          </w:p>
        </w:tc>
        <w:tc>
          <w:tcPr>
            <w:tcW w:w="3234" w:type="dxa"/>
            <w:vAlign w:val="center"/>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单位名称</w:t>
            </w:r>
          </w:p>
        </w:tc>
        <w:tc>
          <w:tcPr>
            <w:tcW w:w="3085" w:type="dxa"/>
            <w:vAlign w:val="center"/>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单位基本性质</w:t>
            </w:r>
          </w:p>
        </w:tc>
        <w:tc>
          <w:tcPr>
            <w:tcW w:w="1701" w:type="dxa"/>
            <w:vAlign w:val="center"/>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1019" w:type="dxa"/>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1</w:t>
            </w:r>
          </w:p>
        </w:tc>
        <w:tc>
          <w:tcPr>
            <w:tcW w:w="3234" w:type="dxa"/>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中共无极县委党校</w:t>
            </w:r>
          </w:p>
        </w:tc>
        <w:tc>
          <w:tcPr>
            <w:tcW w:w="3085" w:type="dxa"/>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财政补助事业单位</w:t>
            </w:r>
          </w:p>
        </w:tc>
        <w:tc>
          <w:tcPr>
            <w:tcW w:w="1701" w:type="dxa"/>
          </w:tcPr>
          <w:p>
            <w:pPr>
              <w:spacing w:after="0" w:line="560" w:lineRule="exact"/>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财政拨款</w:t>
            </w:r>
          </w:p>
        </w:tc>
      </w:tr>
    </w:tbl>
    <w:p>
      <w:pPr>
        <w:widowControl/>
        <w:spacing w:line="560" w:lineRule="exact"/>
        <w:jc w:val="center"/>
        <w:rPr>
          <w:rFonts w:ascii="黑体" w:eastAsia="黑体" w:cs="MS-UIGothic,Bold" w:hAnsiTheme="minorHAnsi"/>
          <w:bCs/>
          <w:kern w:val="0"/>
          <w:sz w:val="28"/>
          <w:szCs w:val="28"/>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7155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部门：中共无极县委党校</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138.9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138.83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138.9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138.83</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0.07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138.9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138.9</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部门：中共无极县委党校</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138.9</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138.9</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进修及培训</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干部教育</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部门：中共无极县委党校</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138.83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136.63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进修及培训</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干部教育</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部门：中共无极县委党校</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138.83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138.83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138.83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138.83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0.07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0.07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部门：中共无极县委党校</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138.83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136.63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进修及培训</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2050802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干部教育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136.63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66.38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20.86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23.84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13.51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129.74</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部门：中共无极县委党校</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本部门本年度无一般公共预算财政拨款“三公”经费支出情况，按要求空表列支。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部门：中共无极县委党校</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注：本表反映部门本年度政府性基金预算财政拨款收入、支出及结转和结余情况。本部门本年度无政府性基金预算财政拨款收入支出情况，按要求空表列支。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编制单位：中共无极县委党校</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注：本表反映部门本年度国有资本经营预算财政拨款支出情况。本部门本年度无国有资本经营预算财政拨款支出情况，按要求空表列支。</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编制单位：中共无极县委党校</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本部门本年度无政府采购情况，按要求空表列支。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7257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本部门2018年度收支总计（含结转和结余）138.9万元。与2017年度决算相比，收支减少11.46万元，下降7.62%，主要原因是退休人员工资2017年1-7月份还在财政列支，2017年8月以后才转入社保开支。</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本部门2018年度本年收入合计138.9万元，其中：财政拨款收入138.9万元，占100%；事业收入0万元，占0%；经营收入0万元，占0%；其他收入0万元，占0%。如图所示：</w:t>
      </w:r>
    </w:p>
    <w:p>
      <w:pPr>
        <w:adjustRightInd w:val="0"/>
        <w:snapToGrid w:val="0"/>
        <w:spacing w:after="0" w:line="580" w:lineRule="exact"/>
        <w:rPr>
          <w:rFonts w:ascii="黑体" w:eastAsia="黑体"/>
        </w:rPr>
      </w:pPr>
      <w:r>
        <w:rPr>
          <w:rFonts w:ascii="仿宋_GB2312" w:eastAsia="仿宋_GB2312" w:cs="DengXian-Regular"/>
        </w:rPr>
        <w:drawing>
          <wp:anchor distT="0" distB="0" distL="0" distR="0" simplePos="0" relativeHeight="251665408" behindDoc="0" locked="0" layoutInCell="1" allowOverlap="1">
            <wp:simplePos x="0" y="0"/>
            <wp:positionH relativeFrom="column">
              <wp:posOffset>976630</wp:posOffset>
            </wp:positionH>
            <wp:positionV relativeFrom="paragraph">
              <wp:posOffset>329565</wp:posOffset>
            </wp:positionV>
            <wp:extent cx="4335145" cy="3248025"/>
            <wp:effectExtent l="4445" t="4445" r="22860" b="5080"/>
            <wp:wrapTopAndBottom/>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40" o:spid="_x0000_s1040" o:spt="203" style="position:absolute;left:0pt;margin-left:73.8pt;margin-top:8.3pt;height:247.35pt;width:303.05pt;z-index:251675648;mso-width-relative:page;mso-height-relative:page;" coordorigin="0,18" coordsize="0,-214748"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42" o:spid="_x0000_s1042" o:spt="75" type="#_x0000_t75" style="position:absolute;left:0;top:18;height:0;width: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41" o:spid="_x0000_s1041" o:spt="202" type="#_x0000_t202" style="position:absolute;left:0;top:18;height:0;width:1;"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r>
        <w:rPr>
          <w:rFonts w:hint="eastAsia" w:ascii="仿宋_GB2312" w:eastAsia="仿宋_GB2312" w:cs="DengXian-Regular"/>
          <w:sz w:val="32"/>
          <w:szCs w:val="32"/>
        </w:rPr>
        <w:t>图1 收入构成情况</w: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420" w:firstLineChars="200"/>
        <w:rPr>
          <w:rFonts w:ascii="仿宋_GB2312" w:eastAsia="仿宋_GB2312" w:cs="DengXian-Regular"/>
          <w:sz w:val="32"/>
          <w:szCs w:val="32"/>
        </w:rPr>
      </w:pPr>
      <w:r>
        <w:rPr>
          <w:rFonts w:hint="eastAsia" w:ascii="黑体" w:eastAsia="黑体"/>
        </w:rPr>
        <w:drawing>
          <wp:anchor distT="0" distB="0" distL="114300" distR="114300" simplePos="0" relativeHeight="251666432" behindDoc="0" locked="0" layoutInCell="1" allowOverlap="1">
            <wp:simplePos x="0" y="0"/>
            <wp:positionH relativeFrom="column">
              <wp:posOffset>542925</wp:posOffset>
            </wp:positionH>
            <wp:positionV relativeFrom="paragraph">
              <wp:posOffset>1487170</wp:posOffset>
            </wp:positionV>
            <wp:extent cx="3996690" cy="3256915"/>
            <wp:effectExtent l="19050" t="0" r="22860" b="635"/>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本部门2018年度本年支出合计138.83万元，其中：基本支出136.63万元，占98.42%；项目支出2.2万元，占1.58%；经营支出0万元，占0%。如图所示：</w:t>
      </w:r>
    </w:p>
    <w:p>
      <w:pPr>
        <w:adjustRightInd w:val="0"/>
        <w:snapToGrid w:val="0"/>
        <w:spacing w:after="0" w:line="240" w:lineRule="auto"/>
        <w:rPr>
          <w:rFonts w:ascii="仿宋_GB2312" w:eastAsia="仿宋_GB2312" w:cs="DengXian-Regular"/>
          <w:sz w:val="32"/>
          <w:szCs w:val="32"/>
        </w:rPr>
      </w:pPr>
      <w:r>
        <w:pict>
          <v:group id="_x0000_s1037" o:spid="_x0000_s1037" o:spt="203" style="position:absolute;left:0pt;margin-left:59.55pt;margin-top:6.75pt;height:230.55pt;width:274.45pt;z-index:-251641856;mso-width-relative:page;mso-height-relative:page;" coordorigin="0,19" coordsize="0,-214748"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0;top:19;height:0;width:1;"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38" o:spid="_x0000_s1038" o:spt="202" type="#_x0000_t202" style="position:absolute;left:0;top:19;height:0;width:1;"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920" w:firstLineChars="600"/>
        <w:rPr>
          <w:rFonts w:ascii="黑体" w:eastAsia="黑体"/>
        </w:rPr>
      </w:pPr>
      <w:r>
        <w:rPr>
          <w:rFonts w:hint="eastAsia" w:ascii="仿宋_GB2312" w:eastAsia="仿宋_GB2312" w:cs="DengXian-Regular"/>
          <w:sz w:val="32"/>
          <w:szCs w:val="32"/>
        </w:rPr>
        <w:t>图2：支出构成情况</w:t>
      </w:r>
    </w:p>
    <w:p>
      <w:pPr>
        <w:pStyle w:val="3"/>
        <w:spacing w:before="0" w:after="0" w:line="580" w:lineRule="exact"/>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本部门2018年度形成的财政拨款收支均为一般公共预算财政拨款，其中一般公共预算财政拨款本年收入138.9万元,比2017年减少11.46万元，降低7.62%，主要是退休人员工资2017</w:t>
      </w:r>
      <w:r>
        <w:rPr>
          <w:rFonts w:hint="eastAsia" w:ascii="仿宋_GB2312" w:eastAsia="仿宋_GB2312" w:cs="DengXian-Regular"/>
          <w:sz w:val="32"/>
          <w:szCs w:val="32"/>
        </w:rPr>
        <w:drawing>
          <wp:anchor distT="0" distB="0" distL="114300" distR="114300" simplePos="0" relativeHeight="251667456" behindDoc="0" locked="0" layoutInCell="1" allowOverlap="1">
            <wp:simplePos x="0" y="0"/>
            <wp:positionH relativeFrom="column">
              <wp:posOffset>427990</wp:posOffset>
            </wp:positionH>
            <wp:positionV relativeFrom="paragraph">
              <wp:posOffset>1666240</wp:posOffset>
            </wp:positionV>
            <wp:extent cx="4709160" cy="3199765"/>
            <wp:effectExtent l="4445" t="4445" r="10795" b="15240"/>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hint="eastAsia" w:ascii="仿宋_GB2312" w:eastAsia="仿宋_GB2312" w:cs="DengXian-Regular"/>
          <w:sz w:val="32"/>
          <w:szCs w:val="32"/>
        </w:rPr>
        <w:t>年1-7月份还在财政列支，2017年8月以后才转入社保开支；本年支出138.83万元，减少11.53万元，降低7.67%，主要是退休人员工资2017年1-7月份还在财政列支，2017年8月以后才转入社保开支。</w:t>
      </w:r>
    </w:p>
    <w:p>
      <w:pPr>
        <w:tabs>
          <w:tab w:val="left" w:pos="8198"/>
        </w:tabs>
        <w:adjustRightInd w:val="0"/>
        <w:snapToGrid w:val="0"/>
        <w:spacing w:after="0" w:line="580" w:lineRule="exact"/>
        <w:ind w:firstLine="968"/>
        <w:rPr>
          <w:rFonts w:ascii="仿宋_GB2312" w:eastAsia="仿宋_GB2312" w:cs="DengXian-Regular"/>
          <w:sz w:val="32"/>
          <w:szCs w:val="32"/>
        </w:rPr>
      </w:pPr>
    </w:p>
    <w:p>
      <w:pPr>
        <w:spacing w:after="0" w:line="580" w:lineRule="exact"/>
        <w:ind w:firstLine="2240" w:firstLineChars="700"/>
        <w:rPr>
          <w:rFonts w:ascii="楷体_GB2312" w:eastAsia="楷体_GB2312" w:cs="DengXian-Bold"/>
          <w:b/>
          <w:bCs/>
          <w:sz w:val="32"/>
          <w:szCs w:val="32"/>
        </w:rPr>
      </w:pPr>
      <w:r>
        <w:rPr>
          <w:rFonts w:hint="eastAsia" w:ascii="楷体_GB2312" w:eastAsia="楷体_GB2312" w:cs="DengXian-Bold"/>
          <w:sz w:val="32"/>
          <w:szCs w:val="32"/>
        </w:rPr>
        <w:t>图3：2017-2018年度收支对比情况</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138.9万元，完成年初预算的81.5%,比年初预算减少31.53万元，决算数小于预算数主要原因是预算包括退休工资，决算不包括退休工资；本年支出138.83万元，完成年初预算的81.46%,比年初预算减少31.6万元，决算数小于预算数主要原因是预算包括退休工资，决算不包括退休工资。</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8480" behindDoc="0" locked="0" layoutInCell="1" allowOverlap="1">
            <wp:simplePos x="0" y="0"/>
            <wp:positionH relativeFrom="column">
              <wp:posOffset>71120</wp:posOffset>
            </wp:positionH>
            <wp:positionV relativeFrom="paragraph">
              <wp:posOffset>133985</wp:posOffset>
            </wp:positionV>
            <wp:extent cx="4566285" cy="2943860"/>
            <wp:effectExtent l="4445" t="5080" r="20320" b="22860"/>
            <wp:wrapTopAndBottom/>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hint="eastAsia" w:ascii="仿宋_GB2312" w:eastAsia="仿宋_GB2312" w:cs="DengXian-Regular"/>
          <w:sz w:val="32"/>
          <w:szCs w:val="32"/>
        </w:rPr>
        <w:t>图4：财政拨款收支与年初预算数对比情况</w:t>
      </w:r>
      <w:r>
        <w:rPr>
          <w:rFonts w:hint="eastAsia" w:ascii="仿宋_GB2312" w:eastAsia="仿宋_GB2312" w:cs="DengXian-Regular"/>
          <w:sz w:val="32"/>
          <w:szCs w:val="32"/>
        </w:rPr>
        <w:tab/>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年度财政拨款支出138.83万元，全部用于教育（类）支出，共支出138.83万元，占100%；</w:t>
      </w: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69504" behindDoc="1" locked="0" layoutInCell="1" allowOverlap="1">
            <wp:simplePos x="0" y="0"/>
            <wp:positionH relativeFrom="column">
              <wp:posOffset>975995</wp:posOffset>
            </wp:positionH>
            <wp:positionV relativeFrom="paragraph">
              <wp:posOffset>363855</wp:posOffset>
            </wp:positionV>
            <wp:extent cx="3081020" cy="1981200"/>
            <wp:effectExtent l="4445" t="4445" r="19685" b="14605"/>
            <wp:wrapNone/>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tabs>
          <w:tab w:val="left" w:pos="1269"/>
        </w:tabs>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ab/>
      </w:r>
      <w:r>
        <w:rPr>
          <w:rFonts w:hint="eastAsia" w:ascii="楷体_GB2312" w:eastAsia="楷体_GB2312" w:cs="DengXian-Bold"/>
          <w:sz w:val="32"/>
          <w:szCs w:val="32"/>
        </w:rPr>
        <w:t>图5：财政拨款支出决算结构情况</w: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年度一般公共预算财政拨款基本支出136.63万元，其中：人员经费 129.74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较年初预算持平，</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本部门2018年度因公出国（境）团组0个、共0人。因公出国（境）费支出与年初预算持平，无增减变化,主要是无人因公出国。</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本部门2018年度公务用车购置及运行维护费较年初预算无增减变化,主要是认真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本部门2018年度公务用车购置量0辆，发生“公务用车购置”经费支出0万元。公务用车购置费支出较年初预算无增减变化,主要是本年度未发生公务用车购置经费支出。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本部门2018年度单位公务用车保有量0辆。公车运行维护费支出较年初预算增无增减变化,主要是认真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精神和厉行节约要求，严控制“三公”经费开支。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本部门2018年度公务接待共0批次、0人次。公务接待费支出较年初预算无增减变化,主要是本年度未发生公务接待费支出。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根据预算绩效管理要求，本单位组织对2018年度一般公共预算项目支出全面开展绩效自评，涉及办公设备购置和印刷等2个项目，涉及资金2.2万元。从评价情况看，均为良好。</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完成了目标任务，产生了较好地经济效益和社会效益，达到了预期绩效目标。本单位办公设备购置项目绩效自评：根据年初设定的绩效目标，办公设备项目绩效自评结果为良好。项目全年预算数为1.8万元，执行数为1.8万元，完成预算的100%。主要产出和效果是提高了工作效率。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pStyle w:val="4"/>
        <w:spacing w:before="0" w:after="0" w:line="580" w:lineRule="exact"/>
        <w:ind w:firstLine="640" w:firstLineChars="200"/>
        <w:rPr>
          <w:rFonts w:ascii="楷体_GB2312" w:eastAsia="楷体_GB2312" w:cs="DengXian-Bold"/>
          <w:b w:val="0"/>
          <w:bCs w:val="0"/>
        </w:rPr>
      </w:pPr>
      <w:r>
        <w:rPr>
          <w:rFonts w:hint="eastAsia" w:ascii="楷体_GB2312" w:eastAsia="楷体_GB2312" w:cs="DengXian-Bold"/>
          <w:b w:val="0"/>
          <w:bCs w:val="0"/>
        </w:rPr>
        <w:t>本部门2018年度无机关运行经费。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numPr>
          <w:ilvl w:val="0"/>
          <w:numId w:val="1"/>
        </w:numPr>
        <w:spacing w:before="0" w:after="0" w:line="580" w:lineRule="exact"/>
        <w:ind w:left="420" w:leftChars="200"/>
        <w:rPr>
          <w:rFonts w:ascii="楷体_GB2312" w:eastAsia="楷体_GB2312" w:cs="DengXian-Bold"/>
        </w:rPr>
      </w:pPr>
      <w:r>
        <w:rPr>
          <w:rFonts w:hint="eastAsia" w:ascii="楷体_GB2312" w:eastAsia="楷体_GB2312" w:cs="DengXian-Bold"/>
        </w:rPr>
        <w:t>国有资产占有情况</w:t>
      </w:r>
    </w:p>
    <w:p>
      <w:pPr>
        <w:adjustRightInd w:val="0"/>
        <w:snapToGrid w:val="0"/>
        <w:spacing w:after="0" w:line="580" w:lineRule="exact"/>
        <w:ind w:firstLine="640" w:firstLineChars="200"/>
      </w:pPr>
      <w:r>
        <w:rPr>
          <w:rFonts w:hint="eastAsia" w:ascii="仿宋_GB2312" w:eastAsia="仿宋_GB2312" w:cs="DengXian-Regular"/>
          <w:sz w:val="32"/>
          <w:szCs w:val="32"/>
        </w:rPr>
        <w:t>截至2018年12月31日，本部门共有车辆0辆，比上年无增减变化。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1、本部门2018年度“一般公共预算财政拨款‘三公’经费”、“政府性基金预算财政拨款收入支出”、“国有资本经营预算财政拨款支出”及“政府采购”无收支及结转结余情况，故07—10表以空表列示。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5AD2C2C-68BC-4AB8-9FF8-5D049707818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3927B83E-7E5D-4644-B2DF-6763F890BD25}"/>
  </w:font>
  <w:font w:name="楷体">
    <w:panose1 w:val="02010609060101010101"/>
    <w:charset w:val="86"/>
    <w:family w:val="modern"/>
    <w:pitch w:val="default"/>
    <w:sig w:usb0="800002BF" w:usb1="38CF7CFA" w:usb2="00000016" w:usb3="00000000" w:csb0="00040001" w:csb1="00000000"/>
    <w:embedRegular r:id="rId3" w:fontKey="{77FC8973-AF05-4B11-A2B4-76129F01B53D}"/>
  </w:font>
  <w:font w:name="楷体_GB2312">
    <w:panose1 w:val="02010609030101010101"/>
    <w:charset w:val="86"/>
    <w:family w:val="modern"/>
    <w:pitch w:val="default"/>
    <w:sig w:usb0="00000001" w:usb1="080E0000" w:usb2="00000000" w:usb3="00000000" w:csb0="00040000" w:csb1="00000000"/>
    <w:embedRegular r:id="rId4" w:fontKey="{2D49EABE-CFF5-463A-AB39-23911E61EF52}"/>
  </w:font>
  <w:font w:name="仿宋_GB2312">
    <w:panose1 w:val="02010609030101010101"/>
    <w:charset w:val="86"/>
    <w:family w:val="modern"/>
    <w:pitch w:val="default"/>
    <w:sig w:usb0="00000001" w:usb1="080E0000" w:usb2="00000000" w:usb3="00000000" w:csb0="00040000" w:csb1="00000000"/>
    <w:embedRegular r:id="rId5" w:fontKey="{F7C2A02F-CD80-489D-9EDB-21B275FBA06B}"/>
  </w:font>
  <w:font w:name="ArialUnicodeMS">
    <w:altName w:val="Malgun Gothic"/>
    <w:panose1 w:val="00000000000000000000"/>
    <w:charset w:val="81"/>
    <w:family w:val="auto"/>
    <w:pitch w:val="default"/>
    <w:sig w:usb0="00000000" w:usb1="00000000" w:usb2="00000010" w:usb3="00000000" w:csb0="00080001" w:csb1="00000000"/>
    <w:embedRegular r:id="rId6" w:fontKey="{393961C3-9360-4C8E-8B3C-AC71A9458D97}"/>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7" w:fontKey="{8DD4506E-D98B-48E4-99CF-15B10B282EA6}"/>
  </w:font>
  <w:font w:name="Arial">
    <w:panose1 w:val="020B0604020202020204"/>
    <w:charset w:val="00"/>
    <w:family w:val="swiss"/>
    <w:pitch w:val="default"/>
    <w:sig w:usb0="E0002EFF" w:usb1="C000785B" w:usb2="00000009" w:usb3="00000000" w:csb0="400001FF" w:csb1="FFFF0000"/>
    <w:embedRegular r:id="rId8" w:fontKey="{621655DE-583A-416E-B849-14F3D8CC1D3F}"/>
  </w:font>
  <w:font w:name="DengXian-Regular">
    <w:altName w:val="宋体"/>
    <w:panose1 w:val="00000000000000000000"/>
    <w:charset w:val="86"/>
    <w:family w:val="auto"/>
    <w:pitch w:val="default"/>
    <w:sig w:usb0="00000000" w:usb1="00000000" w:usb2="00000010" w:usb3="00000000" w:csb0="00040001" w:csb1="00000000"/>
    <w:embedRegular r:id="rId9" w:fontKey="{FA05135C-F867-4814-99FD-4766474CA4AF}"/>
  </w:font>
  <w:font w:name="DengXian-Bold">
    <w:altName w:val="宋体"/>
    <w:panose1 w:val="00000000000000000000"/>
    <w:charset w:val="86"/>
    <w:family w:val="auto"/>
    <w:pitch w:val="default"/>
    <w:sig w:usb0="00000000" w:usb1="00000000" w:usb2="00000010" w:usb3="00000000" w:csb0="00040001" w:csb1="00000000"/>
    <w:embedRegular r:id="rId10" w:fontKey="{E5F75B1B-1DF5-479B-BF26-CB588CDC1D1B}"/>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11C1D"/>
    <w:rsid w:val="00024E7F"/>
    <w:rsid w:val="00026C6C"/>
    <w:rsid w:val="00034AFE"/>
    <w:rsid w:val="000475A0"/>
    <w:rsid w:val="00056CF3"/>
    <w:rsid w:val="00060FA3"/>
    <w:rsid w:val="000838C3"/>
    <w:rsid w:val="000B2446"/>
    <w:rsid w:val="000D78DC"/>
    <w:rsid w:val="000D7C65"/>
    <w:rsid w:val="000E2F81"/>
    <w:rsid w:val="000E783D"/>
    <w:rsid w:val="00110B85"/>
    <w:rsid w:val="00117946"/>
    <w:rsid w:val="00117E2C"/>
    <w:rsid w:val="00143EA8"/>
    <w:rsid w:val="00146C47"/>
    <w:rsid w:val="00152FB8"/>
    <w:rsid w:val="00171F5F"/>
    <w:rsid w:val="00176658"/>
    <w:rsid w:val="0018239E"/>
    <w:rsid w:val="001B3410"/>
    <w:rsid w:val="001C030D"/>
    <w:rsid w:val="001C4A84"/>
    <w:rsid w:val="001E29F7"/>
    <w:rsid w:val="001E5902"/>
    <w:rsid w:val="00212D83"/>
    <w:rsid w:val="00221B5E"/>
    <w:rsid w:val="00224E91"/>
    <w:rsid w:val="00225243"/>
    <w:rsid w:val="00233705"/>
    <w:rsid w:val="00275CA2"/>
    <w:rsid w:val="002A65A5"/>
    <w:rsid w:val="002C04C4"/>
    <w:rsid w:val="002D08B0"/>
    <w:rsid w:val="002D145E"/>
    <w:rsid w:val="002D1AE3"/>
    <w:rsid w:val="002F2ECE"/>
    <w:rsid w:val="00341C8F"/>
    <w:rsid w:val="0035463A"/>
    <w:rsid w:val="00387A58"/>
    <w:rsid w:val="00391D9D"/>
    <w:rsid w:val="00391E1D"/>
    <w:rsid w:val="003B6C51"/>
    <w:rsid w:val="003C1413"/>
    <w:rsid w:val="003C549F"/>
    <w:rsid w:val="003D493E"/>
    <w:rsid w:val="003D5A16"/>
    <w:rsid w:val="003E7DB3"/>
    <w:rsid w:val="003F7EC9"/>
    <w:rsid w:val="00431175"/>
    <w:rsid w:val="00447CA7"/>
    <w:rsid w:val="004918DB"/>
    <w:rsid w:val="004A181A"/>
    <w:rsid w:val="004B6E37"/>
    <w:rsid w:val="004C32BA"/>
    <w:rsid w:val="004C4719"/>
    <w:rsid w:val="00502871"/>
    <w:rsid w:val="005325EB"/>
    <w:rsid w:val="00540C2C"/>
    <w:rsid w:val="00572E01"/>
    <w:rsid w:val="00575922"/>
    <w:rsid w:val="00590E6A"/>
    <w:rsid w:val="00592A88"/>
    <w:rsid w:val="005A6C90"/>
    <w:rsid w:val="005B2661"/>
    <w:rsid w:val="005B4C51"/>
    <w:rsid w:val="005C765B"/>
    <w:rsid w:val="005E399A"/>
    <w:rsid w:val="005E3FB0"/>
    <w:rsid w:val="005F4B66"/>
    <w:rsid w:val="005F5208"/>
    <w:rsid w:val="0060329F"/>
    <w:rsid w:val="00641318"/>
    <w:rsid w:val="0064405D"/>
    <w:rsid w:val="00651721"/>
    <w:rsid w:val="00683AD3"/>
    <w:rsid w:val="00685302"/>
    <w:rsid w:val="00695557"/>
    <w:rsid w:val="006A4393"/>
    <w:rsid w:val="006B1C0B"/>
    <w:rsid w:val="006D4EA7"/>
    <w:rsid w:val="0070012A"/>
    <w:rsid w:val="0070664B"/>
    <w:rsid w:val="007071B8"/>
    <w:rsid w:val="007121A3"/>
    <w:rsid w:val="007414D3"/>
    <w:rsid w:val="007414DE"/>
    <w:rsid w:val="0074209C"/>
    <w:rsid w:val="00755B50"/>
    <w:rsid w:val="0075632A"/>
    <w:rsid w:val="0077791D"/>
    <w:rsid w:val="007905A9"/>
    <w:rsid w:val="00793818"/>
    <w:rsid w:val="007E5500"/>
    <w:rsid w:val="007F055B"/>
    <w:rsid w:val="0080644C"/>
    <w:rsid w:val="00811C2F"/>
    <w:rsid w:val="00815826"/>
    <w:rsid w:val="00833D46"/>
    <w:rsid w:val="00840A97"/>
    <w:rsid w:val="008823F9"/>
    <w:rsid w:val="008A4AE8"/>
    <w:rsid w:val="008B6221"/>
    <w:rsid w:val="008C0149"/>
    <w:rsid w:val="008C689C"/>
    <w:rsid w:val="008D5DED"/>
    <w:rsid w:val="008E013C"/>
    <w:rsid w:val="008E25CA"/>
    <w:rsid w:val="008F34FC"/>
    <w:rsid w:val="009071C5"/>
    <w:rsid w:val="00935058"/>
    <w:rsid w:val="00944CD7"/>
    <w:rsid w:val="00947274"/>
    <w:rsid w:val="00962794"/>
    <w:rsid w:val="009735AB"/>
    <w:rsid w:val="009831B2"/>
    <w:rsid w:val="009A1ABE"/>
    <w:rsid w:val="009E21A4"/>
    <w:rsid w:val="009E7325"/>
    <w:rsid w:val="009F22C6"/>
    <w:rsid w:val="00A07E50"/>
    <w:rsid w:val="00A15397"/>
    <w:rsid w:val="00A26239"/>
    <w:rsid w:val="00A35CE0"/>
    <w:rsid w:val="00A4462E"/>
    <w:rsid w:val="00A44AA4"/>
    <w:rsid w:val="00A521E9"/>
    <w:rsid w:val="00A61623"/>
    <w:rsid w:val="00A84687"/>
    <w:rsid w:val="00AA62AB"/>
    <w:rsid w:val="00AA65EF"/>
    <w:rsid w:val="00AB0A0E"/>
    <w:rsid w:val="00AD3B6E"/>
    <w:rsid w:val="00AE2DEF"/>
    <w:rsid w:val="00AF12B7"/>
    <w:rsid w:val="00B1751F"/>
    <w:rsid w:val="00B21C85"/>
    <w:rsid w:val="00B56722"/>
    <w:rsid w:val="00B74D39"/>
    <w:rsid w:val="00B76FC5"/>
    <w:rsid w:val="00B91DA4"/>
    <w:rsid w:val="00BA450F"/>
    <w:rsid w:val="00BB3032"/>
    <w:rsid w:val="00BC028F"/>
    <w:rsid w:val="00C118E6"/>
    <w:rsid w:val="00C12630"/>
    <w:rsid w:val="00C34562"/>
    <w:rsid w:val="00C3774E"/>
    <w:rsid w:val="00C57456"/>
    <w:rsid w:val="00C65387"/>
    <w:rsid w:val="00C66824"/>
    <w:rsid w:val="00C87FAB"/>
    <w:rsid w:val="00C91FF7"/>
    <w:rsid w:val="00C94E53"/>
    <w:rsid w:val="00CA3D65"/>
    <w:rsid w:val="00D0048E"/>
    <w:rsid w:val="00D23E7A"/>
    <w:rsid w:val="00D60C0D"/>
    <w:rsid w:val="00D61063"/>
    <w:rsid w:val="00D9701C"/>
    <w:rsid w:val="00DB0E59"/>
    <w:rsid w:val="00DB35AF"/>
    <w:rsid w:val="00DC7836"/>
    <w:rsid w:val="00DD72D7"/>
    <w:rsid w:val="00DE20EB"/>
    <w:rsid w:val="00DF5B88"/>
    <w:rsid w:val="00E0589E"/>
    <w:rsid w:val="00E241FA"/>
    <w:rsid w:val="00E2595E"/>
    <w:rsid w:val="00E35374"/>
    <w:rsid w:val="00E50C19"/>
    <w:rsid w:val="00E64655"/>
    <w:rsid w:val="00E73081"/>
    <w:rsid w:val="00E856C9"/>
    <w:rsid w:val="00E8744D"/>
    <w:rsid w:val="00E90E2B"/>
    <w:rsid w:val="00EB15EF"/>
    <w:rsid w:val="00EB6A8B"/>
    <w:rsid w:val="00EE3FA9"/>
    <w:rsid w:val="00EF38C6"/>
    <w:rsid w:val="00EF750F"/>
    <w:rsid w:val="00F163B1"/>
    <w:rsid w:val="00F31EEF"/>
    <w:rsid w:val="00F44ACF"/>
    <w:rsid w:val="00F679C7"/>
    <w:rsid w:val="00F7711A"/>
    <w:rsid w:val="00FA0D58"/>
    <w:rsid w:val="00FA3C48"/>
    <w:rsid w:val="00FA56F4"/>
    <w:rsid w:val="00FB4EDA"/>
    <w:rsid w:val="00FD3BD5"/>
    <w:rsid w:val="00FE3DC8"/>
    <w:rsid w:val="04073F84"/>
    <w:rsid w:val="04DA710F"/>
    <w:rsid w:val="0B60750A"/>
    <w:rsid w:val="10686488"/>
    <w:rsid w:val="10DF728A"/>
    <w:rsid w:val="125445B6"/>
    <w:rsid w:val="1264200E"/>
    <w:rsid w:val="141C5B77"/>
    <w:rsid w:val="14D57319"/>
    <w:rsid w:val="15EB5DC9"/>
    <w:rsid w:val="17687FA8"/>
    <w:rsid w:val="18D8339D"/>
    <w:rsid w:val="1A21388F"/>
    <w:rsid w:val="1A570D2F"/>
    <w:rsid w:val="1BD53C6A"/>
    <w:rsid w:val="1D9A62E2"/>
    <w:rsid w:val="1F2A49FA"/>
    <w:rsid w:val="2001739F"/>
    <w:rsid w:val="226F6F31"/>
    <w:rsid w:val="28FB0B8D"/>
    <w:rsid w:val="29711625"/>
    <w:rsid w:val="2A9870FC"/>
    <w:rsid w:val="2D2B7942"/>
    <w:rsid w:val="2D46481D"/>
    <w:rsid w:val="2E733B28"/>
    <w:rsid w:val="2F8B008F"/>
    <w:rsid w:val="304E7963"/>
    <w:rsid w:val="31852B5A"/>
    <w:rsid w:val="32D01238"/>
    <w:rsid w:val="34A334B5"/>
    <w:rsid w:val="369E4E09"/>
    <w:rsid w:val="37D1686B"/>
    <w:rsid w:val="390A286C"/>
    <w:rsid w:val="39F4488A"/>
    <w:rsid w:val="3B9816CC"/>
    <w:rsid w:val="3DFC59A8"/>
    <w:rsid w:val="3E2D34DC"/>
    <w:rsid w:val="3ECF245E"/>
    <w:rsid w:val="3FB96314"/>
    <w:rsid w:val="400D656B"/>
    <w:rsid w:val="400E1E44"/>
    <w:rsid w:val="4BE9118F"/>
    <w:rsid w:val="4DF46B20"/>
    <w:rsid w:val="515A59AD"/>
    <w:rsid w:val="520F2245"/>
    <w:rsid w:val="52F323BD"/>
    <w:rsid w:val="53A44FAF"/>
    <w:rsid w:val="57216063"/>
    <w:rsid w:val="594329EC"/>
    <w:rsid w:val="5A0F15E0"/>
    <w:rsid w:val="5BEE1540"/>
    <w:rsid w:val="5DE61A5D"/>
    <w:rsid w:val="63331190"/>
    <w:rsid w:val="639217A4"/>
    <w:rsid w:val="63C04243"/>
    <w:rsid w:val="649C01C7"/>
    <w:rsid w:val="699A3F60"/>
    <w:rsid w:val="6A7B7A38"/>
    <w:rsid w:val="72151EA1"/>
    <w:rsid w:val="72902E62"/>
    <w:rsid w:val="7365483A"/>
    <w:rsid w:val="73C61104"/>
    <w:rsid w:val="749D4162"/>
    <w:rsid w:val="75F95A49"/>
    <w:rsid w:val="776452EA"/>
    <w:rsid w:val="78A06CDC"/>
    <w:rsid w:val="7A1B5D1E"/>
    <w:rsid w:val="7C9C0FC5"/>
    <w:rsid w:val="7CBD0EA1"/>
    <w:rsid w:val="7DC663B9"/>
    <w:rsid w:val="7E635263"/>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4.jpeg"/><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1388888888889"/>
          <c:y val="0.0422619047619048"/>
          <c:w val="0.458564814814815"/>
          <c:h val="0.786111111111111"/>
        </c:manualLayout>
      </c:layout>
      <c:pieChart>
        <c:varyColors val="1"/>
        <c:ser>
          <c:idx val="0"/>
          <c:order val="0"/>
          <c:tx>
            <c:strRef>
              <c:f>Sheet1!$B$1</c:f>
              <c:strCache>
                <c:ptCount val="1"/>
                <c:pt idx="0">
                  <c:v>图1：收入结构图</c:v>
                </c:pt>
              </c:strCache>
            </c:strRef>
          </c:tx>
          <c:explosion val="0"/>
          <c:dPt>
            <c:idx val="0"/>
            <c:bubble3D val="0"/>
            <c:spPr>
              <a:gradFill rotWithShape="1">
                <a:gsLst>
                  <a:gs pos="0">
                    <a:schemeClr val="accent1">
                      <a:shade val="38000"/>
                      <a:satMod val="150000"/>
                    </a:schemeClr>
                  </a:gs>
                  <a:gs pos="50000">
                    <a:schemeClr val="accent1">
                      <a:shade val="100000"/>
                      <a:satMod val="100000"/>
                    </a:schemeClr>
                  </a:gs>
                  <a:gs pos="100000">
                    <a:schemeClr val="accent1">
                      <a:shade val="38000"/>
                      <a:satMod val="150000"/>
                    </a:schemeClr>
                  </a:gs>
                </a:gsLst>
                <a:lin ang="0" scaled="1"/>
              </a:gradFill>
              <a:ln>
                <a:noFill/>
              </a:ln>
              <a:effectLst>
                <a:outerShdw blurRad="190500" dist="78600" dir="2700000" rotWithShape="0">
                  <a:srgbClr val="000000">
                    <a:alpha val="35500"/>
                  </a:srgbClr>
                </a:outerShdw>
              </a:effectLst>
            </c:spPr>
          </c:dPt>
          <c:dPt>
            <c:idx val="1"/>
            <c:bubble3D val="0"/>
            <c:spPr>
              <a:gradFill rotWithShape="1">
                <a:gsLst>
                  <a:gs pos="0">
                    <a:schemeClr val="accent2">
                      <a:shade val="38000"/>
                      <a:satMod val="150000"/>
                    </a:schemeClr>
                  </a:gs>
                  <a:gs pos="50000">
                    <a:schemeClr val="accent2">
                      <a:shade val="100000"/>
                      <a:satMod val="100000"/>
                    </a:schemeClr>
                  </a:gs>
                  <a:gs pos="100000">
                    <a:schemeClr val="accent2">
                      <a:shade val="38000"/>
                      <a:satMod val="150000"/>
                    </a:schemeClr>
                  </a:gs>
                </a:gsLst>
                <a:lin ang="0" scaled="1"/>
              </a:gradFill>
              <a:ln>
                <a:noFill/>
              </a:ln>
              <a:effectLst>
                <a:outerShdw blurRad="190500" dist="78600" dir="2700000" rotWithShape="0">
                  <a:srgbClr val="000000">
                    <a:alpha val="35500"/>
                  </a:srgbClr>
                </a:outerShdw>
              </a:effectLst>
            </c:spPr>
          </c:dPt>
          <c:dPt>
            <c:idx val="2"/>
            <c:bubble3D val="0"/>
            <c:spPr>
              <a:gradFill rotWithShape="1">
                <a:gsLst>
                  <a:gs pos="0">
                    <a:schemeClr val="accent3">
                      <a:shade val="38000"/>
                      <a:satMod val="150000"/>
                    </a:schemeClr>
                  </a:gs>
                  <a:gs pos="50000">
                    <a:schemeClr val="accent3">
                      <a:shade val="100000"/>
                      <a:satMod val="100000"/>
                    </a:schemeClr>
                  </a:gs>
                  <a:gs pos="100000">
                    <a:schemeClr val="accent3">
                      <a:shade val="38000"/>
                      <a:satMod val="150000"/>
                    </a:schemeClr>
                  </a:gs>
                </a:gsLst>
                <a:lin ang="0" scaled="1"/>
              </a:gradFill>
              <a:ln>
                <a:noFill/>
              </a:ln>
              <a:effectLst>
                <a:outerShdw blurRad="190500" dist="78600" dir="2700000" rotWithShape="0">
                  <a:srgbClr val="000000">
                    <a:alpha val="35500"/>
                  </a:srgbClr>
                </a:outerShdw>
              </a:effectLst>
            </c:spPr>
          </c:dPt>
          <c:dPt>
            <c:idx val="3"/>
            <c:bubble3D val="0"/>
            <c:spPr>
              <a:gradFill rotWithShape="1">
                <a:gsLst>
                  <a:gs pos="0">
                    <a:schemeClr val="accent4">
                      <a:shade val="38000"/>
                      <a:satMod val="150000"/>
                    </a:schemeClr>
                  </a:gs>
                  <a:gs pos="50000">
                    <a:schemeClr val="accent4">
                      <a:shade val="100000"/>
                      <a:satMod val="100000"/>
                    </a:schemeClr>
                  </a:gs>
                  <a:gs pos="100000">
                    <a:schemeClr val="accent4">
                      <a:shade val="38000"/>
                      <a:satMod val="150000"/>
                    </a:schemeClr>
                  </a:gs>
                </a:gsLst>
                <a:lin ang="0" scaled="1"/>
              </a:gradFill>
              <a:ln>
                <a:noFill/>
              </a:ln>
              <a:effectLst>
                <a:outerShdw blurRad="190500" dist="78600" dir="2700000" rotWithShape="0">
                  <a:srgbClr val="000000">
                    <a:alpha val="35500"/>
                  </a:srgbClr>
                </a:outerShdw>
              </a:effectLst>
            </c:spPr>
          </c:dPt>
          <c:dLbls>
            <c:dLbl>
              <c:idx val="0"/>
              <c:layout>
                <c:manualLayout>
                  <c:x val="-0.101069283726381"/>
                  <c:y val="0.014662756598240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86758459059616"/>
                  <c:y val="0.037650595172098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42668814999268"/>
                      <c:h val="0.155620723362659"/>
                    </c:manualLayout>
                  </c15:layout>
                </c:ext>
              </c:extLst>
            </c:dLbl>
            <c:dLbl>
              <c:idx val="3"/>
              <c:layout>
                <c:manualLayout>
                  <c:x val="0.140618133880182"/>
                  <c:y val="0.11818006385027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23040867145159"/>
                      <c:h val="0.23558162267839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138.9</c:v>
                </c:pt>
                <c:pt idx="1">
                  <c:v>0</c:v>
                </c:pt>
                <c:pt idx="2">
                  <c:v>0</c:v>
                </c:pt>
                <c:pt idx="3">
                  <c:v>0</c:v>
                </c:pt>
              </c:numCache>
            </c:numRef>
          </c:val>
        </c:ser>
        <c:dLbls>
          <c:showLegendKey val="0"/>
          <c:showVal val="1"/>
          <c:showCatName val="0"/>
          <c:showSerName val="0"/>
          <c:showPercent val="0"/>
          <c:showBubbleSize val="0"/>
          <c:showLeaderLines val="1"/>
        </c:dLbls>
        <c:firstSliceAng val="15"/>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0881792183031459"/>
                  <c:y val="-0.219341002144668"/>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altLang="en-US"/>
                      <a:t>基本支出
98</a:t>
                    </a:r>
                    <a:r>
                      <a:rPr lang="en-US" altLang="en-US"/>
                      <a:t>.42</a:t>
                    </a:r>
                    <a:r>
                      <a:rPr altLang="en-US"/>
                      <a:t>%</a:t>
                    </a:r>
                    <a:endParaRPr altLang="en-US"/>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131077216396568"/>
                  <c:y val="0.0293674960277398"/>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altLang="en-US"/>
                      <a:t>项目支出
</a:t>
                    </a:r>
                    <a:r>
                      <a:rPr lang="en-US" altLang="en-US"/>
                      <a:t>1.58</a:t>
                    </a:r>
                    <a:r>
                      <a:rPr altLang="en-US"/>
                      <a:t>%</a:t>
                    </a:r>
                    <a:endParaRPr altLang="en-US"/>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136.63</c:v>
                </c:pt>
                <c:pt idx="1">
                  <c:v>2.2</c:v>
                </c:pt>
              </c:numCache>
            </c:numRef>
          </c:val>
        </c:ser>
        <c:ser>
          <c:idx val="1"/>
          <c:order val="1"/>
          <c:tx>
            <c:strRef>
              <c:f>Sheet1!$C$1</c:f>
              <c:strCache>
                <c:ptCount val="1"/>
                <c:pt idx="0">
                  <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Sheet1!$C$2:$C$3</c:f>
              <c:numCache>
                <c:formatCode>0.00%</c:formatCode>
                <c:ptCount val="2"/>
                <c:pt idx="0">
                  <c:v>0.9842</c:v>
                </c:pt>
                <c:pt idx="1">
                  <c:v>0.0158</c:v>
                </c:pt>
              </c:numCache>
            </c:numRef>
          </c:val>
        </c:ser>
        <c:ser>
          <c:idx val="2"/>
          <c:order val="2"/>
          <c:tx>
            <c:strRef>
              <c:f>Sheet1!#REF!</c:f>
              <c:strCache>
                <c:ptCount val="1"/>
                <c:pt idx="0">
                  <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2017年度</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150.36</c:v>
                </c:pt>
                <c:pt idx="1">
                  <c:v>150.36</c:v>
                </c:pt>
              </c:numCache>
            </c:numRef>
          </c:val>
        </c:ser>
        <c:ser>
          <c:idx val="1"/>
          <c:order val="1"/>
          <c:tx>
            <c:strRef>
              <c:f>Sheet1!$C$1</c:f>
              <c:strCache>
                <c:ptCount val="1"/>
                <c:pt idx="0">
                  <c:v>2018年度</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138.9</c:v>
                </c:pt>
                <c:pt idx="1">
                  <c:v>138.83</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195415040"/>
        <c:axId val="206500608"/>
      </c:barChart>
      <c:catAx>
        <c:axId val="19541504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500608"/>
        <c:crosses val="autoZero"/>
        <c:auto val="1"/>
        <c:lblAlgn val="ctr"/>
        <c:lblOffset val="100"/>
        <c:noMultiLvlLbl val="0"/>
      </c:catAx>
      <c:valAx>
        <c:axId val="20650060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5415040"/>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预算</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170.43</c:v>
                </c:pt>
                <c:pt idx="1">
                  <c:v>170.43</c:v>
                </c:pt>
              </c:numCache>
            </c:numRef>
          </c:val>
        </c:ser>
        <c:ser>
          <c:idx val="1"/>
          <c:order val="1"/>
          <c:tx>
            <c:strRef>
              <c:f>Sheet1!$C$1</c:f>
              <c:strCache>
                <c:ptCount val="1"/>
                <c:pt idx="0">
                  <c:v>决算</c:v>
                </c:pt>
              </c:strCache>
            </c:strRef>
          </c:tx>
          <c:spPr>
            <a:solidFill>
              <a:schemeClr val="accent2">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138.9</c:v>
                </c:pt>
                <c:pt idx="1">
                  <c:v>138.83</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210401920"/>
        <c:axId val="213668224"/>
      </c:barChart>
      <c:catAx>
        <c:axId val="21040192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3668224"/>
        <c:crosses val="autoZero"/>
        <c:auto val="1"/>
        <c:lblAlgn val="ctr"/>
        <c:lblOffset val="100"/>
        <c:noMultiLvlLbl val="0"/>
      </c:catAx>
      <c:valAx>
        <c:axId val="21366822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0401920"/>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explosion val="0"/>
          <c:dPt>
            <c:idx val="0"/>
            <c:bubble3D val="0"/>
            <c:spPr>
              <a:gradFill rotWithShape="1">
                <a:gsLst>
                  <a:gs pos="0">
                    <a:schemeClr val="accent1">
                      <a:shade val="38000"/>
                      <a:satMod val="150000"/>
                    </a:schemeClr>
                  </a:gs>
                  <a:gs pos="50000">
                    <a:schemeClr val="accent1">
                      <a:shade val="100000"/>
                      <a:satMod val="100000"/>
                    </a:schemeClr>
                  </a:gs>
                  <a:gs pos="100000">
                    <a:schemeClr val="accent1">
                      <a:shade val="38000"/>
                      <a:satMod val="150000"/>
                    </a:schemeClr>
                  </a:gs>
                </a:gsLst>
                <a:lin ang="0" scaled="1"/>
              </a:gradFill>
              <a:ln>
                <a:noFill/>
              </a:ln>
              <a:effectLst>
                <a:outerShdw blurRad="190500" dist="78600" dir="2700000" rotWithShape="0">
                  <a:srgbClr val="000000">
                    <a:alpha val="35500"/>
                  </a:srgbClr>
                </a:outerShdw>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c:f>
              <c:strCache>
                <c:ptCount val="1"/>
                <c:pt idx="0">
                  <c:v>教育支出</c:v>
                </c:pt>
              </c:strCache>
            </c:strRef>
          </c:cat>
          <c:val>
            <c:numRef>
              <c:f>Sheet1!$B$2</c:f>
              <c:numCache>
                <c:formatCode>General</c:formatCode>
                <c:ptCount val="1"/>
                <c:pt idx="0">
                  <c:v>138.83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6FC9C6-39C8-4D88-A7DA-7E5623CB0C86}">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1507</Words>
  <Characters>8593</Characters>
  <Lines>71</Lines>
  <Paragraphs>20</Paragraphs>
  <TotalTime>13</TotalTime>
  <ScaleCrop>false</ScaleCrop>
  <LinksUpToDate>false</LinksUpToDate>
  <CharactersWithSpaces>10080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2023-08-28T07:20:52Z</dcterms:modified>
  <dc:subject>石家庄市xxx部门</dc:subject>
  <dc:title>2017年度部门决算</dc:title>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460B8140341347AC865A91547F6D3C42</vt:lpwstr>
  </property>
</Properties>
</file>