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cstate="print"/>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7052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中共无极县委党校</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月十日</w:t>
      </w:r>
    </w:p>
    <w:p>
      <w:pPr>
        <w:spacing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bookmarkStart w:id="0" w:name="_GoBack"/>
      <w:bookmarkEnd w:id="0"/>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第三部分</w:t>
      </w:r>
      <w:r>
        <w:rPr>
          <w:rFonts w:hint="eastAsia" w:eastAsia="黑体"/>
          <w:sz w:val="32"/>
          <w:szCs w:val="32"/>
        </w:rPr>
        <w:t>党校</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0288"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w:pict>
          <v:shape id="_x0000_s1045" o:spid="_x0000_s1045" o:spt="202" type="#_x0000_t202" style="position:absolute;left:0pt;margin-left:-97.3pt;margin-top:259.1pt;height:81.7pt;width:613.65pt;z-index:251676672;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spacing w:after="0" w:line="560" w:lineRule="exact"/>
        <w:ind w:firstLine="640" w:firstLineChars="200"/>
        <w:rPr>
          <w:rFonts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党校是在党委直接领导下培养党员领导干部好和理论干部的学校，是党委的重要部门，是培训轮训党员领导干部、公务员的主渠道，是党的哲学社会科学研究机构，主要任务是：</w:t>
      </w:r>
    </w:p>
    <w:p>
      <w:pPr>
        <w:spacing w:after="0" w:line="560" w:lineRule="exact"/>
        <w:ind w:firstLine="640" w:firstLineChars="200"/>
        <w:rPr>
          <w:rFonts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1、培训轮训各级党员领导干部、公务员及后备干部，培养理论干部。</w:t>
      </w:r>
    </w:p>
    <w:p>
      <w:pPr>
        <w:spacing w:after="0" w:line="560" w:lineRule="exact"/>
        <w:ind w:firstLine="640" w:firstLineChars="200"/>
        <w:rPr>
          <w:rFonts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2、承办党委和政府举办的专题研讨班。</w:t>
      </w:r>
    </w:p>
    <w:p>
      <w:pPr>
        <w:spacing w:after="0" w:line="560" w:lineRule="exact"/>
        <w:ind w:firstLine="640" w:firstLineChars="200"/>
        <w:rPr>
          <w:rFonts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3、围绕国际国内出现的新情况新问题开展科学研究，承担党委和政府下达的调研任务，推进理论创新。</w:t>
      </w:r>
    </w:p>
    <w:p>
      <w:pPr>
        <w:spacing w:after="0" w:line="560" w:lineRule="exact"/>
        <w:ind w:firstLine="640" w:firstLineChars="200"/>
        <w:rPr>
          <w:rFonts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4、针对改革开放和社会主义现代化进程中的重大理论和现实问题，开展马克思主义中国化最新成果的理论宣传，开展党的路线、方针、政策的宣传。</w:t>
      </w:r>
    </w:p>
    <w:p>
      <w:pPr>
        <w:spacing w:after="0" w:line="560" w:lineRule="exact"/>
        <w:ind w:firstLine="640" w:firstLineChars="200"/>
        <w:rPr>
          <w:rFonts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5、开展同国内国（境）外教育、研究等机构和组织的合作与交流。</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ind w:firstLine="640" w:firstLineChars="200"/>
        <w:rPr>
          <w:rFonts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从决算编报单位构成看，纳入2018 年度本部门决算汇编范围的独立核算单位（以下简称“单位”）共 1个，具体情况如下：</w:t>
      </w:r>
    </w:p>
    <w:tbl>
      <w:tblPr>
        <w:tblStyle w:val="13"/>
        <w:tblpPr w:leftFromText="180" w:rightFromText="180" w:vertAnchor="text" w:horzAnchor="page" w:tblpXSpec="center" w:tblpY="10"/>
        <w:tblOverlap w:val="never"/>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3234"/>
        <w:gridCol w:w="3085"/>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019" w:type="dxa"/>
            <w:vAlign w:val="center"/>
          </w:tcPr>
          <w:p>
            <w:pPr>
              <w:spacing w:after="0" w:line="560" w:lineRule="exact"/>
              <w:rPr>
                <w:rFonts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序号</w:t>
            </w:r>
          </w:p>
        </w:tc>
        <w:tc>
          <w:tcPr>
            <w:tcW w:w="3234" w:type="dxa"/>
            <w:vAlign w:val="center"/>
          </w:tcPr>
          <w:p>
            <w:pPr>
              <w:spacing w:after="0" w:line="560" w:lineRule="exact"/>
              <w:rPr>
                <w:rFonts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单位名称</w:t>
            </w:r>
          </w:p>
        </w:tc>
        <w:tc>
          <w:tcPr>
            <w:tcW w:w="3085" w:type="dxa"/>
            <w:vAlign w:val="center"/>
          </w:tcPr>
          <w:p>
            <w:pPr>
              <w:spacing w:after="0" w:line="560" w:lineRule="exact"/>
              <w:rPr>
                <w:rFonts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单位基本性质</w:t>
            </w:r>
          </w:p>
        </w:tc>
        <w:tc>
          <w:tcPr>
            <w:tcW w:w="1701" w:type="dxa"/>
            <w:vAlign w:val="center"/>
          </w:tcPr>
          <w:p>
            <w:pPr>
              <w:spacing w:after="0" w:line="560" w:lineRule="exact"/>
              <w:rPr>
                <w:rFonts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019" w:type="dxa"/>
          </w:tcPr>
          <w:p>
            <w:pPr>
              <w:spacing w:after="0" w:line="560" w:lineRule="exact"/>
              <w:rPr>
                <w:rFonts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1</w:t>
            </w:r>
          </w:p>
        </w:tc>
        <w:tc>
          <w:tcPr>
            <w:tcW w:w="3234" w:type="dxa"/>
          </w:tcPr>
          <w:p>
            <w:pPr>
              <w:spacing w:after="0" w:line="560" w:lineRule="exact"/>
              <w:rPr>
                <w:rFonts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中共无极县委党校</w:t>
            </w:r>
          </w:p>
        </w:tc>
        <w:tc>
          <w:tcPr>
            <w:tcW w:w="3085" w:type="dxa"/>
          </w:tcPr>
          <w:p>
            <w:pPr>
              <w:spacing w:after="0" w:line="560" w:lineRule="exact"/>
              <w:rPr>
                <w:rFonts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财政补助事业单位</w:t>
            </w:r>
          </w:p>
        </w:tc>
        <w:tc>
          <w:tcPr>
            <w:tcW w:w="1701" w:type="dxa"/>
          </w:tcPr>
          <w:p>
            <w:pPr>
              <w:spacing w:after="0" w:line="560" w:lineRule="exact"/>
              <w:rPr>
                <w:rFonts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财政拨款</w:t>
            </w:r>
          </w:p>
        </w:tc>
      </w:tr>
    </w:tbl>
    <w:p>
      <w:pPr>
        <w:widowControl/>
        <w:spacing w:line="560" w:lineRule="exact"/>
        <w:jc w:val="center"/>
        <w:rPr>
          <w:rFonts w:ascii="黑体" w:eastAsia="黑体" w:cs="MS-UIGothic,Bold" w:hAnsiTheme="minorHAnsi"/>
          <w:bCs/>
          <w:kern w:val="0"/>
          <w:sz w:val="28"/>
          <w:szCs w:val="28"/>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044" o:spid="_x0000_s1044" o:spt="202" type="#_x0000_t202" style="position:absolute;left:0pt;margin-left:-74.2pt;margin-top:120.3pt;height:159.1pt;width:596.2pt;z-index:251671552;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部门：中共无极县委党校</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138.9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138.83</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138.9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138.83</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0.07</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138.9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138.9</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部门：中共无极县委党校</w:t>
            </w: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138.9</w:t>
            </w: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138.9</w:t>
            </w: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205</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教育支出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138.9</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138.9</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20508</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进修及培训</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138.9</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138.9</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2050802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干部教育</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138.9</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138.9</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部门：中共无极县委党校</w:t>
            </w: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138.83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136.63</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2.2</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205</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教育支出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138.83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136.63</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20508</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进修及培训</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138.83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136.63</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2050802</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干部教育</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138.83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136.63</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部门：中共无极县委党校</w:t>
            </w: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138.9</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138.83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138.83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138.9</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138.83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138.83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0.07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0.07</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138.9</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138.9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138.9</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部门：中共无极县委党校</w:t>
            </w: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138.83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136.63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教育支出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138.83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136.63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20508</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进修及培训</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138.83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136.63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2050802</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干部教育</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138.83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136.63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105.9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66.38</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3.42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7.46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20.86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0.15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1.44</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23.84</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10.29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0.75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13.51</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0.38</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0.27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0.04</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129.74</w:t>
            </w:r>
          </w:p>
        </w:tc>
        <w:tc>
          <w:tcPr>
            <w:tcW w:w="5328"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6.9</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部门：中共无极县委党校</w:t>
            </w: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p>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本部门本年度无一般公共预算财政拨款“三公”经费支出情况，按要求空表列支。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部门：中共无极县委党校</w:t>
            </w: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注：本表反映部门本年度政府性基金预算财政拨款收入、支出及结转和结余情况。本部门本年度无政府性基金预算财政拨款收入支出情况，按要求空表列支。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编制单位：中共无极县委党校</w:t>
            </w: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注：本表反映部门本年度国有资本经营预算财政拨款支出情况。本部门本年度无国有资本经营预算财政拨款支出情况，按要求空表列支。</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编制单位：中共无极县委党校</w:t>
            </w: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 本部门本年度无政府采购情况，按要求空表列支。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233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43" o:spid="_x0000_s1043" o:spt="202" type="#_x0000_t202" style="position:absolute;left:0pt;margin-left:-78.7pt;margin-top:232.8pt;height:159.1pt;width:596.2pt;z-index:25167257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本部门2018年度收支总计（含结转和结余）138.9万元。与2017年度决算相比，收支减少11.46万元，下降7.62%，主要原因是退休人员工资2017年1-7月份还在财政列支，2017年8月以后才转入社保开支。</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本部门2018年度本年收入合计138.9万元，其中：财政拨款收入138.9万元，占100%；事业收入0万元，占0%；经营收入0万元，占0%；其他收入0万元，占0%。如图所示：</w:t>
      </w:r>
    </w:p>
    <w:p>
      <w:pPr>
        <w:adjustRightInd w:val="0"/>
        <w:snapToGrid w:val="0"/>
        <w:spacing w:after="0" w:line="580" w:lineRule="exact"/>
        <w:rPr>
          <w:rFonts w:ascii="黑体" w:eastAsia="黑体"/>
        </w:rPr>
      </w:pPr>
      <w:r>
        <w:rPr>
          <w:rFonts w:ascii="仿宋_GB2312" w:eastAsia="仿宋_GB2312" w:cs="DengXian-Regular"/>
        </w:rPr>
        <w:drawing>
          <wp:anchor distT="0" distB="0" distL="0" distR="0" simplePos="0" relativeHeight="251665408" behindDoc="0" locked="0" layoutInCell="1" allowOverlap="1">
            <wp:simplePos x="0" y="0"/>
            <wp:positionH relativeFrom="column">
              <wp:posOffset>976630</wp:posOffset>
            </wp:positionH>
            <wp:positionV relativeFrom="paragraph">
              <wp:posOffset>329565</wp:posOffset>
            </wp:positionV>
            <wp:extent cx="4335145" cy="3248025"/>
            <wp:effectExtent l="4445" t="4445" r="22860" b="5080"/>
            <wp:wrapTopAndBottom/>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pict>
          <v:group id="_x0000_s1040" o:spid="_x0000_s1040" o:spt="203" style="position:absolute;left:0pt;margin-left:73.8pt;margin-top:8.3pt;height:247.35pt;width:303.05pt;z-index:251675648;mso-width-relative:page;mso-height-relative:page;" coordorigin="0,18" coordsize="0,-214748" o:gfxdata="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6jJggdkA&#10;AAAKAQAADwAAAAAAAAABACAAAAAiAAAAZHJzL2Rvd25yZXYueG1sUEsBAhQAFAAAAAgAh07iQEIi&#10;QI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42" o:spid="_x0000_s1042" o:spt="75" type="#_x0000_t75" style="position:absolute;left:0;top:18;height:0;width:1;" filled="f" o:preferrelative="t" stroked="f" coordsize="21600,21600" o:gfxdata="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jA/ktAAAANoAAAAPAAAA&#10;AAAAAAEAIAAAACIAAABkcnMvZG93bnJldi54bWxQSwECFAAUAAAACACHTuJAMy8FnjsAAAA5AAAA&#10;EAAAAAAAAAABACAAAAADAQAAZHJzL3NoYXBleG1sLnhtbFBLBQYAAAAABgAGAFsBAACtAwAAAAA=&#10;">
              <v:path/>
              <v:fill on="f" focussize="0,0"/>
              <v:stroke on="f" joinstyle="miter"/>
              <v:imagedata r:id="rId9" cropleft="2131f" croptop="1490f" cropright="1218f" cropbottom="5217f" o:title=""/>
              <o:lock v:ext="edit" aspectratio="t"/>
            </v:shape>
            <v:shape id="_x0000_s1041" o:spid="_x0000_s1041" o:spt="202" type="#_x0000_t202" style="position:absolute;left:0;top:18;height:0;width:1;"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v:textbox>
            </v:shape>
          </v:group>
        </w:pict>
      </w:r>
      <w:r>
        <w:rPr>
          <w:rFonts w:hint="eastAsia" w:ascii="仿宋_GB2312" w:eastAsia="仿宋_GB2312" w:cs="DengXian-Regular"/>
          <w:sz w:val="32"/>
          <w:szCs w:val="32"/>
        </w:rPr>
        <w:t>图1 收入构成情况</w:t>
      </w: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420" w:firstLineChars="200"/>
        <w:rPr>
          <w:rFonts w:ascii="仿宋_GB2312" w:eastAsia="仿宋_GB2312" w:cs="DengXian-Regular"/>
          <w:sz w:val="32"/>
          <w:szCs w:val="32"/>
        </w:rPr>
      </w:pPr>
      <w:r>
        <w:rPr>
          <w:rFonts w:hint="eastAsia" w:ascii="黑体" w:eastAsia="黑体"/>
        </w:rPr>
        <w:drawing>
          <wp:anchor distT="0" distB="0" distL="114300" distR="114300" simplePos="0" relativeHeight="251666432" behindDoc="0" locked="0" layoutInCell="1" allowOverlap="1">
            <wp:simplePos x="0" y="0"/>
            <wp:positionH relativeFrom="column">
              <wp:posOffset>542925</wp:posOffset>
            </wp:positionH>
            <wp:positionV relativeFrom="paragraph">
              <wp:posOffset>1487170</wp:posOffset>
            </wp:positionV>
            <wp:extent cx="3996690" cy="3256915"/>
            <wp:effectExtent l="19050" t="0" r="22860" b="635"/>
            <wp:wrapTopAndBottom/>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eastAsia" w:ascii="仿宋_GB2312" w:eastAsia="仿宋_GB2312" w:cs="DengXian-Regular"/>
          <w:sz w:val="32"/>
          <w:szCs w:val="32"/>
        </w:rPr>
        <w:t>本部门2018年度本年支出合计138.83万元，其中：基本支出136.63万元，占98.42%；项目支出2.2万元，占1.58%；经营支出0万元，占0%。如图所示：</w:t>
      </w:r>
    </w:p>
    <w:p>
      <w:pPr>
        <w:adjustRightInd w:val="0"/>
        <w:snapToGrid w:val="0"/>
        <w:spacing w:after="0" w:line="240" w:lineRule="auto"/>
        <w:rPr>
          <w:rFonts w:ascii="仿宋_GB2312" w:eastAsia="仿宋_GB2312" w:cs="DengXian-Regular"/>
          <w:sz w:val="32"/>
          <w:szCs w:val="32"/>
        </w:rPr>
      </w:pPr>
      <w:r>
        <w:pict>
          <v:group id="_x0000_s1037" o:spid="_x0000_s1037" o:spt="203" style="position:absolute;left:0pt;margin-left:59.55pt;margin-top:6.75pt;height:230.55pt;width:274.45pt;z-index:-251641856;mso-width-relative:page;mso-height-relative:page;" coordorigin="0,19" coordsize="0,-214748"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M9sx5NkA&#10;AAAKAQAADwAAAAAAAAABACAAAAAiAAAAZHJzL2Rvd25yZXYueG1sUEsBAhQAFAAAAAgAh07iQHds&#10;HR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39" o:spid="_x0000_s1039" o:spt="75" type="#_x0000_t75" style="position:absolute;left:0;top:19;height:0;width:1;"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path/>
              <v:fill on="f" focussize="0,0"/>
              <v:stroke on="f" joinstyle="miter"/>
              <v:imagedata r:id="rId9" cropleft="2131f" croptop="1490f" cropright="1218f" cropbottom="5217f" o:title=""/>
              <o:lock v:ext="edit" aspectratio="t"/>
            </v:shape>
            <v:shape id="_x0000_s1038" o:spid="_x0000_s1038" o:spt="202" type="#_x0000_t202" style="position:absolute;left:0;top:19;height:0;width:1;"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w:r>
    </w:p>
    <w:p>
      <w:pPr>
        <w:adjustRightInd w:val="0"/>
        <w:snapToGrid w:val="0"/>
        <w:spacing w:after="0" w:line="580" w:lineRule="exact"/>
        <w:ind w:firstLine="1920" w:firstLineChars="600"/>
        <w:rPr>
          <w:rFonts w:ascii="黑体" w:eastAsia="黑体"/>
        </w:rPr>
      </w:pPr>
      <w:r>
        <w:rPr>
          <w:rFonts w:hint="eastAsia" w:ascii="仿宋_GB2312" w:eastAsia="仿宋_GB2312" w:cs="DengXian-Regular"/>
          <w:sz w:val="32"/>
          <w:szCs w:val="32"/>
        </w:rPr>
        <w:t>图2：支出构成情况</w:t>
      </w:r>
    </w:p>
    <w:p>
      <w:pPr>
        <w:pStyle w:val="3"/>
        <w:spacing w:before="0" w:after="0" w:line="580" w:lineRule="exact"/>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本部门2018年度形成的财政拨款收支均为一般公共预算财政拨款，其中一般公共预算财政拨款本年收入138.9万元,比2017年减少11.46万元，降低7.62%，主要是退休人员工资2017</w:t>
      </w:r>
      <w:r>
        <w:rPr>
          <w:rFonts w:hint="eastAsia" w:ascii="仿宋_GB2312" w:eastAsia="仿宋_GB2312" w:cs="DengXian-Regular"/>
          <w:sz w:val="32"/>
          <w:szCs w:val="32"/>
        </w:rPr>
        <w:drawing>
          <wp:anchor distT="0" distB="0" distL="114300" distR="114300" simplePos="0" relativeHeight="251667456" behindDoc="0" locked="0" layoutInCell="1" allowOverlap="1">
            <wp:simplePos x="0" y="0"/>
            <wp:positionH relativeFrom="column">
              <wp:posOffset>427990</wp:posOffset>
            </wp:positionH>
            <wp:positionV relativeFrom="paragraph">
              <wp:posOffset>1666240</wp:posOffset>
            </wp:positionV>
            <wp:extent cx="4709160" cy="3199765"/>
            <wp:effectExtent l="4445" t="4445" r="10795" b="15240"/>
            <wp:wrapTopAndBottom/>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hint="eastAsia" w:ascii="仿宋_GB2312" w:eastAsia="仿宋_GB2312" w:cs="DengXian-Regular"/>
          <w:sz w:val="32"/>
          <w:szCs w:val="32"/>
        </w:rPr>
        <w:t>年1-7月份还在财政列支，2017年8月以后才转入社保开支；本年支出138.83万元，减少11.53万元，降低7.67%，主要是退休人员工资2017年1-7月份还在财政列支，2017年8月以后才转入社保开支。</w:t>
      </w:r>
    </w:p>
    <w:p>
      <w:pPr>
        <w:tabs>
          <w:tab w:val="left" w:pos="8198"/>
        </w:tabs>
        <w:adjustRightInd w:val="0"/>
        <w:snapToGrid w:val="0"/>
        <w:spacing w:after="0" w:line="580" w:lineRule="exact"/>
        <w:ind w:firstLine="968"/>
        <w:rPr>
          <w:rFonts w:ascii="仿宋_GB2312" w:eastAsia="仿宋_GB2312" w:cs="DengXian-Regular"/>
          <w:sz w:val="32"/>
          <w:szCs w:val="32"/>
        </w:rPr>
      </w:pPr>
    </w:p>
    <w:p>
      <w:pPr>
        <w:spacing w:after="0" w:line="580" w:lineRule="exact"/>
        <w:ind w:firstLine="2240" w:firstLineChars="700"/>
        <w:rPr>
          <w:rFonts w:ascii="楷体_GB2312" w:eastAsia="楷体_GB2312" w:cs="DengXian-Bold"/>
          <w:b/>
          <w:bCs/>
          <w:sz w:val="32"/>
          <w:szCs w:val="32"/>
        </w:rPr>
      </w:pPr>
      <w:r>
        <w:rPr>
          <w:rFonts w:hint="eastAsia" w:ascii="楷体_GB2312" w:eastAsia="楷体_GB2312" w:cs="DengXian-Bold"/>
          <w:sz w:val="32"/>
          <w:szCs w:val="32"/>
        </w:rPr>
        <w:t>图3：2017-2018年度收支对比情况</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138.9万元，完成年初预算的81.5%,比年初预算减少31.53万元，决算数小于预算数主要原因是预算包括退休工资，决算不包括退休工资；本年支出138.83万元，完成年初预算的81.46%,比年初预算减少31.6万元，决算数小于预算数主要原因是预算包括退休工资，决算不包括退休工资。</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drawing>
          <wp:anchor distT="0" distB="0" distL="114300" distR="114300" simplePos="0" relativeHeight="251668480" behindDoc="0" locked="0" layoutInCell="1" allowOverlap="1">
            <wp:simplePos x="0" y="0"/>
            <wp:positionH relativeFrom="column">
              <wp:posOffset>71120</wp:posOffset>
            </wp:positionH>
            <wp:positionV relativeFrom="paragraph">
              <wp:posOffset>133985</wp:posOffset>
            </wp:positionV>
            <wp:extent cx="4566285" cy="2943860"/>
            <wp:effectExtent l="4445" t="5080" r="20320" b="22860"/>
            <wp:wrapTopAndBottom/>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eastAsia" w:ascii="仿宋_GB2312" w:eastAsia="仿宋_GB2312" w:cs="DengXian-Regular"/>
          <w:sz w:val="32"/>
          <w:szCs w:val="32"/>
        </w:rPr>
        <w:t>图4：财政拨款收支与年初预算数对比情况</w:t>
      </w:r>
      <w:r>
        <w:rPr>
          <w:rFonts w:hint="eastAsia" w:ascii="仿宋_GB2312" w:eastAsia="仿宋_GB2312" w:cs="DengXian-Regular"/>
          <w:sz w:val="32"/>
          <w:szCs w:val="32"/>
        </w:rPr>
        <w:tab/>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楷体_GB2312" w:eastAsia="楷体_GB2312" w:cs="DengXian-Bold"/>
          <w:b/>
          <w:bCs/>
          <w:sz w:val="32"/>
          <w:szCs w:val="32"/>
        </w:rPr>
      </w:pPr>
      <w:r>
        <w:rPr>
          <w:rFonts w:hint="eastAsia" w:ascii="仿宋_GB2312" w:eastAsia="仿宋_GB2312" w:cs="DengXian-Regular"/>
          <w:sz w:val="32"/>
          <w:szCs w:val="32"/>
        </w:rPr>
        <w:t>2018 年度财政拨款支出138.83万元，全部用于教育（类）支出，共支出138.83万元，占100%；</w:t>
      </w:r>
    </w:p>
    <w:p>
      <w:pPr>
        <w:adjustRightInd w:val="0"/>
        <w:snapToGrid w:val="0"/>
        <w:spacing w:after="0" w:line="580" w:lineRule="exact"/>
        <w:rPr>
          <w:rFonts w:ascii="楷体_GB2312" w:eastAsia="楷体_GB2312" w:cs="DengXian-Bold"/>
          <w:b/>
          <w:bCs/>
          <w:sz w:val="32"/>
          <w:szCs w:val="32"/>
        </w:rPr>
      </w:pPr>
      <w:r>
        <w:rPr>
          <w:rFonts w:hint="eastAsia" w:ascii="楷体_GB2312" w:eastAsia="楷体_GB2312" w:cs="DengXian-Bold"/>
          <w:b/>
          <w:bCs/>
          <w:sz w:val="32"/>
          <w:szCs w:val="32"/>
        </w:rPr>
        <w:drawing>
          <wp:anchor distT="0" distB="0" distL="114300" distR="114300" simplePos="0" relativeHeight="251669504" behindDoc="1" locked="0" layoutInCell="1" allowOverlap="1">
            <wp:simplePos x="0" y="0"/>
            <wp:positionH relativeFrom="column">
              <wp:posOffset>975995</wp:posOffset>
            </wp:positionH>
            <wp:positionV relativeFrom="paragraph">
              <wp:posOffset>363855</wp:posOffset>
            </wp:positionV>
            <wp:extent cx="3081020" cy="1981200"/>
            <wp:effectExtent l="4445" t="4445" r="19685" b="14605"/>
            <wp:wrapNone/>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pPr>
        <w:adjustRightInd w:val="0"/>
        <w:snapToGrid w:val="0"/>
        <w:spacing w:after="0" w:line="240" w:lineRule="auto"/>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tabs>
          <w:tab w:val="left" w:pos="1269"/>
        </w:tabs>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ab/>
      </w:r>
      <w:r>
        <w:rPr>
          <w:rFonts w:hint="eastAsia" w:ascii="楷体_GB2312" w:eastAsia="楷体_GB2312" w:cs="DengXian-Bold"/>
          <w:sz w:val="32"/>
          <w:szCs w:val="32"/>
        </w:rPr>
        <w:t>图5：财政拨款支出决算结构情况</w:t>
      </w: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年度一般公共预算财政拨款基本支出136.63万元，其中：人员经费 129.74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6.9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“三公”经费支出共计0万元，</w:t>
      </w:r>
      <w:r>
        <w:rPr>
          <w:rFonts w:hint="eastAsia" w:ascii="仿宋_GB2312" w:eastAsia="仿宋_GB2312" w:cs="DengXian-Regular"/>
          <w:b/>
          <w:bCs/>
          <w:sz w:val="32"/>
          <w:szCs w:val="32"/>
        </w:rPr>
        <w:t>较年初预算持平，</w:t>
      </w:r>
      <w:r>
        <w:rPr>
          <w:rFonts w:hint="eastAsia" w:ascii="仿宋_GB2312" w:eastAsia="仿宋_GB2312" w:cs="DengXian-Regular"/>
          <w:sz w:val="32"/>
          <w:szCs w:val="32"/>
        </w:rPr>
        <w:t>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精神和厉行节约要求，严控制“三公”经费开支。具体情况如下：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本部门2018年度因公出国（境）团组0个、共0人。因公出国（境）费支出与年初预算持平，无增减变化,主要是无人因公出国。</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（二）公务用车购置及运行维护费支出0万元。</w:t>
      </w:r>
      <w:r>
        <w:rPr>
          <w:rFonts w:hint="eastAsia" w:ascii="仿宋_GB2312" w:eastAsia="仿宋_GB2312" w:cs="DengXian-Regular"/>
          <w:sz w:val="32"/>
          <w:szCs w:val="32"/>
        </w:rPr>
        <w:t>本部门2018年度公务用车购置及运行维护费较年初预算无增减变化,主要是认真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精神和厉行节约要求，严控制“三公”经费开支。</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本部门2018年度公务用车购置量0辆，发生“公务用车购置”经费支出0万元。公务用车购置费支出较年初预算无增减变化,主要是本年度未发生公务用车购置经费支出。</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本部门2018年度单位公务用车保有量0辆。公车运行维护费支出较年初预算增无增减变化,主要是认真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精神和厉行节约要求，严控制“三公”经费开支。</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（三）公务接待费支出0万元。</w:t>
      </w:r>
      <w:r>
        <w:rPr>
          <w:rFonts w:hint="eastAsia" w:ascii="仿宋_GB2312" w:eastAsia="仿宋_GB2312" w:cs="DengXian-Regular"/>
          <w:sz w:val="32"/>
          <w:szCs w:val="32"/>
        </w:rPr>
        <w:t>本部门2018年度公务接待共0批次、0人次。公务接待费支出较年初预算无增减变化,主要是本年度未发生公务接待费支出。</w:t>
      </w:r>
    </w:p>
    <w:p>
      <w:pPr>
        <w:pStyle w:val="3"/>
        <w:spacing w:before="0" w:after="0" w:line="58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w:t>
      </w:r>
    </w:p>
    <w:p>
      <w:pPr>
        <w:adjustRightInd w:val="0"/>
        <w:snapToGrid w:val="0"/>
        <w:spacing w:after="0" w:line="580" w:lineRule="exact"/>
        <w:ind w:firstLine="640" w:firstLineChars="200"/>
        <w:rPr>
          <w:rFonts w:ascii="仿宋_GB2312" w:eastAsia="仿宋_GB2312" w:cs="DengXian-Regular"/>
          <w:sz w:val="32"/>
          <w:szCs w:val="32"/>
          <w:shd w:val="pct10" w:color="auto" w:fill="FFFFFF"/>
        </w:rPr>
      </w:pPr>
      <w:r>
        <w:rPr>
          <w:rFonts w:hint="eastAsia" w:ascii="仿宋_GB2312" w:eastAsia="仿宋_GB2312" w:cs="DengXian-Regular"/>
          <w:sz w:val="32"/>
          <w:szCs w:val="32"/>
        </w:rPr>
        <w:t>（一）绩效管理工作开展情况</w:t>
      </w:r>
    </w:p>
    <w:p>
      <w:pPr>
        <w:adjustRightInd w:val="0"/>
        <w:snapToGrid w:val="0"/>
        <w:spacing w:after="0" w:line="580" w:lineRule="exact"/>
        <w:ind w:firstLine="640" w:firstLineChars="200"/>
        <w:rPr>
          <w:rFonts w:ascii="仿宋_GB2312" w:eastAsia="仿宋_GB2312" w:cs="DengXian-Regular"/>
          <w:color w:val="FF0000"/>
          <w:sz w:val="32"/>
          <w:szCs w:val="32"/>
        </w:rPr>
      </w:pPr>
      <w:r>
        <w:rPr>
          <w:rFonts w:hint="eastAsia" w:ascii="仿宋_GB2312" w:eastAsia="仿宋_GB2312" w:cs="DengXian-Regular"/>
          <w:sz w:val="32"/>
          <w:szCs w:val="32"/>
        </w:rPr>
        <w:t>根据《关于开展2018年度财政专项资金部门绩效自评价工作的通知》（无财[2019]13号），本单位认真开展了预算绩效管理改革开展情况自查，对部门全面规范绩效预算编制、严格预算执行管理、推进绩效评价工作、推进预决算信息公开等方面进行了自评，考核结果为良好。</w:t>
      </w:r>
    </w:p>
    <w:p>
      <w:pPr>
        <w:adjustRightInd w:val="0"/>
        <w:snapToGrid w:val="0"/>
        <w:spacing w:after="0" w:line="580" w:lineRule="exact"/>
        <w:ind w:firstLine="640" w:firstLineChars="200"/>
        <w:rPr>
          <w:rFonts w:ascii="仿宋_GB2312" w:eastAsia="仿宋_GB2312" w:cs="DengXian-Regular"/>
          <w:sz w:val="32"/>
          <w:szCs w:val="32"/>
          <w:shd w:val="pct10" w:color="auto" w:fill="FFFFFF"/>
        </w:rPr>
      </w:pPr>
      <w:r>
        <w:rPr>
          <w:rFonts w:hint="eastAsia" w:ascii="仿宋_GB2312" w:eastAsia="仿宋_GB2312" w:cs="DengXian-Regular"/>
          <w:sz w:val="32"/>
          <w:szCs w:val="32"/>
        </w:rPr>
        <w:t>（二）预算项目绩效评价开展情况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根据预算绩效管理要求，本单位组织对2018年度一般公共预算项目支出全面开展绩效自评，涉及办公设备购置和印刷等2个项目，涉及资金2.2万元。从评价情况看，均为良好。</w:t>
      </w:r>
    </w:p>
    <w:p>
      <w:pPr>
        <w:adjustRightInd w:val="0"/>
        <w:snapToGrid w:val="0"/>
        <w:spacing w:after="0" w:line="580" w:lineRule="exact"/>
        <w:ind w:firstLine="640" w:firstLineChars="200"/>
        <w:rPr>
          <w:rFonts w:ascii="仿宋_GB2312" w:eastAsia="仿宋_GB2312" w:cs="DengXian-Regular"/>
          <w:sz w:val="32"/>
          <w:szCs w:val="32"/>
          <w:shd w:val="pct10" w:color="auto" w:fill="FFFFFF"/>
        </w:rPr>
      </w:pPr>
      <w:r>
        <w:rPr>
          <w:rFonts w:hint="eastAsia" w:ascii="仿宋_GB2312" w:eastAsia="仿宋_GB2312" w:cs="DengXian-Regular"/>
          <w:sz w:val="32"/>
          <w:szCs w:val="32"/>
        </w:rPr>
        <w:t>（三）预算项目绩效自评选例</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项目支出符合单位职责和相关管理规定，绩效目标合理，项目较好完成了目标任务，产生了较好地经济效益和社会效益，达到了预期绩效目标。本单位办公设备购置项目绩效自评：根据年初设定的绩效目标，办公设备项目绩效自评结果为良好。项目全年预算数为1.8万元，执行数为1.8万元，完成预算的100%。主要产出和效果是提高了工作效率。未发现其他问题</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pStyle w:val="4"/>
        <w:spacing w:before="0" w:after="0" w:line="580" w:lineRule="exact"/>
        <w:ind w:firstLine="640" w:firstLineChars="200"/>
        <w:rPr>
          <w:rFonts w:ascii="楷体_GB2312" w:eastAsia="楷体_GB2312" w:cs="DengXian-Bold"/>
          <w:b w:val="0"/>
          <w:bCs w:val="0"/>
        </w:rPr>
      </w:pPr>
      <w:r>
        <w:rPr>
          <w:rFonts w:hint="eastAsia" w:ascii="楷体_GB2312" w:eastAsia="楷体_GB2312" w:cs="DengXian-Bold"/>
          <w:b w:val="0"/>
          <w:bCs w:val="0"/>
        </w:rPr>
        <w:t>本部门2018年度无机关运行经费。</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本部门2018年度政府采购支出总额0万元，从采购类型来看，</w:t>
      </w:r>
      <w:r>
        <w:rPr>
          <w:rFonts w:ascii="仿宋_GB2312" w:hAnsi="仿宋_GB2312" w:eastAsia="仿宋_GB2312" w:cs="仿宋_GB2312"/>
          <w:color w:val="000000"/>
          <w:kern w:val="0"/>
          <w:sz w:val="32"/>
          <w:szCs w:val="32"/>
        </w:rPr>
        <w:t>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万元，占政府采购支出总额的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p>
    <w:p>
      <w:pPr>
        <w:pStyle w:val="4"/>
        <w:numPr>
          <w:ilvl w:val="0"/>
          <w:numId w:val="1"/>
        </w:numPr>
        <w:spacing w:before="0" w:after="0" w:line="580" w:lineRule="exact"/>
        <w:ind w:left="420" w:leftChars="200"/>
        <w:rPr>
          <w:rFonts w:ascii="楷体_GB2312" w:eastAsia="楷体_GB2312" w:cs="DengXian-Bold"/>
        </w:rPr>
      </w:pPr>
      <w:r>
        <w:rPr>
          <w:rFonts w:hint="eastAsia" w:ascii="楷体_GB2312" w:eastAsia="楷体_GB2312" w:cs="DengXian-Bold"/>
        </w:rPr>
        <w:t>国有资产占有情况</w:t>
      </w:r>
    </w:p>
    <w:p>
      <w:pPr>
        <w:adjustRightInd w:val="0"/>
        <w:snapToGrid w:val="0"/>
        <w:spacing w:after="0" w:line="580" w:lineRule="exact"/>
        <w:ind w:firstLine="640" w:firstLineChars="200"/>
      </w:pPr>
      <w:r>
        <w:rPr>
          <w:rFonts w:hint="eastAsia" w:ascii="仿宋_GB2312" w:eastAsia="仿宋_GB2312" w:cs="DengXian-Regular"/>
          <w:sz w:val="32"/>
          <w:szCs w:val="32"/>
        </w:rPr>
        <w:t>截至2018年12月31日，本部门共有车辆0辆，比上年无增减变化。其中，副部（省）级及以上领导用车0辆，主要领导干部用车0辆，机要通信用车0辆，应急保障用车0辆，执法执勤用车0辆，特种专业技术用车0辆，离退休干部用车0辆，其他用车0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万元以上通用设备0台（套），比上年无增减变化，单位价值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万元以上专用设备0台（套）比上年无增减变化。</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1、本部门2018年度“一般公共预算财政拨款‘三公’经费”、“政府性基金预算财政拨款收入支出”、“国有资本经营预算财政拨款支出”及“政府采购”无收支及结转结余情况，故07—10表以空表列示。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27" o:spid="_x0000_s1027" o:spt="202" type="#_x0000_t202" style="position:absolute;left:0pt;margin-left:-78.7pt;margin-top:232.8pt;height:159.1pt;width:596.2pt;z-index:251673600;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438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4"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5AD2C2C-68BC-4AB8-9FF8-5D049707818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3927B83E-7E5D-4644-B2DF-6763F890BD25}"/>
  </w:font>
  <w:font w:name="楷体">
    <w:panose1 w:val="02010609060101010101"/>
    <w:charset w:val="86"/>
    <w:family w:val="modern"/>
    <w:pitch w:val="default"/>
    <w:sig w:usb0="800002BF" w:usb1="38CF7CFA" w:usb2="00000016" w:usb3="00000000" w:csb0="00040001" w:csb1="00000000"/>
    <w:embedRegular r:id="rId3" w:fontKey="{77FC8973-AF05-4B11-A2B4-76129F01B53D}"/>
  </w:font>
  <w:font w:name="楷体_GB2312">
    <w:panose1 w:val="02010609030101010101"/>
    <w:charset w:val="86"/>
    <w:family w:val="modern"/>
    <w:pitch w:val="default"/>
    <w:sig w:usb0="00000001" w:usb1="080E0000" w:usb2="00000000" w:usb3="00000000" w:csb0="00040000" w:csb1="00000000"/>
    <w:embedRegular r:id="rId4" w:fontKey="{2D49EABE-CFF5-463A-AB39-23911E61EF52}"/>
  </w:font>
  <w:font w:name="仿宋_GB2312">
    <w:panose1 w:val="02010609030101010101"/>
    <w:charset w:val="86"/>
    <w:family w:val="modern"/>
    <w:pitch w:val="default"/>
    <w:sig w:usb0="00000001" w:usb1="080E0000" w:usb2="00000000" w:usb3="00000000" w:csb0="00040000" w:csb1="00000000"/>
    <w:embedRegular r:id="rId5" w:fontKey="{F7C2A02F-CD80-489D-9EDB-21B275FBA06B}"/>
  </w:font>
  <w:font w:name="ArialUnicodeMS">
    <w:altName w:val="Malgun Gothic"/>
    <w:panose1 w:val="00000000000000000000"/>
    <w:charset w:val="81"/>
    <w:family w:val="auto"/>
    <w:pitch w:val="default"/>
    <w:sig w:usb0="00000000" w:usb1="00000000" w:usb2="00000010" w:usb3="00000000" w:csb0="00080001" w:csb1="00000000"/>
    <w:embedRegular r:id="rId6" w:fontKey="{393961C3-9360-4C8E-8B3C-AC71A9458D97}"/>
  </w:font>
  <w:font w:name="Malgun Gothic">
    <w:panose1 w:val="020B0503020000020004"/>
    <w:charset w:val="81"/>
    <w:family w:val="auto"/>
    <w:pitch w:val="default"/>
    <w:sig w:usb0="9000002F" w:usb1="29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7" w:fontKey="{8DD4506E-D98B-48E4-99CF-15B10B282EA6}"/>
  </w:font>
  <w:font w:name="Arial">
    <w:panose1 w:val="020B0604020202020204"/>
    <w:charset w:val="00"/>
    <w:family w:val="swiss"/>
    <w:pitch w:val="default"/>
    <w:sig w:usb0="E0002EFF" w:usb1="C000785B" w:usb2="00000009" w:usb3="00000000" w:csb0="400001FF" w:csb1="FFFF0000"/>
    <w:embedRegular r:id="rId8" w:fontKey="{621655DE-583A-416E-B849-14F3D8CC1D3F}"/>
  </w:font>
  <w:font w:name="DengXian-Regular">
    <w:altName w:val="宋体"/>
    <w:panose1 w:val="00000000000000000000"/>
    <w:charset w:val="86"/>
    <w:family w:val="auto"/>
    <w:pitch w:val="default"/>
    <w:sig w:usb0="00000000" w:usb1="00000000" w:usb2="00000010" w:usb3="00000000" w:csb0="00040001" w:csb1="00000000"/>
    <w:embedRegular r:id="rId9" w:fontKey="{FA05135C-F867-4814-99FD-4766474CA4AF}"/>
  </w:font>
  <w:font w:name="DengXian-Bold">
    <w:altName w:val="宋体"/>
    <w:panose1 w:val="00000000000000000000"/>
    <w:charset w:val="86"/>
    <w:family w:val="auto"/>
    <w:pitch w:val="default"/>
    <w:sig w:usb0="00000000" w:usb1="00000000" w:usb2="00000010" w:usb3="00000000" w:csb0="00040001" w:csb1="00000000"/>
    <w:embedRegular r:id="rId10" w:fontKey="{E5F75B1B-1DF5-479B-BF26-CB588CDC1D1B}"/>
  </w:font>
  <w:font w:name="TimesNewRomanPSMT">
    <w:altName w:val="Arial"/>
    <w:panose1 w:val="00000000000000000000"/>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11C1D"/>
    <w:rsid w:val="00024E7F"/>
    <w:rsid w:val="00026C6C"/>
    <w:rsid w:val="00034AFE"/>
    <w:rsid w:val="000475A0"/>
    <w:rsid w:val="00056CF3"/>
    <w:rsid w:val="00060FA3"/>
    <w:rsid w:val="000838C3"/>
    <w:rsid w:val="000B2446"/>
    <w:rsid w:val="000D78DC"/>
    <w:rsid w:val="000D7C65"/>
    <w:rsid w:val="000E2F81"/>
    <w:rsid w:val="000E783D"/>
    <w:rsid w:val="00110B85"/>
    <w:rsid w:val="00117946"/>
    <w:rsid w:val="00117E2C"/>
    <w:rsid w:val="00143EA8"/>
    <w:rsid w:val="00146C47"/>
    <w:rsid w:val="00152FB8"/>
    <w:rsid w:val="00171F5F"/>
    <w:rsid w:val="00176658"/>
    <w:rsid w:val="0018239E"/>
    <w:rsid w:val="001B3410"/>
    <w:rsid w:val="001C030D"/>
    <w:rsid w:val="001C4A84"/>
    <w:rsid w:val="001E29F7"/>
    <w:rsid w:val="001E5902"/>
    <w:rsid w:val="00212D83"/>
    <w:rsid w:val="00221B5E"/>
    <w:rsid w:val="00224E91"/>
    <w:rsid w:val="00225243"/>
    <w:rsid w:val="00233705"/>
    <w:rsid w:val="00275CA2"/>
    <w:rsid w:val="002A65A5"/>
    <w:rsid w:val="002C04C4"/>
    <w:rsid w:val="002D08B0"/>
    <w:rsid w:val="002D145E"/>
    <w:rsid w:val="002D1AE3"/>
    <w:rsid w:val="002F2ECE"/>
    <w:rsid w:val="00341C8F"/>
    <w:rsid w:val="0035463A"/>
    <w:rsid w:val="00387A58"/>
    <w:rsid w:val="00391D9D"/>
    <w:rsid w:val="00391E1D"/>
    <w:rsid w:val="003B6C51"/>
    <w:rsid w:val="003C1413"/>
    <w:rsid w:val="003C549F"/>
    <w:rsid w:val="003D493E"/>
    <w:rsid w:val="003D5A16"/>
    <w:rsid w:val="003E7DB3"/>
    <w:rsid w:val="003F7EC9"/>
    <w:rsid w:val="00431175"/>
    <w:rsid w:val="00447CA7"/>
    <w:rsid w:val="004918DB"/>
    <w:rsid w:val="004A181A"/>
    <w:rsid w:val="004B6E37"/>
    <w:rsid w:val="004C32BA"/>
    <w:rsid w:val="004C4719"/>
    <w:rsid w:val="00502871"/>
    <w:rsid w:val="005325EB"/>
    <w:rsid w:val="00540C2C"/>
    <w:rsid w:val="00572E01"/>
    <w:rsid w:val="00575922"/>
    <w:rsid w:val="00590E6A"/>
    <w:rsid w:val="00592A88"/>
    <w:rsid w:val="005A6C90"/>
    <w:rsid w:val="005B2661"/>
    <w:rsid w:val="005B4C51"/>
    <w:rsid w:val="005C765B"/>
    <w:rsid w:val="005E399A"/>
    <w:rsid w:val="005E3FB0"/>
    <w:rsid w:val="005F4B66"/>
    <w:rsid w:val="005F5208"/>
    <w:rsid w:val="0060329F"/>
    <w:rsid w:val="00641318"/>
    <w:rsid w:val="0064405D"/>
    <w:rsid w:val="00651721"/>
    <w:rsid w:val="00683AD3"/>
    <w:rsid w:val="00685302"/>
    <w:rsid w:val="00695557"/>
    <w:rsid w:val="006A4393"/>
    <w:rsid w:val="006B1C0B"/>
    <w:rsid w:val="006D4EA7"/>
    <w:rsid w:val="0070012A"/>
    <w:rsid w:val="0070664B"/>
    <w:rsid w:val="007071B8"/>
    <w:rsid w:val="007121A3"/>
    <w:rsid w:val="007414D3"/>
    <w:rsid w:val="007414DE"/>
    <w:rsid w:val="0074209C"/>
    <w:rsid w:val="00755B50"/>
    <w:rsid w:val="0075632A"/>
    <w:rsid w:val="0077791D"/>
    <w:rsid w:val="007905A9"/>
    <w:rsid w:val="00793818"/>
    <w:rsid w:val="007E5500"/>
    <w:rsid w:val="007F055B"/>
    <w:rsid w:val="0080644C"/>
    <w:rsid w:val="00811C2F"/>
    <w:rsid w:val="00815826"/>
    <w:rsid w:val="00833D46"/>
    <w:rsid w:val="00840A97"/>
    <w:rsid w:val="008823F9"/>
    <w:rsid w:val="008A4AE8"/>
    <w:rsid w:val="008B6221"/>
    <w:rsid w:val="008C0149"/>
    <w:rsid w:val="008C689C"/>
    <w:rsid w:val="008D5DED"/>
    <w:rsid w:val="008E013C"/>
    <w:rsid w:val="008E25CA"/>
    <w:rsid w:val="008F34FC"/>
    <w:rsid w:val="009071C5"/>
    <w:rsid w:val="00935058"/>
    <w:rsid w:val="00944CD7"/>
    <w:rsid w:val="00947274"/>
    <w:rsid w:val="00962794"/>
    <w:rsid w:val="009735AB"/>
    <w:rsid w:val="009831B2"/>
    <w:rsid w:val="009A1ABE"/>
    <w:rsid w:val="009E21A4"/>
    <w:rsid w:val="009E7325"/>
    <w:rsid w:val="009F22C6"/>
    <w:rsid w:val="00A07E50"/>
    <w:rsid w:val="00A15397"/>
    <w:rsid w:val="00A26239"/>
    <w:rsid w:val="00A35CE0"/>
    <w:rsid w:val="00A4462E"/>
    <w:rsid w:val="00A44AA4"/>
    <w:rsid w:val="00A521E9"/>
    <w:rsid w:val="00A61623"/>
    <w:rsid w:val="00A84687"/>
    <w:rsid w:val="00AA62AB"/>
    <w:rsid w:val="00AA65EF"/>
    <w:rsid w:val="00AB0A0E"/>
    <w:rsid w:val="00AD3B6E"/>
    <w:rsid w:val="00AE2DEF"/>
    <w:rsid w:val="00AF12B7"/>
    <w:rsid w:val="00B1751F"/>
    <w:rsid w:val="00B21C85"/>
    <w:rsid w:val="00B56722"/>
    <w:rsid w:val="00B74D39"/>
    <w:rsid w:val="00B76FC5"/>
    <w:rsid w:val="00B91DA4"/>
    <w:rsid w:val="00BA450F"/>
    <w:rsid w:val="00BB3032"/>
    <w:rsid w:val="00BC028F"/>
    <w:rsid w:val="00C118E6"/>
    <w:rsid w:val="00C12630"/>
    <w:rsid w:val="00C34562"/>
    <w:rsid w:val="00C3774E"/>
    <w:rsid w:val="00C57456"/>
    <w:rsid w:val="00C65387"/>
    <w:rsid w:val="00C66824"/>
    <w:rsid w:val="00C87FAB"/>
    <w:rsid w:val="00C91FF7"/>
    <w:rsid w:val="00C94E53"/>
    <w:rsid w:val="00CA3D65"/>
    <w:rsid w:val="00D0048E"/>
    <w:rsid w:val="00D23E7A"/>
    <w:rsid w:val="00D60C0D"/>
    <w:rsid w:val="00D61063"/>
    <w:rsid w:val="00D9701C"/>
    <w:rsid w:val="00DB0E59"/>
    <w:rsid w:val="00DB35AF"/>
    <w:rsid w:val="00DC7836"/>
    <w:rsid w:val="00DD72D7"/>
    <w:rsid w:val="00DE20EB"/>
    <w:rsid w:val="00DF5B88"/>
    <w:rsid w:val="00E0589E"/>
    <w:rsid w:val="00E241FA"/>
    <w:rsid w:val="00E2595E"/>
    <w:rsid w:val="00E35374"/>
    <w:rsid w:val="00E50C19"/>
    <w:rsid w:val="00E64655"/>
    <w:rsid w:val="00E73081"/>
    <w:rsid w:val="00E856C9"/>
    <w:rsid w:val="00E8744D"/>
    <w:rsid w:val="00E90E2B"/>
    <w:rsid w:val="00EB15EF"/>
    <w:rsid w:val="00EB6A8B"/>
    <w:rsid w:val="00EE3FA9"/>
    <w:rsid w:val="00EF38C6"/>
    <w:rsid w:val="00EF750F"/>
    <w:rsid w:val="00F163B1"/>
    <w:rsid w:val="00F31EEF"/>
    <w:rsid w:val="00F44ACF"/>
    <w:rsid w:val="00F679C7"/>
    <w:rsid w:val="00F7711A"/>
    <w:rsid w:val="00FA0D58"/>
    <w:rsid w:val="00FA3C48"/>
    <w:rsid w:val="00FA56F4"/>
    <w:rsid w:val="00FB4EDA"/>
    <w:rsid w:val="00FD3BD5"/>
    <w:rsid w:val="00FE3DC8"/>
    <w:rsid w:val="04073F84"/>
    <w:rsid w:val="04DA710F"/>
    <w:rsid w:val="0B60750A"/>
    <w:rsid w:val="10686488"/>
    <w:rsid w:val="10DF728A"/>
    <w:rsid w:val="125445B6"/>
    <w:rsid w:val="1264200E"/>
    <w:rsid w:val="141C5B77"/>
    <w:rsid w:val="14D57319"/>
    <w:rsid w:val="15EB5DC9"/>
    <w:rsid w:val="17687FA8"/>
    <w:rsid w:val="18D8339D"/>
    <w:rsid w:val="1A21388F"/>
    <w:rsid w:val="1A570D2F"/>
    <w:rsid w:val="1BD53C6A"/>
    <w:rsid w:val="1D9A62E2"/>
    <w:rsid w:val="1F2A49FA"/>
    <w:rsid w:val="2001739F"/>
    <w:rsid w:val="226F6F31"/>
    <w:rsid w:val="28FB0B8D"/>
    <w:rsid w:val="29711625"/>
    <w:rsid w:val="2A9870FC"/>
    <w:rsid w:val="2D2B7942"/>
    <w:rsid w:val="2D46481D"/>
    <w:rsid w:val="2E733B28"/>
    <w:rsid w:val="2F8B008F"/>
    <w:rsid w:val="304E7963"/>
    <w:rsid w:val="31852B5A"/>
    <w:rsid w:val="32D01238"/>
    <w:rsid w:val="34A334B5"/>
    <w:rsid w:val="369E4E09"/>
    <w:rsid w:val="37D1686B"/>
    <w:rsid w:val="390A286C"/>
    <w:rsid w:val="39F4488A"/>
    <w:rsid w:val="3B9816CC"/>
    <w:rsid w:val="3DFC59A8"/>
    <w:rsid w:val="3E2D34DC"/>
    <w:rsid w:val="3ECF245E"/>
    <w:rsid w:val="3FB96314"/>
    <w:rsid w:val="400D656B"/>
    <w:rsid w:val="400E1E44"/>
    <w:rsid w:val="4BE9118F"/>
    <w:rsid w:val="4DF46B20"/>
    <w:rsid w:val="515A59AD"/>
    <w:rsid w:val="520F2245"/>
    <w:rsid w:val="52F323BD"/>
    <w:rsid w:val="53A44FAF"/>
    <w:rsid w:val="57216063"/>
    <w:rsid w:val="594329EC"/>
    <w:rsid w:val="5A0F15E0"/>
    <w:rsid w:val="5BEE1540"/>
    <w:rsid w:val="5DE61A5D"/>
    <w:rsid w:val="63331190"/>
    <w:rsid w:val="639217A4"/>
    <w:rsid w:val="63C04243"/>
    <w:rsid w:val="649C01C7"/>
    <w:rsid w:val="699A3F60"/>
    <w:rsid w:val="6A7B7A38"/>
    <w:rsid w:val="72151EA1"/>
    <w:rsid w:val="72902E62"/>
    <w:rsid w:val="7365483A"/>
    <w:rsid w:val="73C61104"/>
    <w:rsid w:val="749D4162"/>
    <w:rsid w:val="75F95A49"/>
    <w:rsid w:val="776452EA"/>
    <w:rsid w:val="78A06CDC"/>
    <w:rsid w:val="7A1B5D1E"/>
    <w:rsid w:val="7C9C0FC5"/>
    <w:rsid w:val="7CBD0EA1"/>
    <w:rsid w:val="7DC663B9"/>
    <w:rsid w:val="7E635263"/>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unhideWhenUsed/>
    <w:qFormat/>
    <w:uiPriority w:val="99"/>
    <w:pPr>
      <w:ind w:left="100" w:leftChars="2500"/>
    </w:pPr>
  </w:style>
  <w:style w:type="paragraph" w:styleId="7">
    <w:name w:val="Balloon Text"/>
    <w:basedOn w:val="1"/>
    <w:link w:val="19"/>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customStyle="1" w:styleId="17">
    <w:name w:val="无间隔1"/>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customStyle="1" w:styleId="32">
    <w:name w:val="列出段落1"/>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3.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jpeg"/><Relationship Id="rId13" Type="http://schemas.openxmlformats.org/officeDocument/2006/relationships/chart" Target="charts/chart5.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388888888889"/>
          <c:y val="0.0422619047619048"/>
          <c:w val="0.458564814814815"/>
          <c:h val="0.786111111111111"/>
        </c:manualLayout>
      </c:layout>
      <c:pieChart>
        <c:varyColors val="1"/>
        <c:ser>
          <c:idx val="0"/>
          <c:order val="0"/>
          <c:tx>
            <c:strRef>
              <c:f>Sheet1!$B$1</c:f>
              <c:strCache>
                <c:ptCount val="1"/>
                <c:pt idx="0">
                  <c:v>图1：收入结构图</c:v>
                </c:pt>
              </c:strCache>
            </c:strRef>
          </c:tx>
          <c:explosion val="0"/>
          <c:dPt>
            <c:idx val="0"/>
            <c:bubble3D val="0"/>
            <c:spPr>
              <a:gradFill rotWithShape="1">
                <a:gsLst>
                  <a:gs pos="0">
                    <a:schemeClr val="accent1">
                      <a:shade val="38000"/>
                      <a:satMod val="150000"/>
                    </a:schemeClr>
                  </a:gs>
                  <a:gs pos="50000">
                    <a:schemeClr val="accent1">
                      <a:shade val="100000"/>
                      <a:satMod val="100000"/>
                    </a:schemeClr>
                  </a:gs>
                  <a:gs pos="100000">
                    <a:schemeClr val="accent1">
                      <a:shade val="38000"/>
                      <a:satMod val="150000"/>
                    </a:schemeClr>
                  </a:gs>
                </a:gsLst>
                <a:lin ang="0" scaled="1"/>
              </a:gradFill>
              <a:ln>
                <a:noFill/>
              </a:ln>
              <a:effectLst>
                <a:outerShdw blurRad="190500" dist="78600" dir="2700000" rotWithShape="0">
                  <a:srgbClr val="000000">
                    <a:alpha val="35500"/>
                  </a:srgbClr>
                </a:outerShdw>
              </a:effectLst>
            </c:spPr>
          </c:dPt>
          <c:dPt>
            <c:idx val="1"/>
            <c:bubble3D val="0"/>
            <c:spPr>
              <a:gradFill rotWithShape="1">
                <a:gsLst>
                  <a:gs pos="0">
                    <a:schemeClr val="accent2">
                      <a:shade val="38000"/>
                      <a:satMod val="150000"/>
                    </a:schemeClr>
                  </a:gs>
                  <a:gs pos="50000">
                    <a:schemeClr val="accent2">
                      <a:shade val="100000"/>
                      <a:satMod val="100000"/>
                    </a:schemeClr>
                  </a:gs>
                  <a:gs pos="100000">
                    <a:schemeClr val="accent2">
                      <a:shade val="38000"/>
                      <a:satMod val="150000"/>
                    </a:schemeClr>
                  </a:gs>
                </a:gsLst>
                <a:lin ang="0" scaled="1"/>
              </a:gradFill>
              <a:ln>
                <a:noFill/>
              </a:ln>
              <a:effectLst>
                <a:outerShdw blurRad="190500" dist="78600" dir="2700000" rotWithShape="0">
                  <a:srgbClr val="000000">
                    <a:alpha val="35500"/>
                  </a:srgbClr>
                </a:outerShdw>
              </a:effectLst>
            </c:spPr>
          </c:dPt>
          <c:dPt>
            <c:idx val="2"/>
            <c:bubble3D val="0"/>
            <c:spPr>
              <a:gradFill rotWithShape="1">
                <a:gsLst>
                  <a:gs pos="0">
                    <a:schemeClr val="accent3">
                      <a:shade val="38000"/>
                      <a:satMod val="150000"/>
                    </a:schemeClr>
                  </a:gs>
                  <a:gs pos="50000">
                    <a:schemeClr val="accent3">
                      <a:shade val="100000"/>
                      <a:satMod val="100000"/>
                    </a:schemeClr>
                  </a:gs>
                  <a:gs pos="100000">
                    <a:schemeClr val="accent3">
                      <a:shade val="38000"/>
                      <a:satMod val="150000"/>
                    </a:schemeClr>
                  </a:gs>
                </a:gsLst>
                <a:lin ang="0" scaled="1"/>
              </a:gradFill>
              <a:ln>
                <a:noFill/>
              </a:ln>
              <a:effectLst>
                <a:outerShdw blurRad="190500" dist="78600" dir="2700000" rotWithShape="0">
                  <a:srgbClr val="000000">
                    <a:alpha val="35500"/>
                  </a:srgbClr>
                </a:outerShdw>
              </a:effectLst>
            </c:spPr>
          </c:dPt>
          <c:dPt>
            <c:idx val="3"/>
            <c:bubble3D val="0"/>
            <c:spPr>
              <a:gradFill rotWithShape="1">
                <a:gsLst>
                  <a:gs pos="0">
                    <a:schemeClr val="accent4">
                      <a:shade val="38000"/>
                      <a:satMod val="150000"/>
                    </a:schemeClr>
                  </a:gs>
                  <a:gs pos="50000">
                    <a:schemeClr val="accent4">
                      <a:shade val="100000"/>
                      <a:satMod val="100000"/>
                    </a:schemeClr>
                  </a:gs>
                  <a:gs pos="100000">
                    <a:schemeClr val="accent4">
                      <a:shade val="38000"/>
                      <a:satMod val="150000"/>
                    </a:schemeClr>
                  </a:gs>
                </a:gsLst>
                <a:lin ang="0" scaled="1"/>
              </a:gradFill>
              <a:ln>
                <a:noFill/>
              </a:ln>
              <a:effectLst>
                <a:outerShdw blurRad="190500" dist="78600" dir="2700000" rotWithShape="0">
                  <a:srgbClr val="000000">
                    <a:alpha val="35500"/>
                  </a:srgbClr>
                </a:outerShdw>
              </a:effectLst>
            </c:spPr>
          </c:dPt>
          <c:dLbls>
            <c:dLbl>
              <c:idx val="0"/>
              <c:layout>
                <c:manualLayout>
                  <c:x val="-0.101069283726381"/>
                  <c:y val="0.014662756598240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186758459059616"/>
                  <c:y val="0.037650595172098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42668814999268"/>
                      <c:h val="0.155620723362659"/>
                    </c:manualLayout>
                  </c15:layout>
                </c:ext>
              </c:extLst>
            </c:dLbl>
            <c:dLbl>
              <c:idx val="3"/>
              <c:layout>
                <c:manualLayout>
                  <c:x val="0.140618133880182"/>
                  <c:y val="0.11818006385027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23040867145159"/>
                      <c:h val="0.235581622678397"/>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财政拨款收入</c:v>
                </c:pt>
                <c:pt idx="1">
                  <c:v>事业收入</c:v>
                </c:pt>
                <c:pt idx="2">
                  <c:v>经营收入</c:v>
                </c:pt>
                <c:pt idx="3">
                  <c:v>其他收入</c:v>
                </c:pt>
              </c:strCache>
            </c:strRef>
          </c:cat>
          <c:val>
            <c:numRef>
              <c:f>Sheet1!$B$2:$B$5</c:f>
              <c:numCache>
                <c:formatCode>General</c:formatCode>
                <c:ptCount val="4"/>
                <c:pt idx="0">
                  <c:v>138.9</c:v>
                </c:pt>
                <c:pt idx="1">
                  <c:v>0</c:v>
                </c:pt>
                <c:pt idx="2">
                  <c:v>0</c:v>
                </c:pt>
                <c:pt idx="3">
                  <c:v>0</c:v>
                </c:pt>
              </c:numCache>
            </c:numRef>
          </c:val>
        </c:ser>
        <c:dLbls>
          <c:showLegendKey val="0"/>
          <c:showVal val="1"/>
          <c:showCatName val="0"/>
          <c:showSerName val="0"/>
          <c:showPercent val="0"/>
          <c:showBubbleSize val="0"/>
          <c:showLeaderLines val="1"/>
        </c:dLbls>
        <c:firstSliceAng val="15"/>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
                </c:pt>
              </c:strCache>
            </c:strRef>
          </c:tx>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Lbls>
            <c:dLbl>
              <c:idx val="0"/>
              <c:layout>
                <c:manualLayout>
                  <c:x val="0.0881792183031459"/>
                  <c:y val="-0.219341002144668"/>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altLang="en-US"/>
                      <a:t>基本支出
98</a:t>
                    </a:r>
                    <a:r>
                      <a:rPr lang="en-US" altLang="en-US"/>
                      <a:t>.42</a:t>
                    </a:r>
                    <a:r>
                      <a:rPr altLang="en-US"/>
                      <a:t>%</a:t>
                    </a:r>
                    <a:endParaRPr altLang="en-US"/>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31077216396568"/>
                  <c:y val="0.0293674960277398"/>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altLang="en-US"/>
                      <a:t>项目支出
</a:t>
                    </a:r>
                    <a:r>
                      <a:rPr lang="en-US" altLang="en-US"/>
                      <a:t>1.58</a:t>
                    </a:r>
                    <a:r>
                      <a:rPr altLang="en-US"/>
                      <a:t>%</a:t>
                    </a:r>
                    <a:endParaRPr altLang="en-US"/>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136.63</c:v>
                </c:pt>
                <c:pt idx="1">
                  <c:v>2.2</c:v>
                </c:pt>
              </c:numCache>
            </c:numRef>
          </c:val>
        </c:ser>
        <c:ser>
          <c:idx val="1"/>
          <c:order val="1"/>
          <c:tx>
            <c:strRef>
              <c:f>Sheet1!$C$1</c:f>
              <c:strCache>
                <c:ptCount val="1"/>
                <c:pt idx="0">
                  <c:v/>
                </c:pt>
              </c:strCache>
            </c:strRef>
          </c:tx>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Sheet1!$C$2:$C$3</c:f>
              <c:numCache>
                <c:formatCode>0.00%</c:formatCode>
                <c:ptCount val="2"/>
                <c:pt idx="0">
                  <c:v>0.9842</c:v>
                </c:pt>
                <c:pt idx="1">
                  <c:v>0.0158</c:v>
                </c:pt>
              </c:numCache>
            </c:numRef>
          </c:val>
        </c:ser>
        <c:ser>
          <c:idx val="2"/>
          <c:order val="2"/>
          <c:tx>
            <c:strRef>
              <c:f>Sheet1!#REF!</c:f>
              <c:strCache>
                <c:ptCount val="1"/>
                <c:pt idx="0">
                  <c:v/>
                </c:pt>
              </c:strCache>
            </c:strRef>
          </c:tx>
          <c:explosion val="0"/>
          <c:dPt>
            <c:idx val="0"/>
            <c:bubble3D val="0"/>
            <c:spPr>
              <a:solidFill>
                <a:schemeClr val="accent1">
                  <a:tint val="100000"/>
                  <a:shade val="100000"/>
                  <a:hueMod val="100000"/>
                  <a:satMod val="10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Sheet1!#REF!</c:f>
              <c:numCache>
                <c:formatCode>General</c:formatCode>
                <c:ptCount val="1"/>
                <c:pt idx="0">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2017年度</c:v>
                </c:pt>
              </c:strCache>
            </c:strRef>
          </c:tx>
          <c:spPr>
            <a:solidFill>
              <a:schemeClr val="accent1">
                <a:tint val="100000"/>
                <a:shade val="100000"/>
                <a:hueMod val="100000"/>
                <a:satMod val="10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收入</c:v>
                </c:pt>
                <c:pt idx="1">
                  <c:v>支出</c:v>
                </c:pt>
              </c:strCache>
            </c:strRef>
          </c:cat>
          <c:val>
            <c:numRef>
              <c:f>Sheet1!$B$2:$B$3</c:f>
              <c:numCache>
                <c:formatCode>General</c:formatCode>
                <c:ptCount val="2"/>
                <c:pt idx="0">
                  <c:v>150.36</c:v>
                </c:pt>
                <c:pt idx="1">
                  <c:v>150.36</c:v>
                </c:pt>
              </c:numCache>
            </c:numRef>
          </c:val>
        </c:ser>
        <c:ser>
          <c:idx val="1"/>
          <c:order val="1"/>
          <c:tx>
            <c:strRef>
              <c:f>Sheet1!$C$1</c:f>
              <c:strCache>
                <c:ptCount val="1"/>
                <c:pt idx="0">
                  <c:v>2018年度</c:v>
                </c:pt>
              </c:strCache>
            </c:strRef>
          </c:tx>
          <c:spPr>
            <a:solidFill>
              <a:schemeClr val="accent2">
                <a:tint val="100000"/>
                <a:shade val="100000"/>
                <a:hueMod val="100000"/>
                <a:satMod val="10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收入</c:v>
                </c:pt>
                <c:pt idx="1">
                  <c:v>支出</c:v>
                </c:pt>
              </c:strCache>
            </c:strRef>
          </c:cat>
          <c:val>
            <c:numRef>
              <c:f>Sheet1!$C$2:$C$3</c:f>
              <c:numCache>
                <c:formatCode>General</c:formatCode>
                <c:ptCount val="2"/>
                <c:pt idx="0">
                  <c:v>138.9</c:v>
                </c:pt>
                <c:pt idx="1">
                  <c:v>138.83</c:v>
                </c:pt>
              </c:numCache>
            </c:numRef>
          </c:val>
        </c:ser>
        <c:ser>
          <c:idx val="2"/>
          <c:order val="2"/>
          <c:tx>
            <c:strRef>
              <c:f>Sheet1!#REF!</c:f>
              <c:strCache>
                <c:ptCount val="1"/>
                <c:pt idx="0">
                  <c:v/>
                </c:pt>
              </c:strCache>
            </c:strRef>
          </c:tx>
          <c:spPr>
            <a:solidFill>
              <a:schemeClr val="accent3">
                <a:tint val="100000"/>
                <a:shade val="100000"/>
                <a:hueMod val="100000"/>
                <a:satMod val="100000"/>
              </a:schemeClr>
            </a:solidFill>
            <a:ln>
              <a:noFill/>
            </a:ln>
            <a:effectLst/>
          </c:spPr>
          <c:invertIfNegative val="0"/>
          <c:dLbls>
            <c:delete val="1"/>
          </c:dLbls>
          <c:cat>
            <c:strRef>
              <c:f>Sheet1!$A$2:$A$3</c:f>
              <c:strCache>
                <c:ptCount val="2"/>
                <c:pt idx="0">
                  <c:v>收入</c:v>
                </c:pt>
                <c:pt idx="1">
                  <c:v>支出</c:v>
                </c:pt>
              </c:strCache>
            </c:strRef>
          </c:cat>
          <c:val>
            <c:numRef>
              <c:f>Sheet1!#REF!</c:f>
              <c:numCache>
                <c:formatCode>General</c:formatCode>
                <c:ptCount val="1"/>
                <c:pt idx="0">
                  <c:v>1</c:v>
                </c:pt>
              </c:numCache>
            </c:numRef>
          </c:val>
        </c:ser>
        <c:dLbls>
          <c:showLegendKey val="0"/>
          <c:showVal val="1"/>
          <c:showCatName val="0"/>
          <c:showSerName val="0"/>
          <c:showPercent val="0"/>
          <c:showBubbleSize val="0"/>
        </c:dLbls>
        <c:gapWidth val="219"/>
        <c:overlap val="-27"/>
        <c:axId val="195415040"/>
        <c:axId val="206500608"/>
      </c:barChart>
      <c:catAx>
        <c:axId val="195415040"/>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6500608"/>
        <c:crosses val="autoZero"/>
        <c:auto val="1"/>
        <c:lblAlgn val="ctr"/>
        <c:lblOffset val="100"/>
        <c:noMultiLvlLbl val="0"/>
      </c:catAx>
      <c:valAx>
        <c:axId val="20650060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5415040"/>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预算</c:v>
                </c:pt>
              </c:strCache>
            </c:strRef>
          </c:tx>
          <c:spPr>
            <a:solidFill>
              <a:schemeClr val="accent1">
                <a:tint val="100000"/>
                <a:shade val="100000"/>
                <a:hueMod val="100000"/>
                <a:satMod val="10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收入</c:v>
                </c:pt>
                <c:pt idx="1">
                  <c:v>支出</c:v>
                </c:pt>
              </c:strCache>
            </c:strRef>
          </c:cat>
          <c:val>
            <c:numRef>
              <c:f>Sheet1!$B$2:$B$3</c:f>
              <c:numCache>
                <c:formatCode>General</c:formatCode>
                <c:ptCount val="2"/>
                <c:pt idx="0">
                  <c:v>170.43</c:v>
                </c:pt>
                <c:pt idx="1">
                  <c:v>170.43</c:v>
                </c:pt>
              </c:numCache>
            </c:numRef>
          </c:val>
        </c:ser>
        <c:ser>
          <c:idx val="1"/>
          <c:order val="1"/>
          <c:tx>
            <c:strRef>
              <c:f>Sheet1!$C$1</c:f>
              <c:strCache>
                <c:ptCount val="1"/>
                <c:pt idx="0">
                  <c:v>决算</c:v>
                </c:pt>
              </c:strCache>
            </c:strRef>
          </c:tx>
          <c:spPr>
            <a:solidFill>
              <a:schemeClr val="accent2">
                <a:tint val="100000"/>
                <a:shade val="100000"/>
                <a:hueMod val="100000"/>
                <a:satMod val="10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收入</c:v>
                </c:pt>
                <c:pt idx="1">
                  <c:v>支出</c:v>
                </c:pt>
              </c:strCache>
            </c:strRef>
          </c:cat>
          <c:val>
            <c:numRef>
              <c:f>Sheet1!$C$2:$C$3</c:f>
              <c:numCache>
                <c:formatCode>General</c:formatCode>
                <c:ptCount val="2"/>
                <c:pt idx="0">
                  <c:v>138.9</c:v>
                </c:pt>
                <c:pt idx="1">
                  <c:v>138.83</c:v>
                </c:pt>
              </c:numCache>
            </c:numRef>
          </c:val>
        </c:ser>
        <c:ser>
          <c:idx val="2"/>
          <c:order val="2"/>
          <c:tx>
            <c:strRef>
              <c:f>Sheet1!#REF!</c:f>
              <c:strCache>
                <c:ptCount val="1"/>
                <c:pt idx="0">
                  <c:v/>
                </c:pt>
              </c:strCache>
            </c:strRef>
          </c:tx>
          <c:spPr>
            <a:solidFill>
              <a:schemeClr val="accent3">
                <a:tint val="100000"/>
                <a:shade val="100000"/>
                <a:hueMod val="100000"/>
                <a:satMod val="100000"/>
              </a:schemeClr>
            </a:solidFill>
            <a:ln>
              <a:noFill/>
            </a:ln>
            <a:effectLst/>
          </c:spPr>
          <c:invertIfNegative val="0"/>
          <c:dLbls>
            <c:delete val="1"/>
          </c:dLbls>
          <c:cat>
            <c:strRef>
              <c:f>Sheet1!$A$2:$A$3</c:f>
              <c:strCache>
                <c:ptCount val="2"/>
                <c:pt idx="0">
                  <c:v>收入</c:v>
                </c:pt>
                <c:pt idx="1">
                  <c:v>支出</c:v>
                </c:pt>
              </c:strCache>
            </c:strRef>
          </c:cat>
          <c:val>
            <c:numRef>
              <c:f>Sheet1!#REF!</c:f>
              <c:numCache>
                <c:formatCode>General</c:formatCode>
                <c:ptCount val="1"/>
                <c:pt idx="0">
                  <c:v>1</c:v>
                </c:pt>
              </c:numCache>
            </c:numRef>
          </c:val>
        </c:ser>
        <c:dLbls>
          <c:showLegendKey val="0"/>
          <c:showVal val="1"/>
          <c:showCatName val="0"/>
          <c:showSerName val="0"/>
          <c:showPercent val="0"/>
          <c:showBubbleSize val="0"/>
        </c:dLbls>
        <c:gapWidth val="219"/>
        <c:overlap val="-27"/>
        <c:axId val="210401920"/>
        <c:axId val="213668224"/>
      </c:barChart>
      <c:catAx>
        <c:axId val="210401920"/>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3668224"/>
        <c:crosses val="autoZero"/>
        <c:auto val="1"/>
        <c:lblAlgn val="ctr"/>
        <c:lblOffset val="100"/>
        <c:noMultiLvlLbl val="0"/>
      </c:catAx>
      <c:valAx>
        <c:axId val="21366822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0401920"/>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列1</c:v>
                </c:pt>
              </c:strCache>
            </c:strRef>
          </c:tx>
          <c:explosion val="0"/>
          <c:dPt>
            <c:idx val="0"/>
            <c:bubble3D val="0"/>
            <c:spPr>
              <a:gradFill rotWithShape="1">
                <a:gsLst>
                  <a:gs pos="0">
                    <a:schemeClr val="accent1">
                      <a:shade val="38000"/>
                      <a:satMod val="150000"/>
                    </a:schemeClr>
                  </a:gs>
                  <a:gs pos="50000">
                    <a:schemeClr val="accent1">
                      <a:shade val="100000"/>
                      <a:satMod val="100000"/>
                    </a:schemeClr>
                  </a:gs>
                  <a:gs pos="100000">
                    <a:schemeClr val="accent1">
                      <a:shade val="38000"/>
                      <a:satMod val="150000"/>
                    </a:schemeClr>
                  </a:gs>
                </a:gsLst>
                <a:lin ang="0" scaled="1"/>
              </a:gradFill>
              <a:ln>
                <a:noFill/>
              </a:ln>
              <a:effectLst>
                <a:outerShdw blurRad="190500" dist="78600" dir="2700000" rotWithShape="0">
                  <a:srgbClr val="000000">
                    <a:alpha val="35500"/>
                  </a:srgbClr>
                </a:outerShdw>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c:f>
              <c:strCache>
                <c:ptCount val="1"/>
                <c:pt idx="0">
                  <c:v>教育支出</c:v>
                </c:pt>
              </c:strCache>
            </c:strRef>
          </c:cat>
          <c:val>
            <c:numRef>
              <c:f>Sheet1!$B$2</c:f>
              <c:numCache>
                <c:formatCode>General</c:formatCode>
                <c:ptCount val="1"/>
                <c:pt idx="0">
                  <c:v>138.83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6FC9C6-39C8-4D88-A7DA-7E5623CB0C86}">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30</Pages>
  <Words>1507</Words>
  <Characters>8593</Characters>
  <Lines>71</Lines>
  <Paragraphs>20</Paragraphs>
  <TotalTime>13</TotalTime>
  <ScaleCrop>false</ScaleCrop>
  <LinksUpToDate>false</LinksUpToDate>
  <CharactersWithSpaces>10080</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古德纽斯</cp:lastModifiedBy>
  <cp:lastPrinted>2019-08-02T01:01:00Z</cp:lastPrinted>
  <dcterms:modified xsi:type="dcterms:W3CDTF">2023-08-28T07:20:52Z</dcterms:modified>
  <dc:subject>石家庄市xxx部门</dc:subject>
  <dc:title>2017年度部门决算</dc:title>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460B8140341347AC865A91547F6D3C42</vt:lpwstr>
  </property>
</Properties>
</file>