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无极县林业工作站</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 xml:space="preserve"> 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无极县林业工作站</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045" o:spid="_x0000_s1045"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640" w:firstLineChars="200"/>
        <w:rPr>
          <w:rFonts w:ascii="仿宋" w:hAnsi="仿宋" w:eastAsia="仿宋" w:cs="仿宋"/>
          <w:sz w:val="32"/>
          <w:szCs w:val="32"/>
        </w:rPr>
      </w:pPr>
      <w:r>
        <w:rPr>
          <w:rFonts w:hint="eastAsia" w:ascii="仿宋" w:hAnsi="仿宋" w:eastAsia="仿宋" w:cs="仿宋_GB2312"/>
          <w:sz w:val="32"/>
          <w:szCs w:val="32"/>
        </w:rPr>
        <w:t>1.</w:t>
      </w:r>
      <w:r>
        <w:rPr>
          <w:rFonts w:hint="eastAsia" w:ascii="仿宋" w:hAnsi="仿宋" w:eastAsia="仿宋" w:cs="仿宋"/>
          <w:sz w:val="32"/>
          <w:szCs w:val="32"/>
        </w:rPr>
        <w:t>贯彻执行国家关于林业及其生态建设的方针政策和法律法规。拟定全县林业及其生态建设发展战略、中长期规划、年度计划、综合规划和有关专业规划并组织实施；参与拟定有关规定并指导实施；拟定全县林业及其生态环境建设、果花生产和林业产业发展工作方案，并负责组织实施和监督检查；组织开展森林资源的调查、动态监测和评估，并统一发布相关信息。</w:t>
      </w:r>
    </w:p>
    <w:p>
      <w:pPr>
        <w:ind w:firstLine="640" w:firstLineChars="200"/>
        <w:rPr>
          <w:rFonts w:ascii="仿宋" w:hAnsi="仿宋" w:eastAsia="仿宋" w:cs="仿宋"/>
          <w:sz w:val="32"/>
          <w:szCs w:val="32"/>
        </w:rPr>
      </w:pPr>
      <w:r>
        <w:rPr>
          <w:rFonts w:hint="eastAsia" w:ascii="仿宋" w:hAnsi="仿宋" w:eastAsia="仿宋" w:cs="仿宋"/>
          <w:sz w:val="32"/>
          <w:szCs w:val="32"/>
        </w:rPr>
        <w:t>2.负责全县绿化委员会办公室的具体工作。组织、协调、指导和监督全县城乡造林绿化工作；制定全县造林绿化的指导性计划，贯彻落实国家、省、市有关标准和规程；负责全县植树造林、退耕还林等重点林业工程的指导、验收工作；指导监督全县全民义务植树和部门及社会绿化工作；指导公益林的培育；负责全县造林绿化的表彰奖励工作。</w:t>
      </w:r>
    </w:p>
    <w:p>
      <w:pPr>
        <w:ind w:firstLine="640" w:firstLineChars="200"/>
        <w:rPr>
          <w:rFonts w:ascii="仿宋" w:hAnsi="仿宋" w:eastAsia="仿宋" w:cs="仿宋"/>
          <w:sz w:val="32"/>
          <w:szCs w:val="32"/>
        </w:rPr>
      </w:pPr>
      <w:r>
        <w:rPr>
          <w:rFonts w:hint="eastAsia" w:ascii="仿宋" w:hAnsi="仿宋" w:eastAsia="仿宋" w:cs="仿宋"/>
          <w:sz w:val="32"/>
          <w:szCs w:val="32"/>
        </w:rPr>
        <w:t>3.指导林业有害生物的防治、检疫工作。负责全县林果生产、病虫害防治工作。</w:t>
      </w:r>
    </w:p>
    <w:p>
      <w:pPr>
        <w:ind w:firstLine="640" w:firstLineChars="200"/>
        <w:rPr>
          <w:rFonts w:ascii="仿宋" w:hAnsi="仿宋" w:eastAsia="仿宋" w:cs="仿宋"/>
          <w:sz w:val="32"/>
          <w:szCs w:val="32"/>
        </w:rPr>
      </w:pPr>
      <w:r>
        <w:rPr>
          <w:rFonts w:hint="eastAsia" w:ascii="仿宋" w:hAnsi="仿宋" w:eastAsia="仿宋" w:cs="仿宋"/>
          <w:sz w:val="32"/>
          <w:szCs w:val="32"/>
        </w:rPr>
        <w:t>4.负责全县果品、花卉行业的管理工作，监督管理果品质量安全，负责果品质量安全检测及信息发布工作。指导全县林业产业工作。</w:t>
      </w:r>
    </w:p>
    <w:p>
      <w:pPr>
        <w:ind w:firstLine="640" w:firstLineChars="200"/>
        <w:rPr>
          <w:rFonts w:ascii="仿宋" w:hAnsi="仿宋" w:eastAsia="仿宋" w:cs="仿宋"/>
          <w:sz w:val="32"/>
          <w:szCs w:val="32"/>
        </w:rPr>
      </w:pPr>
      <w:r>
        <w:rPr>
          <w:rFonts w:hint="eastAsia" w:ascii="仿宋" w:hAnsi="仿宋" w:eastAsia="仿宋" w:cs="仿宋"/>
          <w:sz w:val="32"/>
          <w:szCs w:val="32"/>
        </w:rPr>
        <w:t>5.参与拟定林业及生态建设的经济调节政策和补偿制度的建立、实施。编制部门预算并组织实施，监管国有林业资产和森林资源资产，管理全县林业资金，指导监督全县林业资金的使用。审核申报和审批核准规划内和年度计划内重点林业建设项目并监督实施。</w:t>
      </w:r>
    </w:p>
    <w:p>
      <w:pPr>
        <w:ind w:firstLine="640" w:firstLineChars="200"/>
        <w:rPr>
          <w:rFonts w:ascii="仿宋" w:hAnsi="仿宋" w:eastAsia="仿宋" w:cs="仿宋"/>
          <w:sz w:val="32"/>
          <w:szCs w:val="32"/>
        </w:rPr>
      </w:pPr>
      <w:r>
        <w:rPr>
          <w:rFonts w:hint="eastAsia" w:ascii="仿宋" w:hAnsi="仿宋" w:eastAsia="仿宋" w:cs="仿宋"/>
          <w:sz w:val="32"/>
          <w:szCs w:val="32"/>
        </w:rPr>
        <w:t>6.负责全县森林资源保护、监督管理工作。监督检查全县林木凭证采伐、运输；拟定全县陆生野生动植物资源的保护和合理开发利用。负责全县林业系统自然保护区的监督管理。</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无极县林业工作站</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财政补助事业单位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44" o:spid="_x0000_s1044"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cs="宋体"/>
                <w:color w:val="000000"/>
                <w:sz w:val="20"/>
                <w:szCs w:val="20"/>
              </w:rPr>
            </w:pPr>
            <w:r>
              <w:rPr>
                <w:rFonts w:hint="eastAsia" w:ascii="宋体" w:hAnsi="宋体" w:cs="宋体"/>
                <w:color w:val="000000"/>
                <w:kern w:val="0"/>
                <w:sz w:val="22"/>
                <w:szCs w:val="22"/>
              </w:rPr>
              <w:t>1,712.27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35.98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41.84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1835.18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1712.28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1913.3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204.12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1916.4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1916.4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1712.28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1712.27</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0.01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退耕还林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2110602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退耕现金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1634.16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1634.16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农业结构调整补贴</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879.16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879.16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251.18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251.18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0.01</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林业事业机构</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森林培育</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2130234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林业防灾减灾</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其他林业支出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309.98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309.98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农业综合开发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2130699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其他农业综合开发支出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1913.3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273.63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1639.67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2080801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2089901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2100717</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0.3</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退耕还林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2110602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退耕现金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41.84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1835.18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1582.98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2130121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农业结构调整补贴</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1080.18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827.98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252.2</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林业事业机构</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森林培育</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2130234</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林业防灾减灾</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其他林业支出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309.98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309.98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21306</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农业综合开发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2130699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其他农业综合开发支出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1712.27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35.98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41.84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1835.18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1835.18</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1712.28</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1913.3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204.12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204.12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1916.4</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1916.4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1916.4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1913.3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273.63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1639.67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35.98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21.13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2089901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14.85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2100717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计划生育服务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0.3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21106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退耕还林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2110602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退耕现金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41.84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1835.1</w:t>
            </w:r>
            <w:r>
              <w:rPr>
                <w:rFonts w:hint="eastAsia" w:ascii="宋体" w:hAnsi="宋体" w:cs="宋体"/>
                <w:color w:val="000000"/>
                <w:szCs w:val="21"/>
              </w:rPr>
              <w:t>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252.2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1582.98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750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750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2130121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农业结构调整补贴</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750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750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1080.1</w:t>
            </w:r>
            <w:r>
              <w:rPr>
                <w:rFonts w:hint="eastAsia" w:ascii="宋体" w:hAnsi="宋体" w:cs="宋体"/>
                <w:color w:val="000000"/>
                <w:szCs w:val="21"/>
              </w:rPr>
              <w:t>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252.2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827.98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252.2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252.2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林业事业机构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森林培育</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2130234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林业防灾减灾</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10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2130299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其他林业支出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309.98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309.98</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农业综合开发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2130699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其他农业综合开发支出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ascii="宋体" w:hAnsi="宋体" w:cs="宋体"/>
                <w:color w:val="000000"/>
                <w:szCs w:val="21"/>
              </w:rPr>
              <w:t>5</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224.46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21.52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122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10.44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23.54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40.16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38.74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0.02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27.65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6.22</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21.13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6.13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0.3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2.99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252.11</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21.52</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2.99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2.99</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2.99</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楷体" w:hAnsi="楷体" w:eastAsia="楷体" w:cs="宋体"/>
                <w:color w:val="000000"/>
                <w:sz w:val="22"/>
                <w:szCs w:val="22"/>
              </w:rPr>
            </w:pPr>
            <w:r>
              <w:rPr>
                <w:rFonts w:hint="eastAsia" w:cs="宋体" w:asciiTheme="majorEastAsia" w:hAnsiTheme="majorEastAsia" w:eastAsiaTheme="majorEastAsia"/>
                <w:color w:val="000000"/>
                <w:kern w:val="0"/>
                <w:sz w:val="22"/>
                <w:szCs w:val="22"/>
              </w:rPr>
              <w:t>注：本表反映部门无相关政府性基金预算财政拨款收入、支出及结转和结余情况</w:t>
            </w:r>
            <w:r>
              <w:rPr>
                <w:rFonts w:hint="eastAsia" w:cs="楷体" w:asciiTheme="majorEastAsia" w:hAnsiTheme="majorEastAsia" w:eastAsiaTheme="majorEastAsia"/>
                <w:sz w:val="22"/>
                <w:szCs w:val="22"/>
              </w:rPr>
              <w:t>，按要求空表列示</w:t>
            </w:r>
            <w:r>
              <w:rPr>
                <w:rFonts w:hint="eastAsia" w:ascii="楷体" w:hAnsi="楷体" w:eastAsia="楷体" w:cs="楷体"/>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w:t>
            </w:r>
            <w:r>
              <w:rPr>
                <w:rFonts w:hint="eastAsia" w:cs="宋体" w:asciiTheme="majorEastAsia" w:hAnsiTheme="majorEastAsia" w:eastAsiaTheme="majorEastAsia"/>
                <w:color w:val="000000"/>
                <w:kern w:val="0"/>
                <w:sz w:val="22"/>
                <w:szCs w:val="22"/>
              </w:rPr>
              <w:t>无相关</w:t>
            </w:r>
            <w:r>
              <w:rPr>
                <w:rFonts w:hint="eastAsia" w:ascii="宋体" w:hAnsi="宋体" w:cs="宋体"/>
                <w:color w:val="000000"/>
                <w:kern w:val="0"/>
                <w:sz w:val="22"/>
                <w:szCs w:val="22"/>
              </w:rPr>
              <w:t>国有资本经营预算财政拨款支出情况</w:t>
            </w:r>
            <w:r>
              <w:rPr>
                <w:rFonts w:hint="eastAsia" w:cs="楷体" w:asciiTheme="majorEastAsia" w:hAnsiTheme="majorEastAsia" w:eastAsiaTheme="majorEastAsia"/>
                <w:sz w:val="22"/>
                <w:szCs w:val="22"/>
              </w:rPr>
              <w:t>，按要求空表列示</w:t>
            </w:r>
            <w:r>
              <w:rPr>
                <w:rFonts w:hint="eastAsia" w:ascii="楷体" w:hAnsi="楷体" w:eastAsia="楷体" w:cs="楷体"/>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450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487.03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487.03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487.03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39.62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39.62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39.62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447.41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447.41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ascii="宋体" w:hAnsi="宋体" w:cs="宋体"/>
                <w:color w:val="000000"/>
                <w:szCs w:val="21"/>
              </w:rPr>
              <w:t>447.41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43" o:spid="_x0000_s1043"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本部门2018年度收支总计（含结转和</w:t>
      </w:r>
      <w:r>
        <w:rPr>
          <w:rFonts w:hint="eastAsia" w:ascii="仿宋" w:hAnsi="仿宋" w:eastAsia="仿宋" w:cs="DengXian-Regular"/>
          <w:sz w:val="32"/>
          <w:szCs w:val="32"/>
        </w:rPr>
        <w:t>结余）</w:t>
      </w:r>
      <w:r>
        <w:rPr>
          <w:rFonts w:hint="eastAsia" w:ascii="仿宋" w:hAnsi="仿宋" w:eastAsia="仿宋" w:cs="宋体"/>
          <w:color w:val="000000"/>
          <w:sz w:val="32"/>
          <w:szCs w:val="32"/>
        </w:rPr>
        <w:t>1916.4</w:t>
      </w:r>
      <w:r>
        <w:rPr>
          <w:rFonts w:hint="eastAsia" w:ascii="仿宋_GB2312" w:eastAsia="仿宋_GB2312" w:cs="DengXian-Regular"/>
          <w:sz w:val="32"/>
          <w:szCs w:val="32"/>
        </w:rPr>
        <w:t>万元。与2017年度决算相比，收支各减少</w:t>
      </w:r>
      <w:r>
        <w:rPr>
          <w:rFonts w:hint="eastAsia" w:ascii="仿宋_GB2312" w:cs="DengXian-Regular" w:eastAsiaTheme="minorEastAsia"/>
          <w:sz w:val="32"/>
          <w:szCs w:val="32"/>
        </w:rPr>
        <w:t>321.5</w:t>
      </w:r>
      <w:r>
        <w:rPr>
          <w:rFonts w:hint="eastAsia" w:ascii="仿宋_GB2312" w:eastAsia="仿宋_GB2312" w:cs="DengXian-Regular"/>
          <w:sz w:val="32"/>
          <w:szCs w:val="32"/>
        </w:rPr>
        <w:t>万元，下降</w:t>
      </w:r>
      <w:r>
        <w:rPr>
          <w:rFonts w:hint="eastAsia" w:ascii="仿宋_GB2312" w:cs="DengXian-Regular" w:eastAsiaTheme="minorEastAsia"/>
          <w:sz w:val="32"/>
          <w:szCs w:val="32"/>
        </w:rPr>
        <w:t>14.37</w:t>
      </w:r>
      <w:r>
        <w:rPr>
          <w:rFonts w:hint="eastAsia" w:ascii="仿宋_GB2312" w:eastAsia="仿宋_GB2312" w:cs="DengXian-Regular"/>
          <w:sz w:val="32"/>
          <w:szCs w:val="32"/>
        </w:rPr>
        <w:t>%，主要原因是</w:t>
      </w:r>
      <w:r>
        <w:rPr>
          <w:rFonts w:hint="eastAsia" w:ascii="仿宋" w:hAnsi="仿宋" w:eastAsia="仿宋" w:cs="DengXian-Regular"/>
          <w:sz w:val="32"/>
          <w:szCs w:val="32"/>
        </w:rPr>
        <w:t>专项资金支付率提高。</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ascii="仿宋_GB2312" w:cs="DengXian-Regular" w:eastAsiaTheme="minorEastAsia"/>
          <w:sz w:val="32"/>
          <w:szCs w:val="32"/>
        </w:rPr>
        <w:t>1712.2</w:t>
      </w:r>
      <w:r>
        <w:rPr>
          <w:rFonts w:hint="eastAsia" w:ascii="仿宋_GB2312" w:cs="DengXian-Regular" w:eastAsiaTheme="minorEastAsia"/>
          <w:sz w:val="32"/>
          <w:szCs w:val="32"/>
        </w:rPr>
        <w:t>8</w:t>
      </w:r>
      <w:r>
        <w:rPr>
          <w:rFonts w:hint="eastAsia" w:ascii="仿宋_GB2312" w:eastAsia="仿宋_GB2312" w:cs="DengXian-Regular"/>
          <w:sz w:val="32"/>
          <w:szCs w:val="32"/>
        </w:rPr>
        <w:t>万元，其中：财政拨款收入</w:t>
      </w:r>
      <w:r>
        <w:rPr>
          <w:rFonts w:ascii="仿宋_GB2312" w:eastAsia="仿宋_GB2312" w:cs="DengXian-Regular"/>
          <w:sz w:val="32"/>
          <w:szCs w:val="32"/>
        </w:rPr>
        <w:t>1712.27</w:t>
      </w:r>
      <w:r>
        <w:rPr>
          <w:rFonts w:hint="eastAsia" w:ascii="仿宋_GB2312" w:eastAsia="仿宋_GB2312" w:cs="DengXian-Regular"/>
          <w:sz w:val="32"/>
          <w:szCs w:val="32"/>
        </w:rPr>
        <w:t>万元，占</w:t>
      </w:r>
      <w:r>
        <w:rPr>
          <w:rFonts w:hint="eastAsia" w:ascii="宋体" w:hAnsi="宋体" w:cs="宋体"/>
          <w:sz w:val="32"/>
          <w:szCs w:val="32"/>
        </w:rPr>
        <w:t>99.99</w:t>
      </w:r>
      <w:r>
        <w:rPr>
          <w:rFonts w:hint="eastAsia" w:ascii="仿宋_GB2312" w:eastAsia="仿宋_GB2312" w:cs="DengXian-Regular"/>
          <w:sz w:val="32"/>
          <w:szCs w:val="32"/>
        </w:rPr>
        <w:t>%；事业收入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%；经营收入</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%；其他收入</w:t>
      </w:r>
      <w:r>
        <w:rPr>
          <w:rFonts w:hint="eastAsia" w:ascii="仿宋_GB2312" w:cs="DengXian-Regular" w:eastAsiaTheme="minorEastAsia"/>
          <w:sz w:val="32"/>
          <w:szCs w:val="32"/>
        </w:rPr>
        <w:t>0.01</w:t>
      </w:r>
      <w:r>
        <w:rPr>
          <w:rFonts w:hint="eastAsia" w:ascii="仿宋_GB2312" w:eastAsia="仿宋_GB2312" w:cs="DengXian-Regular"/>
          <w:sz w:val="32"/>
          <w:szCs w:val="32"/>
        </w:rPr>
        <w:t>万元，占</w:t>
      </w:r>
      <w:r>
        <w:rPr>
          <w:rFonts w:hint="eastAsia" w:ascii="仿宋_GB2312" w:cs="DengXian-Regular" w:eastAsiaTheme="minorEastAsia"/>
          <w:sz w:val="32"/>
          <w:szCs w:val="32"/>
        </w:rPr>
        <w:t>0.01</w:t>
      </w:r>
      <w:r>
        <w:rPr>
          <w:rFonts w:hint="eastAsia" w:ascii="仿宋_GB2312" w:eastAsia="仿宋_GB2312" w:cs="DengXian-Regular"/>
          <w:sz w:val="32"/>
          <w:szCs w:val="32"/>
        </w:rPr>
        <w:t>%。如图所示：</w:t>
      </w:r>
    </w:p>
    <w:p>
      <w:pPr>
        <w:adjustRightInd w:val="0"/>
        <w:snapToGrid w:val="0"/>
        <w:spacing w:after="0" w:line="240" w:lineRule="auto"/>
        <w:ind w:firstLine="1920" w:firstLineChars="600"/>
        <w:rPr>
          <w:rFonts w:ascii="仿宋_GB2312" w:cs="DengXian-Regular" w:eastAsiaTheme="minorEastAsia"/>
          <w:sz w:val="32"/>
          <w:szCs w:val="32"/>
        </w:rPr>
      </w:pPr>
      <w:r>
        <w:rPr>
          <w:rFonts w:ascii="仿宋_GB2312" w:eastAsia="仿宋_GB2312" w:cs="DengXian-Regular"/>
          <w:sz w:val="32"/>
          <w:szCs w:val="32"/>
        </w:rPr>
        <w:drawing>
          <wp:inline distT="0" distB="0" distL="0" distR="0">
            <wp:extent cx="3292475" cy="2243455"/>
            <wp:effectExtent l="19050" t="0" r="2823" b="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noChangeArrowheads="1"/>
                    </pic:cNvPicPr>
                  </pic:nvPicPr>
                  <pic:blipFill>
                    <a:blip r:embed="rId8" cstate="print"/>
                    <a:srcRect/>
                    <a:stretch>
                      <a:fillRect/>
                    </a:stretch>
                  </pic:blipFill>
                  <pic:spPr>
                    <a:xfrm>
                      <a:off x="0" y="0"/>
                      <a:ext cx="3302978" cy="2250583"/>
                    </a:xfrm>
                    <a:prstGeom prst="rect">
                      <a:avLst/>
                    </a:prstGeom>
                    <a:noFill/>
                  </pic:spPr>
                </pic:pic>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 w:hAnsi="仿宋" w:eastAsia="仿宋" w:cs="DengXian-Regular"/>
          <w:sz w:val="32"/>
          <w:szCs w:val="32"/>
        </w:rPr>
        <w:t>1</w:t>
      </w:r>
      <w:r>
        <w:rPr>
          <w:rFonts w:hint="eastAsia" w:ascii="仿宋" w:hAnsi="仿宋" w:eastAsia="仿宋" w:cs="宋体"/>
          <w:sz w:val="32"/>
          <w:szCs w:val="32"/>
        </w:rPr>
        <w:t>913.3</w:t>
      </w:r>
      <w:r>
        <w:rPr>
          <w:rFonts w:hint="eastAsia" w:ascii="仿宋_GB2312" w:eastAsia="仿宋_GB2312" w:cs="DengXian-Regular"/>
          <w:sz w:val="32"/>
          <w:szCs w:val="32"/>
        </w:rPr>
        <w:t>万元，其中：基本支出</w:t>
      </w:r>
      <w:r>
        <w:rPr>
          <w:rFonts w:ascii="仿宋_GB2312" w:eastAsia="仿宋_GB2312" w:cs="DengXian-Regular"/>
          <w:sz w:val="32"/>
          <w:szCs w:val="32"/>
        </w:rPr>
        <w:t>273.6</w:t>
      </w:r>
      <w:r>
        <w:rPr>
          <w:rFonts w:hint="eastAsia" w:ascii="仿宋_GB2312" w:cs="DengXian-Regular" w:eastAsiaTheme="minorEastAsia"/>
          <w:sz w:val="32"/>
          <w:szCs w:val="32"/>
        </w:rPr>
        <w:t>3</w:t>
      </w:r>
      <w:r>
        <w:rPr>
          <w:rFonts w:hint="eastAsia" w:ascii="仿宋_GB2312" w:eastAsia="仿宋_GB2312" w:cs="DengXian-Regular"/>
          <w:sz w:val="32"/>
          <w:szCs w:val="32"/>
        </w:rPr>
        <w:t>万元，占</w:t>
      </w:r>
      <w:r>
        <w:rPr>
          <w:rFonts w:hint="eastAsia" w:ascii="仿宋_GB2312" w:cs="DengXian-Regular" w:eastAsiaTheme="minorEastAsia"/>
          <w:sz w:val="32"/>
          <w:szCs w:val="32"/>
        </w:rPr>
        <w:t>14.30</w:t>
      </w:r>
      <w:r>
        <w:rPr>
          <w:rFonts w:hint="eastAsia" w:ascii="仿宋_GB2312" w:eastAsia="仿宋_GB2312" w:cs="DengXian-Regular"/>
          <w:sz w:val="32"/>
          <w:szCs w:val="32"/>
        </w:rPr>
        <w:t>%；项目支出</w:t>
      </w:r>
      <w:r>
        <w:rPr>
          <w:rFonts w:hint="eastAsia" w:ascii="仿宋" w:hAnsi="仿宋" w:eastAsia="仿宋" w:cs="DengXian-Regular"/>
          <w:sz w:val="32"/>
          <w:szCs w:val="32"/>
        </w:rPr>
        <w:t>163</w:t>
      </w:r>
      <w:r>
        <w:rPr>
          <w:rFonts w:hint="eastAsia" w:ascii="仿宋" w:hAnsi="仿宋" w:eastAsia="仿宋" w:cs="宋体"/>
          <w:sz w:val="32"/>
          <w:szCs w:val="32"/>
        </w:rPr>
        <w:t>9.67</w:t>
      </w:r>
      <w:r>
        <w:rPr>
          <w:rFonts w:hint="eastAsia" w:ascii="仿宋_GB2312" w:eastAsia="仿宋_GB2312" w:cs="DengXian-Regular"/>
          <w:sz w:val="32"/>
          <w:szCs w:val="32"/>
        </w:rPr>
        <w:t>万元，占</w:t>
      </w:r>
      <w:r>
        <w:rPr>
          <w:rFonts w:hint="eastAsia" w:ascii="仿宋_GB2312" w:cs="DengXian-Regular" w:eastAsiaTheme="minorEastAsia"/>
          <w:sz w:val="32"/>
          <w:szCs w:val="32"/>
        </w:rPr>
        <w:t>85.7</w:t>
      </w:r>
      <w:r>
        <w:rPr>
          <w:rFonts w:hint="eastAsia" w:ascii="仿宋_GB2312" w:eastAsia="仿宋_GB2312" w:cs="DengXian-Regular"/>
          <w:sz w:val="32"/>
          <w:szCs w:val="32"/>
        </w:rPr>
        <w:t>%；经营支出</w:t>
      </w:r>
      <w:r>
        <w:rPr>
          <w:rFonts w:hint="eastAsia" w:ascii="仿宋_GB2312" w:cs="DengXian-Regular" w:eastAsiaTheme="minorEastAsia"/>
          <w:sz w:val="32"/>
          <w:szCs w:val="32"/>
        </w:rPr>
        <w:t>0</w:t>
      </w:r>
      <w:r>
        <w:rPr>
          <w:rFonts w:hint="eastAsia" w:ascii="仿宋_GB2312" w:eastAsia="仿宋_GB2312" w:cs="DengXian-Regular"/>
          <w:sz w:val="32"/>
          <w:szCs w:val="32"/>
        </w:rPr>
        <w:t>万元，占</w:t>
      </w:r>
      <w:r>
        <w:rPr>
          <w:rFonts w:hint="eastAsia" w:ascii="仿宋_GB2312" w:cs="DengXian-Regular" w:eastAsiaTheme="minorEastAsia"/>
          <w:sz w:val="32"/>
          <w:szCs w:val="32"/>
        </w:rPr>
        <w:t>0</w:t>
      </w:r>
      <w:r>
        <w:rPr>
          <w:rFonts w:hint="eastAsia" w:ascii="仿宋_GB2312" w:eastAsia="仿宋_GB2312" w:cs="DengXian-Regular"/>
          <w:sz w:val="32"/>
          <w:szCs w:val="32"/>
        </w:rPr>
        <w:t>%。如图所示：</w:t>
      </w:r>
    </w:p>
    <w:p>
      <w:pPr>
        <w:adjustRightInd w:val="0"/>
        <w:snapToGrid w:val="0"/>
        <w:spacing w:after="0" w:line="240" w:lineRule="auto"/>
        <w:ind w:firstLine="1920" w:firstLineChars="600"/>
        <w:rPr>
          <w:rFonts w:ascii="仿宋_GB2312" w:cs="DengXian-Regular" w:eastAsiaTheme="minorEastAsia"/>
          <w:sz w:val="32"/>
          <w:szCs w:val="32"/>
        </w:rPr>
      </w:pPr>
      <w:r>
        <w:rPr>
          <w:rFonts w:ascii="仿宋_GB2312" w:eastAsia="仿宋_GB2312" w:cs="DengXian-Regular"/>
          <w:sz w:val="32"/>
          <w:szCs w:val="32"/>
        </w:rPr>
        <w:drawing>
          <wp:inline distT="0" distB="0" distL="0" distR="0">
            <wp:extent cx="3709035" cy="2686050"/>
            <wp:effectExtent l="57150" t="0" r="62865" b="7620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pict>
          <v:group id="_x0000_s1037" o:spid="_x0000_s1037" o:spt="203" style="position:absolute;left:0pt;margin-left:59.55pt;margin-top:6.75pt;height:230.55pt;width:274.45pt;z-index:-251648000;mso-width-relative:page;mso-height-relative:page;" coordorigin="70,1907" coordsize="46,-6877640"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39" o:spid="_x0000_s1039" o:spt="75" type="#_x0000_t75" style="position:absolute;left:70;top:1907;height:29;width:46;"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10" cropleft="2131f" croptop="1490f" cropright="1218f" cropbottom="5217f" o:title=""/>
              <o:lock v:ext="edit" aspectratio="t"/>
            </v:shape>
            <v:shape id="_x0000_s1038" o:spid="_x0000_s1038" o:spt="202" type="#_x0000_t202" style="position:absolute;left:72;top:1936;height:7;width:42;"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楷体" w:hAnsi="楷体" w:eastAsia="楷体" w:cs="宋体"/>
          <w:b/>
          <w:bCs/>
          <w:sz w:val="32"/>
          <w:szCs w:val="32"/>
        </w:rPr>
        <w:t>2017</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ascii="仿宋_GB2312" w:eastAsia="仿宋_GB2312" w:cs="DengXian-Regular"/>
          <w:sz w:val="32"/>
          <w:szCs w:val="32"/>
        </w:rPr>
        <w:t>1712.27</w:t>
      </w:r>
      <w:r>
        <w:rPr>
          <w:rFonts w:hint="eastAsia" w:ascii="仿宋_GB2312" w:eastAsia="仿宋_GB2312" w:cs="DengXian-Regular"/>
          <w:sz w:val="32"/>
          <w:szCs w:val="32"/>
        </w:rPr>
        <w:t>万元,比2017年度增加</w:t>
      </w:r>
      <w:r>
        <w:rPr>
          <w:rFonts w:hint="eastAsia" w:ascii="仿宋_GB2312" w:cs="DengXian-Regular" w:eastAsiaTheme="minorEastAsia"/>
          <w:sz w:val="32"/>
          <w:szCs w:val="32"/>
        </w:rPr>
        <w:t>16</w:t>
      </w:r>
      <w:r>
        <w:rPr>
          <w:rFonts w:hint="eastAsia" w:ascii="宋体" w:hAnsi="宋体" w:cs="宋体"/>
          <w:sz w:val="32"/>
          <w:szCs w:val="32"/>
        </w:rPr>
        <w:t>9.55</w:t>
      </w:r>
      <w:r>
        <w:rPr>
          <w:rFonts w:hint="eastAsia" w:ascii="仿宋_GB2312" w:eastAsia="仿宋_GB2312" w:cs="DengXian-Regular"/>
          <w:sz w:val="32"/>
          <w:szCs w:val="32"/>
        </w:rPr>
        <w:t>万元，增长</w:t>
      </w:r>
      <w:r>
        <w:rPr>
          <w:rFonts w:hint="eastAsia" w:ascii="仿宋_GB2312" w:cs="DengXian-Regular" w:eastAsiaTheme="minorEastAsia"/>
          <w:sz w:val="32"/>
          <w:szCs w:val="32"/>
        </w:rPr>
        <w:t>10.</w:t>
      </w:r>
      <w:r>
        <w:rPr>
          <w:rFonts w:hint="eastAsia" w:ascii="宋体" w:hAnsi="宋体" w:cs="宋体"/>
          <w:sz w:val="32"/>
          <w:szCs w:val="32"/>
        </w:rPr>
        <w:t>99</w:t>
      </w:r>
      <w:r>
        <w:rPr>
          <w:rFonts w:hint="eastAsia" w:ascii="仿宋_GB2312" w:eastAsia="仿宋_GB2312" w:cs="DengXian-Regular"/>
          <w:sz w:val="32"/>
          <w:szCs w:val="32"/>
        </w:rPr>
        <w:t>%，主要是</w:t>
      </w:r>
      <w:r>
        <w:rPr>
          <w:rFonts w:hint="eastAsia" w:ascii="仿宋" w:hAnsi="仿宋" w:eastAsia="仿宋" w:cs="DengXian-Regular"/>
          <w:sz w:val="32"/>
          <w:szCs w:val="32"/>
        </w:rPr>
        <w:t>专项用于购买苗木的资金增加</w:t>
      </w:r>
      <w:r>
        <w:rPr>
          <w:rFonts w:hint="eastAsia" w:ascii="仿宋_GB2312" w:eastAsia="仿宋_GB2312" w:cs="DengXian-Regular"/>
          <w:sz w:val="32"/>
          <w:szCs w:val="32"/>
        </w:rPr>
        <w:t>；本年支出</w:t>
      </w:r>
      <w:r>
        <w:rPr>
          <w:rFonts w:hint="eastAsia" w:ascii="仿宋" w:hAnsi="仿宋" w:eastAsia="仿宋" w:cs="DengXian-Regular"/>
          <w:sz w:val="32"/>
          <w:szCs w:val="32"/>
        </w:rPr>
        <w:t>1</w:t>
      </w:r>
      <w:r>
        <w:rPr>
          <w:rFonts w:hint="eastAsia" w:ascii="仿宋" w:hAnsi="仿宋" w:eastAsia="仿宋" w:cs="宋体"/>
          <w:sz w:val="32"/>
          <w:szCs w:val="32"/>
        </w:rPr>
        <w:t>913.3</w:t>
      </w:r>
      <w:r>
        <w:rPr>
          <w:rFonts w:hint="eastAsia" w:ascii="仿宋_GB2312" w:eastAsia="仿宋_GB2312" w:cs="DengXian-Regular"/>
          <w:sz w:val="32"/>
          <w:szCs w:val="32"/>
        </w:rPr>
        <w:t>万元，减少</w:t>
      </w:r>
      <w:r>
        <w:rPr>
          <w:rFonts w:hint="eastAsia" w:ascii="仿宋_GB2312" w:cs="DengXian-Regular" w:eastAsiaTheme="minorEastAsia"/>
          <w:sz w:val="32"/>
          <w:szCs w:val="32"/>
        </w:rPr>
        <w:t>120.48</w:t>
      </w:r>
      <w:r>
        <w:rPr>
          <w:rFonts w:hint="eastAsia" w:ascii="仿宋_GB2312" w:eastAsia="仿宋_GB2312" w:cs="DengXian-Regular"/>
          <w:sz w:val="32"/>
          <w:szCs w:val="32"/>
        </w:rPr>
        <w:t>万元，降低</w:t>
      </w:r>
      <w:r>
        <w:rPr>
          <w:rFonts w:hint="eastAsia" w:ascii="仿宋_GB2312" w:cs="DengXian-Regular" w:eastAsiaTheme="minorEastAsia"/>
          <w:sz w:val="32"/>
          <w:szCs w:val="32"/>
        </w:rPr>
        <w:t>5.</w:t>
      </w:r>
      <w:r>
        <w:rPr>
          <w:rFonts w:hint="eastAsia" w:ascii="宋体" w:hAnsi="宋体" w:cs="宋体"/>
          <w:sz w:val="32"/>
          <w:szCs w:val="32"/>
        </w:rPr>
        <w:t>92</w:t>
      </w:r>
      <w:r>
        <w:rPr>
          <w:rFonts w:hint="eastAsia" w:ascii="仿宋_GB2312" w:eastAsia="仿宋_GB2312" w:cs="DengXian-Regular"/>
          <w:sz w:val="32"/>
          <w:szCs w:val="32"/>
        </w:rPr>
        <w:t>%，主要是</w:t>
      </w:r>
      <w:r>
        <w:rPr>
          <w:rFonts w:hint="eastAsia" w:ascii="仿宋" w:hAnsi="仿宋" w:eastAsia="仿宋" w:cs="DengXian-Regular"/>
          <w:sz w:val="32"/>
          <w:szCs w:val="32"/>
        </w:rPr>
        <w:t>行政运行费用减少</w:t>
      </w:r>
      <w:r>
        <w:rPr>
          <w:rFonts w:hint="eastAsia" w:ascii="仿宋_GB2312" w:eastAsia="仿宋_GB2312" w:cs="DengXian-Regular"/>
          <w:sz w:val="32"/>
          <w:szCs w:val="32"/>
        </w:rPr>
        <w:t>。</w:t>
      </w:r>
    </w:p>
    <w:p>
      <w:pPr>
        <w:adjustRightInd w:val="0"/>
        <w:snapToGrid w:val="0"/>
        <w:spacing w:after="0" w:line="240" w:lineRule="auto"/>
        <w:ind w:firstLine="640" w:firstLineChars="200"/>
        <w:rPr>
          <w:rFonts w:ascii="仿宋_GB2312" w:eastAsia="仿宋_GB2312" w:cs="DengXian-Regular"/>
          <w:sz w:val="32"/>
          <w:szCs w:val="32"/>
        </w:rPr>
      </w:pPr>
      <w:r>
        <w:rPr>
          <w:rFonts w:ascii="仿宋_GB2312" w:eastAsia="仿宋_GB2312" w:cs="DengXian-Regular"/>
          <w:sz w:val="32"/>
          <w:szCs w:val="32"/>
        </w:rPr>
        <w:drawing>
          <wp:inline distT="0" distB="0" distL="0" distR="0">
            <wp:extent cx="4038600" cy="3175635"/>
            <wp:effectExtent l="57150" t="0" r="57150" b="8191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pict>
          <v:group id="_x0000_s1034" o:spid="_x0000_s1034" o:spt="203" style="position:absolute;left:0pt;margin-left:51.25pt;margin-top:13.45pt;height:210.05pt;width:331.1pt;z-index:-251643904;mso-width-relative:page;mso-height-relative:page;" coordorigin="61,1999" coordsize="63,-2467640"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36" o:spt="75" type="#_x0000_t75" style="position:absolute;left:65;top:1999;height:33;width:57;"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35" o:spid="_x0000_s1035" o:spt="202" type="#_x0000_t202" style="position:absolute;left:61;top:2031;height:9;width:63;"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spacing w:after="0" w:line="580" w:lineRule="exact"/>
        <w:ind w:firstLine="643" w:firstLineChars="200"/>
        <w:rPr>
          <w:rFonts w:ascii="仿宋_GB2312" w:cs="DengXian-Bold" w:eastAsiaTheme="minorEastAsia"/>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cs="DengXian-Regular" w:eastAsiaTheme="minorEastAsia"/>
          <w:sz w:val="32"/>
          <w:szCs w:val="32"/>
        </w:rPr>
        <w:t>1712.27</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12</w:t>
      </w:r>
      <w:r>
        <w:rPr>
          <w:rFonts w:hint="eastAsia" w:ascii="宋体" w:hAnsi="宋体" w:cs="宋体"/>
          <w:sz w:val="32"/>
          <w:szCs w:val="32"/>
        </w:rPr>
        <w:t>9.4</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38</w:t>
      </w:r>
      <w:r>
        <w:rPr>
          <w:rFonts w:hint="eastAsia" w:ascii="宋体" w:hAnsi="宋体" w:cs="宋体"/>
          <w:sz w:val="32"/>
          <w:szCs w:val="32"/>
        </w:rPr>
        <w:t>9.05</w:t>
      </w:r>
      <w:r>
        <w:rPr>
          <w:rFonts w:hint="eastAsia" w:ascii="仿宋_GB2312" w:eastAsia="仿宋_GB2312" w:cs="DengXian-Regular"/>
          <w:sz w:val="32"/>
          <w:szCs w:val="32"/>
        </w:rPr>
        <w:t>万元，决算数大于预算数主要原因是</w:t>
      </w:r>
      <w:r>
        <w:rPr>
          <w:rFonts w:hint="eastAsia" w:ascii="仿宋" w:hAnsi="仿宋" w:eastAsia="仿宋" w:cs="DengXian-Regular"/>
          <w:sz w:val="32"/>
          <w:szCs w:val="32"/>
        </w:rPr>
        <w:t>县级项目资金的增加</w:t>
      </w:r>
      <w:r>
        <w:rPr>
          <w:rFonts w:hint="eastAsia" w:ascii="仿宋_GB2312" w:eastAsia="仿宋_GB2312" w:cs="DengXian-Regular"/>
          <w:sz w:val="32"/>
          <w:szCs w:val="32"/>
        </w:rPr>
        <w:t>；本年支出</w:t>
      </w:r>
      <w:r>
        <w:rPr>
          <w:rFonts w:hint="eastAsia" w:ascii="仿宋" w:hAnsi="仿宋" w:eastAsia="仿宋" w:cs="DengXian-Regular"/>
          <w:sz w:val="32"/>
          <w:szCs w:val="32"/>
        </w:rPr>
        <w:t>1</w:t>
      </w:r>
      <w:r>
        <w:rPr>
          <w:rFonts w:hint="eastAsia" w:ascii="仿宋" w:hAnsi="仿宋" w:eastAsia="仿宋" w:cs="宋体"/>
          <w:sz w:val="32"/>
          <w:szCs w:val="32"/>
        </w:rPr>
        <w:t>913.3</w:t>
      </w:r>
      <w:r>
        <w:rPr>
          <w:rFonts w:hint="eastAsia" w:ascii="仿宋_GB2312" w:eastAsia="仿宋_GB2312" w:cs="DengXian-Regular"/>
          <w:sz w:val="32"/>
          <w:szCs w:val="32"/>
        </w:rPr>
        <w:t>万元，完成年初预算的</w:t>
      </w:r>
      <w:r>
        <w:rPr>
          <w:rFonts w:hint="eastAsia" w:ascii="仿宋_GB2312" w:cs="DengXian-Regular" w:eastAsiaTheme="minorEastAsia"/>
          <w:sz w:val="32"/>
          <w:szCs w:val="32"/>
        </w:rPr>
        <w:t>144.5</w:t>
      </w:r>
      <w:r>
        <w:rPr>
          <w:rFonts w:hint="eastAsia" w:ascii="宋体" w:hAnsi="宋体" w:cs="宋体"/>
          <w:sz w:val="32"/>
          <w:szCs w:val="32"/>
        </w:rPr>
        <w:t>9</w:t>
      </w:r>
      <w:r>
        <w:rPr>
          <w:rFonts w:hint="eastAsia" w:ascii="仿宋_GB2312" w:eastAsia="仿宋_GB2312" w:cs="DengXian-Regular"/>
          <w:sz w:val="32"/>
          <w:szCs w:val="32"/>
        </w:rPr>
        <w:t>%,比年初预算增加</w:t>
      </w:r>
      <w:r>
        <w:rPr>
          <w:rFonts w:hint="eastAsia" w:ascii="仿宋_GB2312" w:cs="DengXian-Regular" w:eastAsiaTheme="minorEastAsia"/>
          <w:sz w:val="32"/>
          <w:szCs w:val="32"/>
        </w:rPr>
        <w:t>5</w:t>
      </w:r>
      <w:r>
        <w:rPr>
          <w:rFonts w:hint="eastAsia" w:ascii="宋体" w:hAnsi="宋体" w:cs="宋体"/>
          <w:sz w:val="32"/>
          <w:szCs w:val="32"/>
        </w:rPr>
        <w:t>90.08</w:t>
      </w:r>
      <w:r>
        <w:rPr>
          <w:rFonts w:hint="eastAsia" w:ascii="仿宋_GB2312" w:eastAsia="仿宋_GB2312" w:cs="DengXian-Regular"/>
          <w:sz w:val="32"/>
          <w:szCs w:val="32"/>
        </w:rPr>
        <w:t>万元，决算数大于预算数主要原因是</w:t>
      </w:r>
      <w:r>
        <w:rPr>
          <w:rFonts w:hint="eastAsia" w:ascii="仿宋" w:hAnsi="仿宋" w:eastAsia="仿宋" w:cs="DengXian-Regular"/>
          <w:sz w:val="32"/>
          <w:szCs w:val="32"/>
        </w:rPr>
        <w:t>县级项目资金的增加以及上年项目资金由本年支出</w:t>
      </w:r>
      <w:r>
        <w:rPr>
          <w:rFonts w:hint="eastAsia" w:ascii="仿宋_GB2312" w:eastAsia="仿宋_GB2312" w:cs="DengXian-Regular"/>
          <w:sz w:val="32"/>
          <w:szCs w:val="32"/>
        </w:rPr>
        <w:t>。</w:t>
      </w:r>
    </w:p>
    <w:p>
      <w:pPr>
        <w:adjustRightInd w:val="0"/>
        <w:snapToGrid w:val="0"/>
        <w:spacing w:after="0" w:line="240" w:lineRule="auto"/>
        <w:ind w:firstLine="640" w:firstLineChars="200"/>
        <w:rPr>
          <w:rFonts w:ascii="仿宋_GB2312" w:cs="DengXian-Regular" w:eastAsiaTheme="minorEastAsia"/>
          <w:sz w:val="32"/>
          <w:szCs w:val="32"/>
          <w:highlight w:val="yellow"/>
        </w:rPr>
      </w:pPr>
      <w:r>
        <w:rPr>
          <w:rFonts w:ascii="仿宋_GB2312" w:eastAsia="仿宋_GB2312" w:cs="DengXian-Regular"/>
          <w:sz w:val="32"/>
          <w:szCs w:val="32"/>
        </w:rPr>
        <w:drawing>
          <wp:inline distT="0" distB="0" distL="0" distR="0">
            <wp:extent cx="4114800" cy="3714750"/>
            <wp:effectExtent l="57150" t="0" r="57150" b="7620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pict>
          <v:group id="_x0000_s1031" o:spid="_x0000_s1031" o:spt="203" style="position:absolute;left:0pt;margin-left:45.95pt;margin-top:0.4pt;height:208.2pt;width:343.1pt;z-index:-251642880;mso-width-relative:page;mso-height-relative:page;" coordorigin="52,2257" coordsize="63,-4447640"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33" o:spt="75" type="#_x0000_t75" style="position:absolute;left:54;top:2257;height:33;width:59;"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文本框 28" o:spid="_x0000_s1032" o:spt="202" type="#_x0000_t202" style="position:absolute;left:52;top:2288;height:7;width:63;"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cs="DengXian-Regular" w:eastAsiaTheme="minorEastAsia"/>
          <w:sz w:val="32"/>
          <w:szCs w:val="32"/>
        </w:rPr>
        <w:t>1</w:t>
      </w:r>
      <w:r>
        <w:rPr>
          <w:rFonts w:hint="eastAsia" w:ascii="宋体" w:hAnsi="宋体" w:cs="宋体"/>
          <w:sz w:val="32"/>
          <w:szCs w:val="32"/>
        </w:rPr>
        <w:t>913.3</w:t>
      </w:r>
      <w:r>
        <w:rPr>
          <w:rFonts w:hint="eastAsia" w:ascii="仿宋_GB2312" w:eastAsia="仿宋_GB2312" w:cs="DengXian-Regular"/>
          <w:sz w:val="32"/>
          <w:szCs w:val="32"/>
        </w:rPr>
        <w:t>万元，主要用于以下方面社会保障和就业支出</w:t>
      </w:r>
      <w:r>
        <w:rPr>
          <w:rFonts w:hint="eastAsia" w:ascii="仿宋_GB2312" w:cs="DengXian-Regular" w:eastAsiaTheme="minorEastAsia"/>
          <w:sz w:val="32"/>
          <w:szCs w:val="32"/>
        </w:rPr>
        <w:t>35.</w:t>
      </w:r>
      <w:r>
        <w:rPr>
          <w:rFonts w:hint="eastAsia" w:ascii="宋体" w:hAnsi="宋体" w:cs="宋体"/>
          <w:sz w:val="32"/>
          <w:szCs w:val="32"/>
        </w:rPr>
        <w:t>98</w:t>
      </w:r>
      <w:r>
        <w:rPr>
          <w:rFonts w:hint="eastAsia" w:ascii="仿宋_GB2312" w:eastAsia="仿宋_GB2312" w:cs="DengXian-Regular"/>
          <w:sz w:val="32"/>
          <w:szCs w:val="32"/>
        </w:rPr>
        <w:t>万元，占</w:t>
      </w:r>
      <w:r>
        <w:rPr>
          <w:rFonts w:hint="eastAsia" w:ascii="仿宋_GB2312" w:cs="DengXian-Regular" w:eastAsiaTheme="minorEastAsia"/>
          <w:sz w:val="32"/>
          <w:szCs w:val="32"/>
        </w:rPr>
        <w:t>1.88</w:t>
      </w:r>
      <w:r>
        <w:rPr>
          <w:rFonts w:hint="eastAsia" w:ascii="仿宋_GB2312" w:eastAsia="仿宋_GB2312" w:cs="DengXian-Regular"/>
          <w:sz w:val="32"/>
          <w:szCs w:val="32"/>
        </w:rPr>
        <w:t>%；</w:t>
      </w:r>
      <w:r>
        <w:rPr>
          <w:rFonts w:hint="eastAsia" w:ascii="仿宋" w:hAnsi="仿宋" w:eastAsia="仿宋" w:cs="DengXian-Regular"/>
          <w:sz w:val="32"/>
          <w:szCs w:val="32"/>
        </w:rPr>
        <w:t>医疗</w:t>
      </w:r>
      <w:r>
        <w:rPr>
          <w:rFonts w:hint="eastAsia" w:ascii="仿宋" w:hAnsi="仿宋" w:eastAsia="仿宋" w:cs="宋体"/>
          <w:sz w:val="32"/>
          <w:szCs w:val="32"/>
        </w:rPr>
        <w:t>卫</w:t>
      </w:r>
      <w:r>
        <w:rPr>
          <w:rFonts w:hint="eastAsia" w:ascii="仿宋" w:hAnsi="仿宋" w:eastAsia="仿宋" w:cs="___WRD_EMBED_SUB_41"/>
          <w:sz w:val="32"/>
          <w:szCs w:val="32"/>
        </w:rPr>
        <w:t>生与计</w:t>
      </w:r>
      <w:r>
        <w:rPr>
          <w:rFonts w:hint="eastAsia" w:ascii="仿宋" w:hAnsi="仿宋" w:eastAsia="仿宋" w:cs="宋体"/>
          <w:sz w:val="32"/>
          <w:szCs w:val="32"/>
        </w:rPr>
        <w:t>划</w:t>
      </w:r>
      <w:r>
        <w:rPr>
          <w:rFonts w:hint="eastAsia" w:ascii="仿宋" w:hAnsi="仿宋" w:eastAsia="仿宋" w:cs="___WRD_EMBED_SUB_41"/>
          <w:sz w:val="32"/>
          <w:szCs w:val="32"/>
        </w:rPr>
        <w:t>生育支出</w:t>
      </w:r>
      <w:r>
        <w:rPr>
          <w:rFonts w:hint="eastAsia" w:ascii="仿宋_GB2312" w:cs="DengXian-Regular" w:eastAsiaTheme="minorEastAsia"/>
          <w:sz w:val="32"/>
          <w:szCs w:val="32"/>
        </w:rPr>
        <w:t>0.3</w:t>
      </w:r>
      <w:r>
        <w:rPr>
          <w:rFonts w:hint="eastAsia" w:ascii="仿宋_GB2312" w:eastAsia="仿宋_GB2312" w:cs="DengXian-Regular"/>
          <w:sz w:val="32"/>
          <w:szCs w:val="32"/>
        </w:rPr>
        <w:t>万元，占</w:t>
      </w:r>
      <w:r>
        <w:rPr>
          <w:rFonts w:hint="eastAsia" w:ascii="仿宋_GB2312" w:cs="DengXian-Regular" w:eastAsiaTheme="minorEastAsia"/>
          <w:sz w:val="32"/>
          <w:szCs w:val="32"/>
        </w:rPr>
        <w:t>0.02</w:t>
      </w:r>
      <w:r>
        <w:rPr>
          <w:rFonts w:hint="eastAsia" w:ascii="仿宋_GB2312" w:eastAsia="仿宋_GB2312" w:cs="DengXian-Regular"/>
          <w:sz w:val="32"/>
          <w:szCs w:val="32"/>
        </w:rPr>
        <w:t>%；</w:t>
      </w:r>
      <w:r>
        <w:rPr>
          <w:rFonts w:hint="eastAsia" w:ascii="仿宋" w:hAnsi="仿宋" w:eastAsia="仿宋" w:cs="DengXian-Regular"/>
          <w:sz w:val="32"/>
          <w:szCs w:val="32"/>
        </w:rPr>
        <w:t>节能</w:t>
      </w:r>
      <w:r>
        <w:rPr>
          <w:rFonts w:hint="eastAsia" w:ascii="仿宋" w:hAnsi="仿宋" w:eastAsia="仿宋" w:cs="宋体"/>
          <w:sz w:val="32"/>
          <w:szCs w:val="32"/>
        </w:rPr>
        <w:t>环</w:t>
      </w:r>
      <w:r>
        <w:rPr>
          <w:rFonts w:hint="eastAsia" w:ascii="仿宋" w:hAnsi="仿宋" w:eastAsia="仿宋" w:cs="___WRD_EMBED_SUB_41"/>
          <w:sz w:val="32"/>
          <w:szCs w:val="32"/>
        </w:rPr>
        <w:t>保支出41.84</w:t>
      </w:r>
      <w:r>
        <w:rPr>
          <w:rFonts w:hint="eastAsia" w:ascii="仿宋_GB2312" w:eastAsia="仿宋_GB2312" w:cs="DengXian-Regular"/>
          <w:sz w:val="32"/>
          <w:szCs w:val="32"/>
        </w:rPr>
        <w:t>万元，占</w:t>
      </w:r>
      <w:r>
        <w:rPr>
          <w:rFonts w:hint="eastAsia" w:ascii="仿宋_GB2312" w:cs="DengXian-Regular" w:eastAsiaTheme="minorEastAsia"/>
          <w:sz w:val="32"/>
          <w:szCs w:val="32"/>
        </w:rPr>
        <w:t>2.1</w:t>
      </w:r>
      <w:r>
        <w:rPr>
          <w:rFonts w:hint="eastAsia" w:ascii="宋体" w:hAnsi="宋体" w:cs="宋体"/>
          <w:sz w:val="32"/>
          <w:szCs w:val="32"/>
        </w:rPr>
        <w:t>9</w:t>
      </w:r>
      <w:r>
        <w:rPr>
          <w:rFonts w:hint="eastAsia" w:ascii="仿宋_GB2312" w:eastAsia="仿宋_GB2312" w:cs="DengXian-Regular"/>
          <w:sz w:val="32"/>
          <w:szCs w:val="32"/>
        </w:rPr>
        <w:t>%；</w:t>
      </w:r>
      <w:r>
        <w:rPr>
          <w:rFonts w:hint="eastAsia" w:ascii="仿宋" w:hAnsi="仿宋" w:eastAsia="仿宋" w:cs="宋体"/>
          <w:sz w:val="32"/>
          <w:szCs w:val="32"/>
        </w:rPr>
        <w:t>农林</w:t>
      </w:r>
      <w:r>
        <w:rPr>
          <w:rFonts w:hint="eastAsia" w:ascii="仿宋" w:hAnsi="仿宋" w:eastAsia="仿宋" w:cs="___WRD_EMBED_SUB_41"/>
          <w:sz w:val="32"/>
          <w:szCs w:val="32"/>
        </w:rPr>
        <w:t>水支出</w:t>
      </w:r>
      <w:r>
        <w:rPr>
          <w:rFonts w:ascii="仿宋" w:hAnsi="仿宋" w:eastAsia="仿宋" w:cs="___WRD_EMBED_SUB_41"/>
          <w:sz w:val="32"/>
          <w:szCs w:val="32"/>
        </w:rPr>
        <w:t>1835.18</w:t>
      </w:r>
      <w:r>
        <w:rPr>
          <w:rFonts w:hint="eastAsia" w:ascii="仿宋_GB2312" w:eastAsia="仿宋_GB2312" w:cs="DengXian-Regular"/>
          <w:sz w:val="32"/>
          <w:szCs w:val="32"/>
        </w:rPr>
        <w:t>万元，占</w:t>
      </w:r>
      <w:r>
        <w:rPr>
          <w:rFonts w:hint="eastAsia" w:ascii="宋体" w:hAnsi="宋体" w:cs="宋体"/>
          <w:sz w:val="32"/>
          <w:szCs w:val="32"/>
        </w:rPr>
        <w:t>95.92</w:t>
      </w:r>
      <w:r>
        <w:rPr>
          <w:rFonts w:hint="eastAsia" w:ascii="仿宋_GB2312" w:eastAsia="仿宋_GB2312" w:cs="DengXian-Regular"/>
          <w:sz w:val="32"/>
          <w:szCs w:val="32"/>
        </w:rPr>
        <w:t>%。</w:t>
      </w:r>
    </w:p>
    <w:p>
      <w:pPr>
        <w:adjustRightInd w:val="0"/>
        <w:snapToGrid w:val="0"/>
        <w:spacing w:after="0" w:line="240" w:lineRule="auto"/>
        <w:rPr>
          <w:rFonts w:ascii="楷体_GB2312" w:cs="DengXian-Bold" w:eastAsiaTheme="minorEastAsia"/>
          <w:b/>
          <w:bCs/>
          <w:sz w:val="32"/>
          <w:szCs w:val="32"/>
        </w:rPr>
      </w:pPr>
      <w:r>
        <w:rPr>
          <w:rFonts w:ascii="楷体_GB2312" w:eastAsia="楷体_GB2312" w:cs="DengXian-Bold"/>
          <w:b/>
          <w:bCs/>
          <w:sz w:val="32"/>
          <w:szCs w:val="32"/>
        </w:rPr>
        <w:drawing>
          <wp:inline distT="0" distB="0" distL="0" distR="0">
            <wp:extent cx="4038600" cy="3434715"/>
            <wp:effectExtent l="57150" t="0" r="57150" b="704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pict>
          <v:group id="_x0000_s1028" o:spid="_x0000_s1028" o:spt="203" style="position:absolute;left:0pt;margin-left:86.35pt;margin-top:15.9pt;height:195.05pt;width:296.35pt;z-index:-251644928;mso-width-relative:page;mso-height-relative:page;" coordorigin="69,1802" coordsize="53,-4087640"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30" o:spt="75" type="#_x0000_t75" style="position:absolute;left:71;top:1802;height:30;width:4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0" cropleft="2131f" croptop="1490f" cropright="1218f" cropbottom="5217f" o:title=""/>
              <o:lock v:ext="edit" aspectratio="t"/>
            </v:shape>
            <v:shape id="文本框 32" o:spid="_x0000_s1029" o:spt="202" type="#_x0000_t202" style="position:absolute;left:69;top:1831;height:10;width:53;"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ascii="仿宋_GB2312" w:eastAsia="仿宋_GB2312" w:cs="DengXian-Regular"/>
          <w:sz w:val="32"/>
          <w:szCs w:val="32"/>
        </w:rPr>
        <w:t>273.6</w:t>
      </w:r>
      <w:r>
        <w:rPr>
          <w:rFonts w:hint="eastAsia" w:ascii="仿宋_GB2312" w:cs="DengXian-Regular" w:eastAsiaTheme="minorEastAsia"/>
          <w:sz w:val="32"/>
          <w:szCs w:val="32"/>
        </w:rPr>
        <w:t>3</w:t>
      </w:r>
      <w:r>
        <w:rPr>
          <w:rFonts w:hint="eastAsia" w:ascii="仿宋_GB2312" w:eastAsia="仿宋_GB2312" w:cs="DengXian-Regular"/>
          <w:sz w:val="32"/>
          <w:szCs w:val="32"/>
        </w:rPr>
        <w:t>万元，其中：人员经费</w:t>
      </w:r>
      <w:r>
        <w:rPr>
          <w:rFonts w:hint="eastAsia" w:ascii="仿宋_GB2312" w:cs="DengXian-Regular" w:eastAsiaTheme="minorEastAsia"/>
          <w:sz w:val="32"/>
          <w:szCs w:val="32"/>
        </w:rPr>
        <w:t>252.11</w:t>
      </w:r>
      <w:r>
        <w:rPr>
          <w:rFonts w:hint="eastAsia" w:ascii="仿宋_GB2312" w:eastAsia="仿宋_GB2312" w:cs="DengXian-Regular"/>
          <w:sz w:val="32"/>
          <w:szCs w:val="32"/>
        </w:rPr>
        <w:t>万元，主要包括基本工资、津贴补贴、奖金、绩效工资、其他工资福利支出、退休费、奖励金、其他对个人和家庭的补助支出；公用经费</w:t>
      </w:r>
      <w:r>
        <w:rPr>
          <w:rFonts w:ascii="仿宋_GB2312" w:eastAsia="仿宋_GB2312" w:cs="DengXian-Regular"/>
          <w:sz w:val="32"/>
          <w:szCs w:val="32"/>
        </w:rPr>
        <w:t>21.52</w:t>
      </w:r>
      <w:r>
        <w:rPr>
          <w:rFonts w:hint="eastAsia" w:ascii="仿宋_GB2312" w:eastAsia="仿宋_GB2312" w:cs="DengXian-Regular"/>
          <w:sz w:val="32"/>
          <w:szCs w:val="32"/>
        </w:rPr>
        <w:t>万元，主要包括办公费、电费、邮电费、差旅费、劳务费、公务用车运行维护费、。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w:t>
      </w:r>
      <w:r>
        <w:rPr>
          <w:rFonts w:hint="eastAsia" w:ascii="仿宋_GB2312" w:cs="DengXian-Regular" w:eastAsiaTheme="minorEastAsia"/>
          <w:sz w:val="32"/>
          <w:szCs w:val="32"/>
        </w:rPr>
        <w:t>2.</w:t>
      </w:r>
      <w:r>
        <w:rPr>
          <w:rFonts w:hint="eastAsia" w:ascii="宋体" w:hAnsi="宋体" w:cs="宋体"/>
          <w:sz w:val="32"/>
          <w:szCs w:val="32"/>
        </w:rPr>
        <w:t>99</w:t>
      </w:r>
      <w:r>
        <w:rPr>
          <w:rFonts w:hint="eastAsia" w:ascii="仿宋_GB2312" w:eastAsia="仿宋_GB2312" w:cs="DengXian-Regular"/>
          <w:sz w:val="32"/>
          <w:szCs w:val="32"/>
        </w:rPr>
        <w:t>万元,</w:t>
      </w:r>
      <w:r>
        <w:rPr>
          <w:rFonts w:hint="eastAsia" w:ascii="仿宋_GB2312" w:cs="DengXian-Regular" w:eastAsiaTheme="minorEastAsia"/>
          <w:sz w:val="32"/>
          <w:szCs w:val="32"/>
        </w:rPr>
        <w:t>公务用车维护费2.</w:t>
      </w:r>
      <w:r>
        <w:rPr>
          <w:rFonts w:hint="eastAsia" w:ascii="宋体" w:hAnsi="宋体" w:cs="宋体"/>
          <w:sz w:val="32"/>
          <w:szCs w:val="32"/>
        </w:rPr>
        <w:t>99</w:t>
      </w:r>
      <w:r>
        <w:rPr>
          <w:rFonts w:hint="eastAsia" w:ascii="仿宋_GB2312" w:eastAsia="仿宋_GB2312" w:cs="DengXian-Regular"/>
          <w:sz w:val="32"/>
          <w:szCs w:val="32"/>
        </w:rPr>
        <w:t>万元</w:t>
      </w:r>
      <w:r>
        <w:rPr>
          <w:rFonts w:hint="eastAsia" w:ascii="仿宋_GB2312" w:cs="DengXian-Regular" w:eastAsiaTheme="minorEastAsia"/>
          <w:sz w:val="32"/>
          <w:szCs w:val="32"/>
        </w:rPr>
        <w:t>，</w:t>
      </w:r>
      <w:r>
        <w:rPr>
          <w:rFonts w:hint="eastAsia" w:ascii="仿宋_GB2312" w:eastAsia="仿宋_GB2312" w:cs="DengXian-Regular"/>
          <w:b/>
          <w:bCs/>
          <w:sz w:val="32"/>
          <w:szCs w:val="32"/>
        </w:rPr>
        <w:t>较年初预算减少</w:t>
      </w:r>
      <w:r>
        <w:rPr>
          <w:rFonts w:hint="eastAsia" w:ascii="仿宋_GB2312" w:cs="DengXian-Regular" w:eastAsiaTheme="minorEastAsia"/>
          <w:b/>
          <w:bCs/>
          <w:sz w:val="32"/>
          <w:szCs w:val="32"/>
        </w:rPr>
        <w:t>0.01</w:t>
      </w:r>
      <w:r>
        <w:rPr>
          <w:rFonts w:hint="eastAsia" w:ascii="仿宋_GB2312" w:eastAsia="仿宋_GB2312" w:cs="DengXian-Regular"/>
          <w:b/>
          <w:bCs/>
          <w:sz w:val="32"/>
          <w:szCs w:val="32"/>
        </w:rPr>
        <w:t>万元，降低</w:t>
      </w:r>
      <w:r>
        <w:rPr>
          <w:rFonts w:hint="eastAsia" w:ascii="仿宋_GB2312" w:cs="DengXian-Regular" w:eastAsiaTheme="minorEastAsia"/>
          <w:b/>
          <w:bCs/>
          <w:sz w:val="32"/>
          <w:szCs w:val="32"/>
        </w:rPr>
        <w:t>0.33</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hint="eastAsia" w:ascii="仿宋_GB2312" w:cs="DengXian-Regular" w:eastAsiaTheme="minorEastAsia"/>
          <w:sz w:val="32"/>
          <w:szCs w:val="32"/>
        </w:rPr>
        <w:t>0</w:t>
      </w:r>
      <w:r>
        <w:rPr>
          <w:rFonts w:hint="eastAsia" w:ascii="仿宋_GB2312" w:eastAsia="仿宋_GB2312" w:cs="DengXian-Regular"/>
          <w:sz w:val="32"/>
          <w:szCs w:val="32"/>
        </w:rPr>
        <w:t>个、共</w:t>
      </w:r>
      <w:r>
        <w:rPr>
          <w:rFonts w:hint="eastAsia" w:ascii="仿宋_GB2312" w:cs="DengXian-Regular" w:eastAsiaTheme="minorEastAsia"/>
          <w:sz w:val="32"/>
          <w:szCs w:val="32"/>
        </w:rPr>
        <w:t>0</w:t>
      </w:r>
      <w:r>
        <w:rPr>
          <w:rFonts w:hint="eastAsia" w:ascii="仿宋_GB2312" w:eastAsia="仿宋_GB2312" w:cs="DengXian-Regular"/>
          <w:sz w:val="32"/>
          <w:szCs w:val="32"/>
        </w:rPr>
        <w:t>人。因公出国（境）费支出</w:t>
      </w:r>
      <w:r>
        <w:rPr>
          <w:rFonts w:hint="eastAsia" w:ascii="仿宋" w:hAnsi="仿宋" w:eastAsia="仿宋" w:cs="DengXian-Regular"/>
          <w:sz w:val="32"/>
          <w:szCs w:val="32"/>
        </w:rPr>
        <w:t>与</w:t>
      </w:r>
      <w:r>
        <w:rPr>
          <w:rFonts w:hint="eastAsia" w:ascii="仿宋_GB2312" w:eastAsia="仿宋_GB2312" w:cs="DengXian-Regular"/>
          <w:sz w:val="32"/>
          <w:szCs w:val="32"/>
        </w:rPr>
        <w:t>年初预算</w:t>
      </w:r>
      <w:r>
        <w:rPr>
          <w:rFonts w:hint="eastAsia" w:ascii="仿宋" w:hAnsi="仿宋" w:eastAsia="仿宋" w:cs="DengXian-Regular"/>
          <w:sz w:val="32"/>
          <w:szCs w:val="32"/>
        </w:rPr>
        <w:t>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宋体" w:hAnsi="宋体" w:cs="宋体"/>
          <w:b/>
          <w:bCs/>
          <w:sz w:val="32"/>
          <w:szCs w:val="32"/>
        </w:rPr>
        <w:t>2.99</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cs="DengXian-Regular" w:eastAsiaTheme="minorEastAsia"/>
          <w:sz w:val="32"/>
          <w:szCs w:val="32"/>
        </w:rPr>
        <w:t>0.01</w:t>
      </w:r>
      <w:r>
        <w:rPr>
          <w:rFonts w:hint="eastAsia" w:ascii="仿宋_GB2312" w:eastAsia="仿宋_GB2312" w:cs="DengXian-Regular"/>
          <w:sz w:val="32"/>
          <w:szCs w:val="32"/>
        </w:rPr>
        <w:t>万元，降低</w:t>
      </w:r>
      <w:r>
        <w:rPr>
          <w:rFonts w:hint="eastAsia" w:ascii="仿宋_GB2312" w:cs="DengXian-Regular" w:eastAsiaTheme="minorEastAsia"/>
          <w:sz w:val="32"/>
          <w:szCs w:val="32"/>
        </w:rPr>
        <w:t>0.33</w:t>
      </w:r>
      <w:r>
        <w:rPr>
          <w:rFonts w:hint="eastAsia" w:ascii="仿宋_GB2312" w:eastAsia="仿宋_GB2312" w:cs="DengXian-Regular"/>
          <w:sz w:val="32"/>
          <w:szCs w:val="32"/>
        </w:rPr>
        <w:t>%,主要是认真</w:t>
      </w:r>
      <w:bookmarkStart w:id="0" w:name="_GoBack"/>
      <w:bookmarkEnd w:id="0"/>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hint="eastAsia" w:ascii="仿宋_GB2312" w:cs="DengXian-Regular" w:eastAsiaTheme="minorEastAsia"/>
          <w:sz w:val="32"/>
          <w:szCs w:val="32"/>
        </w:rPr>
        <w:t>0</w:t>
      </w:r>
      <w:r>
        <w:rPr>
          <w:rFonts w:hint="eastAsia" w:ascii="仿宋_GB2312" w:eastAsia="仿宋_GB2312" w:cs="DengXian-Regular"/>
          <w:sz w:val="32"/>
          <w:szCs w:val="32"/>
        </w:rPr>
        <w:t>辆，发生“公务用车购置”经费支出</w:t>
      </w:r>
      <w:r>
        <w:rPr>
          <w:rFonts w:hint="eastAsia" w:ascii="仿宋_GB2312" w:cs="DengXian-Regular" w:eastAsiaTheme="minorEastAsia"/>
          <w:sz w:val="32"/>
          <w:szCs w:val="32"/>
        </w:rPr>
        <w:t>0</w:t>
      </w:r>
      <w:r>
        <w:rPr>
          <w:rFonts w:hint="eastAsia" w:ascii="仿宋_GB2312" w:eastAsia="仿宋_GB2312" w:cs="DengXian-Regular"/>
          <w:sz w:val="32"/>
          <w:szCs w:val="32"/>
        </w:rPr>
        <w:t>万元。公务用车购置费支出</w:t>
      </w:r>
      <w:r>
        <w:rPr>
          <w:rFonts w:hint="eastAsia" w:ascii="仿宋" w:hAnsi="仿宋" w:eastAsia="仿宋" w:cs="DengXian-Regular"/>
          <w:sz w:val="32"/>
          <w:szCs w:val="32"/>
        </w:rPr>
        <w:t>与</w:t>
      </w:r>
      <w:r>
        <w:rPr>
          <w:rFonts w:hint="eastAsia" w:ascii="仿宋_GB2312" w:eastAsia="仿宋_GB2312" w:cs="DengXian-Regular"/>
          <w:sz w:val="32"/>
          <w:szCs w:val="32"/>
        </w:rPr>
        <w:t>年初预算</w:t>
      </w:r>
      <w:r>
        <w:rPr>
          <w:rFonts w:hint="eastAsia" w:ascii="仿宋" w:hAnsi="仿宋" w:eastAsia="仿宋" w:cs="DengXian-Regular"/>
          <w:sz w:val="32"/>
          <w:szCs w:val="32"/>
        </w:rPr>
        <w:t>持平</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cs="DengXian-Regular" w:eastAsiaTheme="minorEastAsia"/>
          <w:sz w:val="32"/>
          <w:szCs w:val="32"/>
        </w:rPr>
        <w:t>2</w:t>
      </w:r>
      <w:r>
        <w:rPr>
          <w:rFonts w:hint="eastAsia" w:ascii="仿宋_GB2312" w:eastAsia="仿宋_GB2312" w:cs="DengXian-Regular"/>
          <w:sz w:val="32"/>
          <w:szCs w:val="32"/>
        </w:rPr>
        <w:t>辆。公车运行维护费2.99万元，较年初预算减少</w:t>
      </w:r>
      <w:r>
        <w:rPr>
          <w:rFonts w:hint="eastAsia" w:ascii="仿宋_GB2312" w:cs="DengXian-Regular" w:eastAsiaTheme="minorEastAsia"/>
          <w:sz w:val="32"/>
          <w:szCs w:val="32"/>
        </w:rPr>
        <w:t>0.01</w:t>
      </w:r>
      <w:r>
        <w:rPr>
          <w:rFonts w:hint="eastAsia" w:ascii="仿宋_GB2312" w:eastAsia="仿宋_GB2312" w:cs="DengXian-Regular"/>
          <w:sz w:val="32"/>
          <w:szCs w:val="32"/>
        </w:rPr>
        <w:t>万元，降低</w:t>
      </w:r>
      <w:r>
        <w:rPr>
          <w:rFonts w:hint="eastAsia" w:ascii="仿宋_GB2312" w:cs="DengXian-Regular" w:eastAsiaTheme="minorEastAsia"/>
          <w:sz w:val="32"/>
          <w:szCs w:val="32"/>
        </w:rPr>
        <w:t>0.33</w:t>
      </w:r>
      <w:r>
        <w:rPr>
          <w:rFonts w:hint="eastAsia" w:ascii="仿宋_GB2312" w:eastAsia="仿宋_GB2312" w:cs="DengXian-Regular"/>
          <w:sz w:val="32"/>
          <w:szCs w:val="32"/>
        </w:rPr>
        <w:t>%,主要是认真</w:t>
      </w:r>
      <w:r>
        <w:rPr>
          <w:rFonts w:hint="eastAsia" w:ascii="仿宋_GB2312" w:eastAsia="仿宋_GB2312" w:cs="DengXian-Regular"/>
          <w:sz w:val="32"/>
          <w:szCs w:val="32"/>
          <w:lang w:eastAsia="zh-CN"/>
        </w:rPr>
        <w:t>贯彻落实中央八项规定</w:t>
      </w:r>
      <w:r>
        <w:rPr>
          <w:rFonts w:hint="eastAsia" w:ascii="仿宋_GB2312" w:eastAsia="仿宋_GB2312" w:cs="DengXian-Regular"/>
          <w:sz w:val="32"/>
          <w:szCs w:val="32"/>
        </w:rPr>
        <w:t>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宋体" w:hAnsi="宋体" w:cs="宋体"/>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w:t>
      </w:r>
      <w:r>
        <w:rPr>
          <w:rFonts w:hint="eastAsia" w:ascii="仿宋_GB2312" w:cs="DengXian-Regular" w:eastAsiaTheme="minorEastAsia"/>
          <w:sz w:val="32"/>
          <w:szCs w:val="32"/>
        </w:rPr>
        <w:t>0</w:t>
      </w:r>
      <w:r>
        <w:rPr>
          <w:rFonts w:hint="eastAsia" w:ascii="仿宋_GB2312" w:eastAsia="仿宋_GB2312" w:cs="DengXian-Regular"/>
          <w:sz w:val="32"/>
          <w:szCs w:val="32"/>
        </w:rPr>
        <w:t>批次、</w:t>
      </w:r>
      <w:r>
        <w:rPr>
          <w:rFonts w:hint="eastAsia" w:ascii="仿宋_GB2312" w:cs="DengXian-Regular" w:eastAsiaTheme="minorEastAsia"/>
          <w:sz w:val="32"/>
          <w:szCs w:val="32"/>
        </w:rPr>
        <w:t>0</w:t>
      </w:r>
      <w:r>
        <w:rPr>
          <w:rFonts w:hint="eastAsia" w:ascii="仿宋_GB2312" w:eastAsia="仿宋_GB2312" w:cs="DengXian-Regular"/>
          <w:sz w:val="32"/>
          <w:szCs w:val="32"/>
        </w:rPr>
        <w:t>人次。公务接待费支出</w:t>
      </w:r>
      <w:r>
        <w:rPr>
          <w:rFonts w:hint="eastAsia" w:ascii="仿宋" w:hAnsi="仿宋" w:eastAsia="仿宋" w:cs="DengXian-Regular"/>
          <w:sz w:val="32"/>
          <w:szCs w:val="32"/>
        </w:rPr>
        <w:t>与</w:t>
      </w:r>
      <w:r>
        <w:rPr>
          <w:rFonts w:hint="eastAsia" w:ascii="仿宋_GB2312" w:eastAsia="仿宋_GB2312" w:cs="DengXian-Regular"/>
          <w:sz w:val="32"/>
          <w:szCs w:val="32"/>
        </w:rPr>
        <w:t>年初预算</w:t>
      </w:r>
      <w:r>
        <w:rPr>
          <w:rFonts w:hint="eastAsia" w:ascii="仿宋" w:hAnsi="仿宋" w:eastAsia="仿宋" w:cs="DengXian-Regular"/>
          <w:sz w:val="32"/>
          <w:szCs w:val="32"/>
        </w:rPr>
        <w:t>持平</w:t>
      </w:r>
      <w:r>
        <w:rPr>
          <w:rFonts w:hint="eastAsia" w:ascii="仿宋_GB2312" w:eastAsia="仿宋_GB2312" w:cs="DengXian-Regular"/>
          <w:sz w:val="32"/>
          <w:szCs w:val="32"/>
        </w:rPr>
        <w:t>。</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（一）绩效管理工作开展情况。</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cs="DengXian-Regular" w:eastAsiaTheme="minorEastAsia"/>
          <w:sz w:val="32"/>
          <w:szCs w:val="32"/>
          <w:shd w:val="pct10" w:color="auto" w:fill="FFFFFF"/>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w:t>
      </w:r>
      <w:r>
        <w:rPr>
          <w:rFonts w:hint="eastAsia" w:ascii="仿宋_GB2312" w:cs="DengXian-Regular" w:eastAsiaTheme="minorEastAsia"/>
          <w:sz w:val="32"/>
          <w:szCs w:val="32"/>
        </w:rPr>
        <w:t>8</w:t>
      </w:r>
      <w:r>
        <w:rPr>
          <w:rFonts w:hint="eastAsia" w:ascii="仿宋_GB2312" w:eastAsia="仿宋_GB2312" w:cs="DengXian-Regular"/>
          <w:sz w:val="32"/>
          <w:szCs w:val="32"/>
        </w:rPr>
        <w:t>年度一般公共预算项目支出全面开展绩效自评，涉及</w:t>
      </w:r>
      <w:r>
        <w:rPr>
          <w:rFonts w:hint="eastAsia" w:ascii="仿宋" w:hAnsi="仿宋" w:eastAsia="仿宋" w:cs="宋体"/>
          <w:sz w:val="32"/>
          <w:szCs w:val="32"/>
        </w:rPr>
        <w:t>林</w:t>
      </w:r>
      <w:r>
        <w:rPr>
          <w:rFonts w:hint="eastAsia" w:ascii="仿宋" w:hAnsi="仿宋" w:eastAsia="仿宋" w:cs="___WRD_EMBED_SUB_41"/>
          <w:sz w:val="32"/>
          <w:szCs w:val="32"/>
        </w:rPr>
        <w:t>业</w:t>
      </w:r>
      <w:r>
        <w:rPr>
          <w:rFonts w:hint="eastAsia" w:ascii="仿宋" w:hAnsi="仿宋" w:eastAsia="仿宋" w:cs="宋体"/>
          <w:sz w:val="32"/>
          <w:szCs w:val="32"/>
        </w:rPr>
        <w:t>压</w:t>
      </w:r>
      <w:r>
        <w:rPr>
          <w:rFonts w:hint="eastAsia" w:ascii="仿宋" w:hAnsi="仿宋" w:eastAsia="仿宋" w:cs="___WRD_EMBED_SUB_41"/>
          <w:sz w:val="32"/>
          <w:szCs w:val="32"/>
        </w:rPr>
        <w:t>采及退</w:t>
      </w:r>
      <w:r>
        <w:rPr>
          <w:rFonts w:hint="eastAsia" w:ascii="仿宋" w:hAnsi="仿宋" w:eastAsia="仿宋" w:cs="宋体"/>
          <w:sz w:val="32"/>
          <w:szCs w:val="32"/>
        </w:rPr>
        <w:t>耕还林</w:t>
      </w:r>
      <w:r>
        <w:rPr>
          <w:rFonts w:hint="eastAsia" w:ascii="仿宋" w:hAnsi="仿宋" w:eastAsia="仿宋" w:cs="___WRD_EMBED_SUB_41"/>
          <w:sz w:val="32"/>
          <w:szCs w:val="32"/>
        </w:rPr>
        <w:t>补贴、</w:t>
      </w:r>
      <w:r>
        <w:rPr>
          <w:rFonts w:hint="eastAsia" w:ascii="仿宋" w:hAnsi="仿宋" w:eastAsia="仿宋" w:cs="宋体"/>
          <w:sz w:val="32"/>
          <w:szCs w:val="32"/>
        </w:rPr>
        <w:t>林</w:t>
      </w:r>
      <w:r>
        <w:rPr>
          <w:rFonts w:hint="eastAsia" w:ascii="仿宋" w:hAnsi="仿宋" w:eastAsia="仿宋" w:cs="___WRD_EMBED_SUB_41"/>
          <w:sz w:val="32"/>
          <w:szCs w:val="32"/>
        </w:rPr>
        <w:t>业有</w:t>
      </w:r>
      <w:r>
        <w:rPr>
          <w:rFonts w:hint="eastAsia" w:ascii="仿宋" w:hAnsi="仿宋" w:eastAsia="仿宋" w:cs="宋体"/>
          <w:sz w:val="32"/>
          <w:szCs w:val="32"/>
        </w:rPr>
        <w:t>害</w:t>
      </w:r>
      <w:r>
        <w:rPr>
          <w:rFonts w:hint="eastAsia" w:ascii="仿宋" w:hAnsi="仿宋" w:eastAsia="仿宋" w:cs="___WRD_EMBED_SUB_41"/>
          <w:sz w:val="32"/>
          <w:szCs w:val="32"/>
        </w:rPr>
        <w:t>生物</w:t>
      </w:r>
      <w:r>
        <w:rPr>
          <w:rFonts w:hint="eastAsia" w:ascii="仿宋" w:hAnsi="仿宋" w:eastAsia="仿宋" w:cs="宋体"/>
          <w:sz w:val="32"/>
          <w:szCs w:val="32"/>
        </w:rPr>
        <w:t>防治</w:t>
      </w:r>
      <w:r>
        <w:rPr>
          <w:rFonts w:hint="eastAsia" w:ascii="仿宋" w:hAnsi="仿宋" w:eastAsia="仿宋" w:cs="___WRD_EMBED_SUB_41"/>
          <w:sz w:val="32"/>
          <w:szCs w:val="32"/>
        </w:rPr>
        <w:t>、</w:t>
      </w:r>
      <w:r>
        <w:rPr>
          <w:rFonts w:hint="eastAsia" w:ascii="仿宋" w:hAnsi="仿宋" w:eastAsia="仿宋" w:cs="宋体"/>
          <w:sz w:val="32"/>
          <w:szCs w:val="32"/>
        </w:rPr>
        <w:t>植被恢复</w:t>
      </w:r>
      <w:r>
        <w:rPr>
          <w:rFonts w:hint="eastAsia" w:ascii="仿宋" w:hAnsi="仿宋" w:eastAsia="仿宋" w:cs="___WRD_EMBED_SUB_41"/>
          <w:sz w:val="32"/>
          <w:szCs w:val="32"/>
        </w:rPr>
        <w:t>费、三</w:t>
      </w:r>
      <w:r>
        <w:rPr>
          <w:rFonts w:hint="eastAsia" w:ascii="仿宋" w:hAnsi="仿宋" w:eastAsia="仿宋" w:cs="宋体"/>
          <w:sz w:val="32"/>
          <w:szCs w:val="32"/>
        </w:rPr>
        <w:t>北防</w:t>
      </w:r>
      <w:r>
        <w:rPr>
          <w:rFonts w:hint="eastAsia" w:ascii="仿宋" w:hAnsi="仿宋" w:eastAsia="仿宋" w:cs="___WRD_EMBED_SUB_41"/>
          <w:sz w:val="32"/>
          <w:szCs w:val="32"/>
        </w:rPr>
        <w:t>护</w:t>
      </w:r>
      <w:r>
        <w:rPr>
          <w:rFonts w:hint="eastAsia" w:ascii="仿宋" w:hAnsi="仿宋" w:eastAsia="仿宋" w:cs="宋体"/>
          <w:sz w:val="32"/>
          <w:szCs w:val="32"/>
        </w:rPr>
        <w:t>林</w:t>
      </w:r>
      <w:r>
        <w:rPr>
          <w:rFonts w:hint="eastAsia" w:ascii="仿宋" w:hAnsi="仿宋" w:eastAsia="仿宋" w:cs="___WRD_EMBED_SUB_41"/>
          <w:sz w:val="32"/>
          <w:szCs w:val="32"/>
        </w:rPr>
        <w:t>、省</w:t>
      </w:r>
      <w:r>
        <w:rPr>
          <w:rFonts w:hint="eastAsia" w:ascii="仿宋" w:hAnsi="仿宋" w:eastAsia="仿宋" w:cs="宋体"/>
          <w:sz w:val="32"/>
          <w:szCs w:val="32"/>
        </w:rPr>
        <w:t>道绿</w:t>
      </w:r>
      <w:r>
        <w:rPr>
          <w:rFonts w:hint="eastAsia" w:ascii="仿宋" w:hAnsi="仿宋" w:eastAsia="仿宋" w:cs="___WRD_EMBED_SUB_41"/>
          <w:sz w:val="32"/>
          <w:szCs w:val="32"/>
        </w:rPr>
        <w:t>化</w:t>
      </w:r>
      <w:r>
        <w:rPr>
          <w:rFonts w:hint="eastAsia" w:ascii="仿宋_GB2312" w:eastAsia="仿宋_GB2312" w:cs="DengXian-Regular"/>
          <w:sz w:val="32"/>
          <w:szCs w:val="32"/>
        </w:rPr>
        <w:t>等</w:t>
      </w:r>
      <w:r>
        <w:rPr>
          <w:rFonts w:hint="eastAsia" w:ascii="仿宋_GB2312" w:cs="DengXian-Regular" w:eastAsiaTheme="minorEastAsia"/>
          <w:sz w:val="32"/>
          <w:szCs w:val="32"/>
        </w:rPr>
        <w:t>6</w:t>
      </w:r>
      <w:r>
        <w:rPr>
          <w:rFonts w:hint="eastAsia" w:ascii="仿宋_GB2312" w:eastAsia="仿宋_GB2312" w:cs="DengXian-Regular"/>
          <w:sz w:val="32"/>
          <w:szCs w:val="32"/>
        </w:rPr>
        <w:t>个项目，涉及资金</w:t>
      </w:r>
      <w:r>
        <w:rPr>
          <w:rFonts w:hint="eastAsia" w:ascii="仿宋_GB2312" w:cs="DengXian-Regular" w:eastAsiaTheme="minorEastAsia"/>
          <w:sz w:val="32"/>
          <w:szCs w:val="32"/>
        </w:rPr>
        <w:t>163</w:t>
      </w:r>
      <w:r>
        <w:rPr>
          <w:rFonts w:hint="eastAsia" w:ascii="宋体" w:hAnsi="宋体" w:cs="宋体"/>
          <w:sz w:val="32"/>
          <w:szCs w:val="32"/>
        </w:rPr>
        <w:t>9.67</w:t>
      </w:r>
      <w:r>
        <w:rPr>
          <w:rFonts w:hint="eastAsia" w:ascii="仿宋_GB2312" w:eastAsia="仿宋_GB2312" w:cs="DengXian-Regular"/>
          <w:sz w:val="32"/>
          <w:szCs w:val="32"/>
        </w:rPr>
        <w:t>万元。从评价情况看，评价结果为优秀的项目有</w:t>
      </w:r>
      <w:r>
        <w:rPr>
          <w:rFonts w:hint="eastAsia" w:ascii="仿宋_GB2312" w:cs="DengXian-Regular" w:eastAsiaTheme="minorEastAsia"/>
          <w:sz w:val="32"/>
          <w:szCs w:val="32"/>
        </w:rPr>
        <w:t>2</w:t>
      </w:r>
      <w:r>
        <w:rPr>
          <w:rFonts w:hint="eastAsia" w:ascii="仿宋_GB2312" w:eastAsia="仿宋_GB2312" w:cs="DengXian-Regular"/>
          <w:sz w:val="32"/>
          <w:szCs w:val="32"/>
        </w:rPr>
        <w:t>个，良好的项目有</w:t>
      </w:r>
      <w:r>
        <w:rPr>
          <w:rFonts w:hint="eastAsia" w:ascii="仿宋_GB2312" w:cs="DengXian-Regular" w:eastAsiaTheme="minorEastAsia"/>
          <w:sz w:val="32"/>
          <w:szCs w:val="32"/>
        </w:rPr>
        <w:t>4</w:t>
      </w:r>
      <w:r>
        <w:rPr>
          <w:rFonts w:hint="eastAsia" w:ascii="仿宋_GB2312" w:eastAsia="仿宋_GB2312" w:cs="DengXian-Regular"/>
          <w:sz w:val="32"/>
          <w:szCs w:val="32"/>
        </w:rPr>
        <w:t>个。</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本单位</w:t>
      </w:r>
      <w:r>
        <w:rPr>
          <w:rFonts w:hint="eastAsia" w:ascii="仿宋" w:hAnsi="仿宋" w:eastAsia="仿宋" w:cs="___WRD_EMBED_SUB_41"/>
          <w:sz w:val="32"/>
          <w:szCs w:val="32"/>
        </w:rPr>
        <w:t>地下水</w:t>
      </w:r>
      <w:r>
        <w:rPr>
          <w:rFonts w:hint="eastAsia" w:ascii="仿宋" w:hAnsi="仿宋" w:eastAsia="仿宋" w:cs="宋体"/>
          <w:sz w:val="32"/>
          <w:szCs w:val="32"/>
        </w:rPr>
        <w:t>压</w:t>
      </w:r>
      <w:r>
        <w:rPr>
          <w:rFonts w:hint="eastAsia" w:ascii="仿宋" w:hAnsi="仿宋" w:eastAsia="仿宋" w:cs="___WRD_EMBED_SUB_41"/>
          <w:sz w:val="32"/>
          <w:szCs w:val="32"/>
        </w:rPr>
        <w:t>采</w:t>
      </w:r>
      <w:r>
        <w:rPr>
          <w:rFonts w:hint="eastAsia" w:ascii="仿宋_GB2312" w:eastAsia="仿宋_GB2312" w:cs="DengXian-Regular"/>
          <w:sz w:val="32"/>
          <w:szCs w:val="32"/>
        </w:rPr>
        <w:t>项目绩效自评：根据年初设定的绩效目标，</w:t>
      </w:r>
      <w:r>
        <w:rPr>
          <w:rFonts w:hint="eastAsia" w:ascii="仿宋" w:hAnsi="仿宋" w:eastAsia="仿宋" w:cs="___WRD_EMBED_SUB_41"/>
          <w:sz w:val="32"/>
          <w:szCs w:val="32"/>
        </w:rPr>
        <w:t>地下水</w:t>
      </w:r>
      <w:r>
        <w:rPr>
          <w:rFonts w:hint="eastAsia" w:ascii="仿宋" w:hAnsi="仿宋" w:eastAsia="仿宋" w:cs="宋体"/>
          <w:sz w:val="32"/>
          <w:szCs w:val="32"/>
        </w:rPr>
        <w:t>压</w:t>
      </w:r>
      <w:r>
        <w:rPr>
          <w:rFonts w:hint="eastAsia" w:ascii="仿宋" w:hAnsi="仿宋" w:eastAsia="仿宋" w:cs="___WRD_EMBED_SUB_41"/>
          <w:sz w:val="32"/>
          <w:szCs w:val="32"/>
        </w:rPr>
        <w:t>采</w:t>
      </w:r>
      <w:r>
        <w:rPr>
          <w:rFonts w:hint="eastAsia" w:ascii="仿宋_GB2312" w:eastAsia="仿宋_GB2312" w:cs="DengXian-Regular"/>
          <w:sz w:val="32"/>
          <w:szCs w:val="32"/>
        </w:rPr>
        <w:t>项目绩效自评结果为优秀。项目全年预算数为</w:t>
      </w:r>
      <w:r>
        <w:rPr>
          <w:rFonts w:hint="eastAsia" w:ascii="仿宋_GB2312" w:cs="DengXian-Regular" w:eastAsiaTheme="minorEastAsia"/>
          <w:sz w:val="32"/>
          <w:szCs w:val="32"/>
        </w:rPr>
        <w:t>750</w:t>
      </w:r>
      <w:r>
        <w:rPr>
          <w:rFonts w:hint="eastAsia" w:ascii="仿宋_GB2312" w:eastAsia="仿宋_GB2312" w:cs="DengXian-Regular"/>
          <w:sz w:val="32"/>
          <w:szCs w:val="32"/>
        </w:rPr>
        <w:t>万元，执行数为</w:t>
      </w:r>
      <w:r>
        <w:rPr>
          <w:rFonts w:hint="eastAsia" w:ascii="仿宋_GB2312" w:cs="DengXian-Regular" w:eastAsiaTheme="minorEastAsia"/>
          <w:sz w:val="32"/>
          <w:szCs w:val="32"/>
        </w:rPr>
        <w:t>750</w:t>
      </w:r>
      <w:r>
        <w:rPr>
          <w:rFonts w:hint="eastAsia" w:ascii="仿宋_GB2312" w:eastAsia="仿宋_GB2312" w:cs="DengXian-Regular"/>
          <w:sz w:val="32"/>
          <w:szCs w:val="32"/>
        </w:rPr>
        <w:t>万元，完成预算的</w:t>
      </w:r>
      <w:r>
        <w:rPr>
          <w:rFonts w:hint="eastAsia" w:ascii="仿宋_GB2312" w:cs="DengXian-Regular" w:eastAsiaTheme="minorEastAsia"/>
          <w:sz w:val="32"/>
          <w:szCs w:val="32"/>
        </w:rPr>
        <w:t>100</w:t>
      </w:r>
      <w:r>
        <w:rPr>
          <w:rFonts w:hint="eastAsia" w:ascii="仿宋_GB2312" w:eastAsia="仿宋_GB2312" w:cs="DengXian-Regular"/>
          <w:sz w:val="32"/>
          <w:szCs w:val="32"/>
        </w:rPr>
        <w:t>%。主要产出和效果是</w:t>
      </w:r>
      <w:r>
        <w:rPr>
          <w:rFonts w:hint="eastAsia" w:ascii="仿宋" w:hAnsi="仿宋" w:eastAsia="仿宋" w:cs="DengXian-Regular"/>
          <w:sz w:val="32"/>
          <w:szCs w:val="32"/>
        </w:rPr>
        <w:t>较少地下水的流失，保护生态环境，提高全县绿化水平，改善生态环境。</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w:t>
      </w:r>
      <w:r>
        <w:rPr>
          <w:rFonts w:hint="eastAsia" w:ascii="仿宋" w:hAnsi="仿宋" w:eastAsia="仿宋" w:cs="DengXian-Regular"/>
          <w:sz w:val="32"/>
          <w:szCs w:val="32"/>
        </w:rPr>
        <w:t>无</w:t>
      </w:r>
      <w:r>
        <w:rPr>
          <w:rFonts w:hint="eastAsia" w:ascii="仿宋_GB2312" w:eastAsia="仿宋_GB2312" w:cs="DengXian-Regular"/>
          <w:sz w:val="32"/>
          <w:szCs w:val="32"/>
        </w:rPr>
        <w:t>机关运行经费支出</w:t>
      </w:r>
      <w:r>
        <w:rPr>
          <w:rFonts w:hint="eastAsia" w:ascii="仿宋_GB2312" w:cs="DengXian-Regular" w:eastAsiaTheme="minorEastAsia"/>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cs="DengXian-Regular" w:eastAsiaTheme="minorEastAsia"/>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487.03</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 w:hAnsi="仿宋" w:eastAsia="仿宋" w:cs="仿宋_GB2312"/>
          <w:color w:val="000000"/>
          <w:kern w:val="0"/>
          <w:sz w:val="32"/>
          <w:szCs w:val="32"/>
        </w:rPr>
        <w:t>3</w:t>
      </w:r>
      <w:r>
        <w:rPr>
          <w:rFonts w:hint="eastAsia" w:ascii="仿宋" w:hAnsi="仿宋" w:eastAsia="仿宋" w:cs="宋体"/>
          <w:color w:val="000000"/>
          <w:kern w:val="0"/>
          <w:sz w:val="32"/>
          <w:szCs w:val="32"/>
        </w:rPr>
        <w:t>9.62</w:t>
      </w:r>
      <w:r>
        <w:rPr>
          <w:rFonts w:ascii="仿宋_GB2312" w:hAnsi="仿宋_GB2312" w:eastAsia="仿宋_GB2312" w:cs="仿宋_GB2312"/>
          <w:color w:val="000000"/>
          <w:kern w:val="0"/>
          <w:sz w:val="32"/>
          <w:szCs w:val="32"/>
        </w:rPr>
        <w:t>万元、政府采购工程支出</w:t>
      </w:r>
      <w:r>
        <w:rPr>
          <w:rFonts w:hint="eastAsia" w:ascii="仿宋_GB2312" w:hAnsi="仿宋_GB2312" w:cs="仿宋_GB2312" w:eastAsiaTheme="minorEastAsia"/>
          <w:color w:val="000000"/>
          <w:kern w:val="0"/>
          <w:sz w:val="32"/>
          <w:szCs w:val="32"/>
        </w:rPr>
        <w:t>447.41</w:t>
      </w:r>
      <w:r>
        <w:rPr>
          <w:rFonts w:ascii="仿宋_GB2312" w:hAnsi="仿宋_GB2312" w:eastAsia="仿宋_GB2312" w:cs="仿宋_GB2312"/>
          <w:color w:val="000000"/>
          <w:kern w:val="0"/>
          <w:sz w:val="32"/>
          <w:szCs w:val="32"/>
        </w:rPr>
        <w:t>万元、政府采购服务支出</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cs="仿宋_GB2312" w:eastAsiaTheme="minorEastAsia"/>
          <w:color w:val="000000"/>
          <w:kern w:val="0"/>
          <w:sz w:val="32"/>
          <w:szCs w:val="32"/>
        </w:rPr>
        <w:t>487.03</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w:t>
      </w:r>
      <w:r>
        <w:rPr>
          <w:rFonts w:hint="eastAsia" w:ascii="仿宋_GB2312" w:hAnsi="仿宋_GB2312" w:cs="仿宋_GB2312" w:eastAsiaTheme="minorEastAsia"/>
          <w:color w:val="000000"/>
          <w:kern w:val="0"/>
          <w:sz w:val="32"/>
          <w:szCs w:val="32"/>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cs="仿宋_GB2312" w:eastAsiaTheme="minorEastAsia"/>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cs="DengXian-Regular" w:eastAsiaTheme="minorEastAsia"/>
          <w:sz w:val="32"/>
          <w:szCs w:val="32"/>
        </w:rPr>
        <w:t>2</w:t>
      </w:r>
      <w:r>
        <w:rPr>
          <w:rFonts w:hint="eastAsia" w:ascii="仿宋_GB2312" w:eastAsia="仿宋_GB2312" w:cs="DengXian-Regular"/>
          <w:sz w:val="32"/>
          <w:szCs w:val="32"/>
        </w:rPr>
        <w:t>辆，</w:t>
      </w:r>
      <w:r>
        <w:rPr>
          <w:rFonts w:hint="eastAsia" w:ascii="仿宋" w:hAnsi="仿宋" w:eastAsia="仿宋" w:cs="DengXian-Regular"/>
          <w:sz w:val="32"/>
          <w:szCs w:val="32"/>
        </w:rPr>
        <w:t>与上年持平</w:t>
      </w:r>
      <w:r>
        <w:rPr>
          <w:rFonts w:hint="eastAsia" w:ascii="仿宋_GB2312" w:eastAsia="仿宋_GB2312" w:cs="DengXian-Regular"/>
          <w:sz w:val="32"/>
          <w:szCs w:val="32"/>
        </w:rPr>
        <w:t>。其中，副部（省）级及以上领导用车</w:t>
      </w:r>
      <w:r>
        <w:rPr>
          <w:rFonts w:hint="eastAsia" w:ascii="仿宋_GB2312" w:cs="DengXian-Regular" w:eastAsiaTheme="minorEastAsia"/>
          <w:sz w:val="32"/>
          <w:szCs w:val="32"/>
        </w:rPr>
        <w:t>0</w:t>
      </w:r>
      <w:r>
        <w:rPr>
          <w:rFonts w:hint="eastAsia" w:ascii="仿宋_GB2312" w:eastAsia="仿宋_GB2312" w:cs="DengXian-Regular"/>
          <w:sz w:val="32"/>
          <w:szCs w:val="32"/>
        </w:rPr>
        <w:t>辆，主要领导干部用车</w:t>
      </w:r>
      <w:r>
        <w:rPr>
          <w:rFonts w:hint="eastAsia" w:ascii="仿宋_GB2312" w:cs="DengXian-Regular" w:eastAsiaTheme="minorEastAsia"/>
          <w:sz w:val="32"/>
          <w:szCs w:val="32"/>
        </w:rPr>
        <w:t>0</w:t>
      </w:r>
      <w:r>
        <w:rPr>
          <w:rFonts w:hint="eastAsia" w:ascii="仿宋_GB2312" w:eastAsia="仿宋_GB2312" w:cs="DengXian-Regular"/>
          <w:sz w:val="32"/>
          <w:szCs w:val="32"/>
        </w:rPr>
        <w:t>辆，机要通信用车</w:t>
      </w:r>
      <w:r>
        <w:rPr>
          <w:rFonts w:hint="eastAsia" w:ascii="仿宋_GB2312" w:cs="DengXian-Regular" w:eastAsiaTheme="minorEastAsia"/>
          <w:sz w:val="32"/>
          <w:szCs w:val="32"/>
        </w:rPr>
        <w:t>0</w:t>
      </w:r>
      <w:r>
        <w:rPr>
          <w:rFonts w:hint="eastAsia" w:ascii="仿宋_GB2312" w:eastAsia="仿宋_GB2312" w:cs="DengXian-Regular"/>
          <w:sz w:val="32"/>
          <w:szCs w:val="32"/>
        </w:rPr>
        <w:t>辆，应急保障用车</w:t>
      </w:r>
      <w:r>
        <w:rPr>
          <w:rFonts w:hint="eastAsia" w:ascii="仿宋_GB2312" w:cs="DengXian-Regular" w:eastAsiaTheme="minorEastAsia"/>
          <w:sz w:val="32"/>
          <w:szCs w:val="32"/>
        </w:rPr>
        <w:t>0</w:t>
      </w:r>
      <w:r>
        <w:rPr>
          <w:rFonts w:hint="eastAsia" w:ascii="仿宋_GB2312" w:eastAsia="仿宋_GB2312" w:cs="DengXian-Regular"/>
          <w:sz w:val="32"/>
          <w:szCs w:val="32"/>
        </w:rPr>
        <w:t>辆，执法执勤用车</w:t>
      </w:r>
      <w:r>
        <w:rPr>
          <w:rFonts w:hint="eastAsia" w:ascii="仿宋_GB2312" w:cs="DengXian-Regular" w:eastAsiaTheme="minorEastAsia"/>
          <w:sz w:val="32"/>
          <w:szCs w:val="32"/>
        </w:rPr>
        <w:t>0</w:t>
      </w:r>
      <w:r>
        <w:rPr>
          <w:rFonts w:hint="eastAsia" w:ascii="仿宋_GB2312" w:eastAsia="仿宋_GB2312" w:cs="DengXian-Regular"/>
          <w:sz w:val="32"/>
          <w:szCs w:val="32"/>
        </w:rPr>
        <w:t>辆，特种专业技术用车</w:t>
      </w:r>
      <w:r>
        <w:rPr>
          <w:rFonts w:hint="eastAsia" w:ascii="仿宋_GB2312" w:cs="DengXian-Regular" w:eastAsiaTheme="minorEastAsia"/>
          <w:sz w:val="32"/>
          <w:szCs w:val="32"/>
        </w:rPr>
        <w:t>0</w:t>
      </w:r>
      <w:r>
        <w:rPr>
          <w:rFonts w:hint="eastAsia" w:ascii="仿宋_GB2312" w:eastAsia="仿宋_GB2312" w:cs="DengXian-Regular"/>
          <w:sz w:val="32"/>
          <w:szCs w:val="32"/>
        </w:rPr>
        <w:t>辆，离退休干部用车</w:t>
      </w:r>
      <w:r>
        <w:rPr>
          <w:rFonts w:hint="eastAsia" w:ascii="仿宋_GB2312" w:cs="DengXian-Regular" w:eastAsiaTheme="minorEastAsia"/>
          <w:sz w:val="32"/>
          <w:szCs w:val="32"/>
        </w:rPr>
        <w:t>0</w:t>
      </w:r>
      <w:r>
        <w:rPr>
          <w:rFonts w:hint="eastAsia" w:ascii="仿宋_GB2312" w:eastAsia="仿宋_GB2312" w:cs="DengXian-Regular"/>
          <w:sz w:val="32"/>
          <w:szCs w:val="32"/>
        </w:rPr>
        <w:t>辆，其他用车</w:t>
      </w:r>
      <w:r>
        <w:rPr>
          <w:rFonts w:hint="eastAsia" w:ascii="仿宋_GB2312" w:cs="DengXian-Regular" w:eastAsiaTheme="minorEastAsia"/>
          <w:sz w:val="32"/>
          <w:szCs w:val="32"/>
        </w:rPr>
        <w:t>2</w:t>
      </w:r>
      <w:r>
        <w:rPr>
          <w:rFonts w:hint="eastAsia" w:ascii="仿宋_GB2312" w:eastAsia="仿宋_GB2312" w:cs="DengXian-Regular"/>
          <w:sz w:val="32"/>
          <w:szCs w:val="32"/>
        </w:rPr>
        <w:t>辆，其他用车主要是</w:t>
      </w:r>
      <w:r>
        <w:rPr>
          <w:rFonts w:hint="eastAsia" w:ascii="仿宋" w:hAnsi="仿宋" w:eastAsia="仿宋" w:cs="DengXian-Regular"/>
          <w:sz w:val="32"/>
          <w:szCs w:val="32"/>
        </w:rPr>
        <w:t>下乡车辆</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cs="DengXian-Regular" w:eastAsiaTheme="minorEastAsia"/>
          <w:sz w:val="32"/>
          <w:szCs w:val="32"/>
        </w:rPr>
        <w:t>0</w:t>
      </w:r>
      <w:r>
        <w:rPr>
          <w:rFonts w:hint="eastAsia" w:ascii="仿宋_GB2312" w:eastAsia="仿宋_GB2312" w:cs="DengXian-Regular"/>
          <w:sz w:val="32"/>
          <w:szCs w:val="32"/>
        </w:rPr>
        <w:t>台（套），</w:t>
      </w:r>
      <w:r>
        <w:rPr>
          <w:rFonts w:hint="eastAsia" w:ascii="仿宋" w:hAnsi="仿宋" w:eastAsia="仿宋" w:cs="DengXian-Regular"/>
          <w:sz w:val="32"/>
          <w:szCs w:val="32"/>
        </w:rPr>
        <w:t>与</w:t>
      </w:r>
      <w:r>
        <w:rPr>
          <w:rFonts w:hint="eastAsia" w:ascii="仿宋_GB2312" w:eastAsia="仿宋_GB2312" w:cs="DengXian-Regular"/>
          <w:sz w:val="32"/>
          <w:szCs w:val="32"/>
        </w:rPr>
        <w:t>上年</w:t>
      </w:r>
      <w:r>
        <w:rPr>
          <w:rFonts w:hint="eastAsia" w:ascii="仿宋" w:hAnsi="仿宋" w:eastAsia="仿宋" w:cs="DengXian-Regular"/>
          <w:sz w:val="32"/>
          <w:szCs w:val="32"/>
        </w:rPr>
        <w:t>持平</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cs="DengXian-Regular" w:eastAsiaTheme="minorEastAsia"/>
          <w:sz w:val="32"/>
          <w:szCs w:val="32"/>
        </w:rPr>
        <w:t>0</w:t>
      </w:r>
      <w:r>
        <w:rPr>
          <w:rFonts w:hint="eastAsia" w:ascii="仿宋_GB2312" w:eastAsia="仿宋_GB2312" w:cs="DengXian-Regular"/>
          <w:sz w:val="32"/>
          <w:szCs w:val="32"/>
        </w:rPr>
        <w:t>台（套）</w:t>
      </w:r>
      <w:r>
        <w:rPr>
          <w:rFonts w:hint="eastAsia" w:ascii="仿宋" w:hAnsi="仿宋" w:eastAsia="仿宋" w:cs="DengXian-Regular"/>
          <w:sz w:val="32"/>
          <w:szCs w:val="32"/>
        </w:rPr>
        <w:t>与</w:t>
      </w:r>
      <w:r>
        <w:rPr>
          <w:rFonts w:hint="eastAsia" w:ascii="仿宋_GB2312" w:eastAsia="仿宋_GB2312" w:cs="DengXian-Regular"/>
          <w:sz w:val="32"/>
          <w:szCs w:val="32"/>
        </w:rPr>
        <w:t>上年</w:t>
      </w:r>
      <w:r>
        <w:rPr>
          <w:rFonts w:hint="eastAsia" w:ascii="仿宋" w:hAnsi="仿宋" w:eastAsia="仿宋" w:cs="DengXian-Regular"/>
          <w:sz w:val="32"/>
          <w:szCs w:val="32"/>
        </w:rPr>
        <w:t>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楷体" w:hAnsi="楷体" w:eastAsia="楷体" w:cs="宋体"/>
          <w:color w:val="000000"/>
          <w:kern w:val="0"/>
          <w:sz w:val="22"/>
          <w:szCs w:val="22"/>
        </w:rPr>
      </w:pPr>
      <w:r>
        <w:rPr>
          <w:rFonts w:hint="eastAsia" w:ascii="仿宋_GB2312" w:eastAsia="仿宋_GB2312" w:cs="DengXian-Regular"/>
          <w:sz w:val="32"/>
          <w:szCs w:val="32"/>
        </w:rPr>
        <w:t>1、本部门2018年度</w:t>
      </w:r>
      <w:r>
        <w:rPr>
          <w:rFonts w:hint="eastAsia" w:ascii="仿宋" w:hAnsi="仿宋" w:eastAsia="仿宋" w:cs="宋体"/>
          <w:color w:val="000000"/>
          <w:kern w:val="0"/>
          <w:sz w:val="32"/>
          <w:szCs w:val="32"/>
        </w:rPr>
        <w:t>无相关政府性基金预算财政拨款收入、支出及结转和结余情况和国有资本经营预算财政拨款支出情况</w:t>
      </w:r>
      <w:r>
        <w:rPr>
          <w:rFonts w:hint="eastAsia" w:ascii="仿宋" w:hAnsi="仿宋" w:eastAsia="仿宋" w:cs="楷体"/>
          <w:sz w:val="32"/>
          <w:szCs w:val="32"/>
        </w:rPr>
        <w:t>，按要求空表列示。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w:t>
      </w:r>
      <w:r>
        <w:rPr>
          <w:rFonts w:hint="eastAsia" w:ascii="宋体" w:hAnsi="宋体" w:cs="宋体"/>
          <w:b/>
          <w:bCs/>
          <w:color w:val="000000"/>
          <w:kern w:val="0"/>
          <w:sz w:val="32"/>
          <w:szCs w:val="32"/>
        </w:rPr>
        <w:t>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EE55490-EEC1-4039-974E-1581AB4949F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3AEBFECE-6EC0-4079-AC42-8D9ED129EA1E}"/>
  </w:font>
  <w:font w:name="楷体">
    <w:panose1 w:val="02010609060101010101"/>
    <w:charset w:val="86"/>
    <w:family w:val="modern"/>
    <w:pitch w:val="default"/>
    <w:sig w:usb0="800002BF" w:usb1="38CF7CFA" w:usb2="00000016" w:usb3="00000000" w:csb0="00040001" w:csb1="00000000"/>
    <w:embedRegular r:id="rId3" w:fontKey="{E19FA700-9947-4214-AB3A-9D8AB24ACAA7}"/>
  </w:font>
  <w:font w:name="楷体_GB2312">
    <w:panose1 w:val="02010609030101010101"/>
    <w:charset w:val="86"/>
    <w:family w:val="modern"/>
    <w:pitch w:val="default"/>
    <w:sig w:usb0="00000001" w:usb1="080E0000" w:usb2="00000000" w:usb3="00000000" w:csb0="00040000" w:csb1="00000000"/>
    <w:embedRegular r:id="rId4" w:fontKey="{D1D4F8DE-3100-44CF-858B-42C146D55AC7}"/>
  </w:font>
  <w:font w:name="仿宋_GB2312">
    <w:panose1 w:val="02010609030101010101"/>
    <w:charset w:val="86"/>
    <w:family w:val="modern"/>
    <w:pitch w:val="default"/>
    <w:sig w:usb0="00000001" w:usb1="080E0000" w:usb2="00000000" w:usb3="00000000" w:csb0="00040000" w:csb1="00000000"/>
    <w:embedRegular r:id="rId5" w:fontKey="{696F2326-F56E-4D25-8A2F-1028130F2551}"/>
  </w:font>
  <w:font w:name="ArialUnicodeMS">
    <w:altName w:val="Malgun Gothic"/>
    <w:panose1 w:val="00000000000000000000"/>
    <w:charset w:val="81"/>
    <w:family w:val="auto"/>
    <w:pitch w:val="default"/>
    <w:sig w:usb0="00000000" w:usb1="00000000" w:usb2="00000010" w:usb3="00000000" w:csb0="00080001" w:csb1="00000000"/>
    <w:embedRegular r:id="rId6" w:fontKey="{ABDF455B-BF4F-4611-B6E7-C0AD5000538D}"/>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7" w:fontKey="{03A4A7CE-283F-4981-8942-7313F84F43C1}"/>
  </w:font>
  <w:font w:name="MS-UIGothic,Bold">
    <w:altName w:val="Malgun Gothic"/>
    <w:panose1 w:val="00000000000000000000"/>
    <w:charset w:val="81"/>
    <w:family w:val="auto"/>
    <w:pitch w:val="default"/>
    <w:sig w:usb0="00000000" w:usb1="00000000" w:usb2="00000010" w:usb3="00000000" w:csb0="00080000" w:csb1="00000000"/>
    <w:embedRegular r:id="rId8" w:fontKey="{C120E9F3-61FC-4945-BFD2-283BB03F8A2D}"/>
  </w:font>
  <w:font w:name="Arial">
    <w:panose1 w:val="020B0604020202020204"/>
    <w:charset w:val="00"/>
    <w:family w:val="swiss"/>
    <w:pitch w:val="default"/>
    <w:sig w:usb0="E0002EFF" w:usb1="C000785B" w:usb2="00000009" w:usb3="00000000" w:csb0="400001FF" w:csb1="FFFF0000"/>
    <w:embedRegular r:id="rId9" w:fontKey="{F54EB551-401D-4F71-99FC-63906C9732E5}"/>
  </w:font>
  <w:font w:name="DengXian-Regular">
    <w:altName w:val="宋体"/>
    <w:panose1 w:val="00000000000000000000"/>
    <w:charset w:val="86"/>
    <w:family w:val="auto"/>
    <w:pitch w:val="default"/>
    <w:sig w:usb0="00000000" w:usb1="00000000" w:usb2="00000010" w:usb3="00000000" w:csb0="00040001" w:csb1="00000000"/>
    <w:embedRegular r:id="rId10" w:fontKey="{40FBFCCD-661F-4EF0-B1FC-94BC22CEBC46}"/>
  </w:font>
  <w:font w:name="DengXian-Bold">
    <w:altName w:val="宋体"/>
    <w:panose1 w:val="00000000000000000000"/>
    <w:charset w:val="86"/>
    <w:family w:val="auto"/>
    <w:pitch w:val="default"/>
    <w:sig w:usb0="00000000" w:usb1="00000000" w:usb2="00000010" w:usb3="00000000" w:csb0="00040001" w:csb1="00000000"/>
    <w:embedRegular r:id="rId11" w:fontKey="{6532304E-A89D-4062-B4AE-2DE9A44807AE}"/>
  </w:font>
  <w:font w:name="___WRD_EMBED_SUB_41">
    <w:altName w:val="Malgun Gothic"/>
    <w:panose1 w:val="02010609030101010101"/>
    <w:charset w:val="81"/>
    <w:family w:val="auto"/>
    <w:pitch w:val="default"/>
    <w:sig w:usb0="00000000" w:usb1="00000000" w:usb2="00000010" w:usb3="00000000" w:csb0="00080001" w:csb1="00000000"/>
    <w:embedRegular r:id="rId12" w:fontKey="{A64E3AC2-5B0F-45A0-80DC-7E7749E65FD5}"/>
  </w:font>
  <w:font w:name="TimesNewRomanPSMT">
    <w:altName w:val="Arial"/>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1D8D"/>
    <w:rsid w:val="00024E7F"/>
    <w:rsid w:val="000475A0"/>
    <w:rsid w:val="000629A4"/>
    <w:rsid w:val="000838C3"/>
    <w:rsid w:val="000B2446"/>
    <w:rsid w:val="000C79D8"/>
    <w:rsid w:val="000D7C65"/>
    <w:rsid w:val="000E2F81"/>
    <w:rsid w:val="00117946"/>
    <w:rsid w:val="00117E2C"/>
    <w:rsid w:val="00125B6D"/>
    <w:rsid w:val="0014448A"/>
    <w:rsid w:val="00146C47"/>
    <w:rsid w:val="00152FB8"/>
    <w:rsid w:val="001568B8"/>
    <w:rsid w:val="00176658"/>
    <w:rsid w:val="00180888"/>
    <w:rsid w:val="0018239E"/>
    <w:rsid w:val="001A5550"/>
    <w:rsid w:val="001B3410"/>
    <w:rsid w:val="001B7AC1"/>
    <w:rsid w:val="001C030D"/>
    <w:rsid w:val="001C4A84"/>
    <w:rsid w:val="001C6FA9"/>
    <w:rsid w:val="001E5902"/>
    <w:rsid w:val="00221B5E"/>
    <w:rsid w:val="00224E91"/>
    <w:rsid w:val="00233705"/>
    <w:rsid w:val="00265D2B"/>
    <w:rsid w:val="00275CA2"/>
    <w:rsid w:val="002A65A5"/>
    <w:rsid w:val="002C04C4"/>
    <w:rsid w:val="002C34F6"/>
    <w:rsid w:val="002C7087"/>
    <w:rsid w:val="002D08B0"/>
    <w:rsid w:val="002D1AE3"/>
    <w:rsid w:val="002F2ECE"/>
    <w:rsid w:val="00341C8F"/>
    <w:rsid w:val="0035463A"/>
    <w:rsid w:val="003652BF"/>
    <w:rsid w:val="00391D9D"/>
    <w:rsid w:val="00391E1D"/>
    <w:rsid w:val="003B6C51"/>
    <w:rsid w:val="003C1413"/>
    <w:rsid w:val="003C3C8F"/>
    <w:rsid w:val="003C4CF1"/>
    <w:rsid w:val="003C549F"/>
    <w:rsid w:val="003D5A16"/>
    <w:rsid w:val="003E7DB3"/>
    <w:rsid w:val="003F7EC9"/>
    <w:rsid w:val="0040378A"/>
    <w:rsid w:val="00431175"/>
    <w:rsid w:val="004375C1"/>
    <w:rsid w:val="00487C15"/>
    <w:rsid w:val="004B6E37"/>
    <w:rsid w:val="004C32BA"/>
    <w:rsid w:val="004C7EB0"/>
    <w:rsid w:val="004D58ED"/>
    <w:rsid w:val="00502871"/>
    <w:rsid w:val="00522EC0"/>
    <w:rsid w:val="00575922"/>
    <w:rsid w:val="005A6C90"/>
    <w:rsid w:val="005E3FB0"/>
    <w:rsid w:val="005E7D42"/>
    <w:rsid w:val="005F4B66"/>
    <w:rsid w:val="005F5208"/>
    <w:rsid w:val="00641318"/>
    <w:rsid w:val="00641C85"/>
    <w:rsid w:val="0064405D"/>
    <w:rsid w:val="00685302"/>
    <w:rsid w:val="00695557"/>
    <w:rsid w:val="006B56F6"/>
    <w:rsid w:val="006D4EA7"/>
    <w:rsid w:val="0070012A"/>
    <w:rsid w:val="00705019"/>
    <w:rsid w:val="0070664B"/>
    <w:rsid w:val="007071B8"/>
    <w:rsid w:val="007414DE"/>
    <w:rsid w:val="0074209C"/>
    <w:rsid w:val="007905A9"/>
    <w:rsid w:val="007E5500"/>
    <w:rsid w:val="007F055B"/>
    <w:rsid w:val="0080644C"/>
    <w:rsid w:val="00811C2F"/>
    <w:rsid w:val="00833D46"/>
    <w:rsid w:val="00840A97"/>
    <w:rsid w:val="00861365"/>
    <w:rsid w:val="00864070"/>
    <w:rsid w:val="008C0149"/>
    <w:rsid w:val="008C689C"/>
    <w:rsid w:val="008D5DED"/>
    <w:rsid w:val="008E25CA"/>
    <w:rsid w:val="008F34FC"/>
    <w:rsid w:val="0090776F"/>
    <w:rsid w:val="009104FD"/>
    <w:rsid w:val="009338DF"/>
    <w:rsid w:val="00935058"/>
    <w:rsid w:val="00944CD7"/>
    <w:rsid w:val="009753A7"/>
    <w:rsid w:val="009831B2"/>
    <w:rsid w:val="00997CE9"/>
    <w:rsid w:val="009A1ABE"/>
    <w:rsid w:val="009E21A4"/>
    <w:rsid w:val="009F22C6"/>
    <w:rsid w:val="00A07E50"/>
    <w:rsid w:val="00A13209"/>
    <w:rsid w:val="00A15397"/>
    <w:rsid w:val="00A215C0"/>
    <w:rsid w:val="00A35CE0"/>
    <w:rsid w:val="00A4462E"/>
    <w:rsid w:val="00A44AA4"/>
    <w:rsid w:val="00A61623"/>
    <w:rsid w:val="00A83E3D"/>
    <w:rsid w:val="00A84687"/>
    <w:rsid w:val="00A97D6F"/>
    <w:rsid w:val="00AA0FDA"/>
    <w:rsid w:val="00AB0A0E"/>
    <w:rsid w:val="00AD3B6E"/>
    <w:rsid w:val="00AF57C9"/>
    <w:rsid w:val="00B1751F"/>
    <w:rsid w:val="00B21A86"/>
    <w:rsid w:val="00B56722"/>
    <w:rsid w:val="00B611F2"/>
    <w:rsid w:val="00B642BB"/>
    <w:rsid w:val="00B64920"/>
    <w:rsid w:val="00B74D39"/>
    <w:rsid w:val="00B91DA4"/>
    <w:rsid w:val="00BC4697"/>
    <w:rsid w:val="00BF6F56"/>
    <w:rsid w:val="00C12630"/>
    <w:rsid w:val="00C23AB4"/>
    <w:rsid w:val="00C30301"/>
    <w:rsid w:val="00C34562"/>
    <w:rsid w:val="00C3774E"/>
    <w:rsid w:val="00C428FE"/>
    <w:rsid w:val="00C57456"/>
    <w:rsid w:val="00C65387"/>
    <w:rsid w:val="00C87FAB"/>
    <w:rsid w:val="00C91F3C"/>
    <w:rsid w:val="00C91FF7"/>
    <w:rsid w:val="00C94E53"/>
    <w:rsid w:val="00D0048E"/>
    <w:rsid w:val="00D222AC"/>
    <w:rsid w:val="00D23E7A"/>
    <w:rsid w:val="00D25A58"/>
    <w:rsid w:val="00D27154"/>
    <w:rsid w:val="00D61063"/>
    <w:rsid w:val="00D67004"/>
    <w:rsid w:val="00D7611A"/>
    <w:rsid w:val="00DB35AF"/>
    <w:rsid w:val="00DD72D7"/>
    <w:rsid w:val="00DE3161"/>
    <w:rsid w:val="00DF5B88"/>
    <w:rsid w:val="00E0589E"/>
    <w:rsid w:val="00E179C9"/>
    <w:rsid w:val="00E241FA"/>
    <w:rsid w:val="00E2595E"/>
    <w:rsid w:val="00E35374"/>
    <w:rsid w:val="00E50C19"/>
    <w:rsid w:val="00E64655"/>
    <w:rsid w:val="00E73081"/>
    <w:rsid w:val="00E856C9"/>
    <w:rsid w:val="00E8744D"/>
    <w:rsid w:val="00EA086B"/>
    <w:rsid w:val="00EB58E6"/>
    <w:rsid w:val="00EB6A8B"/>
    <w:rsid w:val="00EF38C6"/>
    <w:rsid w:val="00EF6310"/>
    <w:rsid w:val="00F04012"/>
    <w:rsid w:val="00F1341B"/>
    <w:rsid w:val="00F66717"/>
    <w:rsid w:val="00F679C7"/>
    <w:rsid w:val="00F7711A"/>
    <w:rsid w:val="00F832DB"/>
    <w:rsid w:val="00FA0D58"/>
    <w:rsid w:val="00FA56F4"/>
    <w:rsid w:val="00FB1552"/>
    <w:rsid w:val="00FB4EDA"/>
    <w:rsid w:val="00FD3BD5"/>
    <w:rsid w:val="00FE3DC8"/>
    <w:rsid w:val="04073F84"/>
    <w:rsid w:val="0B60750A"/>
    <w:rsid w:val="0EFE0E6A"/>
    <w:rsid w:val="10686488"/>
    <w:rsid w:val="10DF728A"/>
    <w:rsid w:val="1264200E"/>
    <w:rsid w:val="141C5B77"/>
    <w:rsid w:val="18D8339D"/>
    <w:rsid w:val="1A21388F"/>
    <w:rsid w:val="1A570D2F"/>
    <w:rsid w:val="246E0BF6"/>
    <w:rsid w:val="28FB0B8D"/>
    <w:rsid w:val="2A9870FC"/>
    <w:rsid w:val="2D2B7942"/>
    <w:rsid w:val="2D46481D"/>
    <w:rsid w:val="2E733B28"/>
    <w:rsid w:val="31852B5A"/>
    <w:rsid w:val="32CA0E2A"/>
    <w:rsid w:val="32D01238"/>
    <w:rsid w:val="34CE0FA7"/>
    <w:rsid w:val="3DFC59A8"/>
    <w:rsid w:val="3ECF245E"/>
    <w:rsid w:val="3FB96314"/>
    <w:rsid w:val="42380F06"/>
    <w:rsid w:val="43E23908"/>
    <w:rsid w:val="53A44FAF"/>
    <w:rsid w:val="54016CB2"/>
    <w:rsid w:val="5802533F"/>
    <w:rsid w:val="594329EC"/>
    <w:rsid w:val="5A3C6BF1"/>
    <w:rsid w:val="5BC00E9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chart" Target="charts/chart4.xml"/><Relationship Id="rId14" Type="http://schemas.openxmlformats.org/officeDocument/2006/relationships/image" Target="media/image6.png"/><Relationship Id="rId13" Type="http://schemas.openxmlformats.org/officeDocument/2006/relationships/chart" Target="charts/chart3.xml"/><Relationship Id="rId12" Type="http://schemas.openxmlformats.org/officeDocument/2006/relationships/image" Target="media/image5.png"/><Relationship Id="rId11" Type="http://schemas.openxmlformats.org/officeDocument/2006/relationships/chart" Target="charts/chart2.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H:\18&#20915;&#31639;\&#37096;&#38376;&#20915;&#31639;&#20844;&#24320;&#21046;&#22270;&#27169;&#26495;&#65288;&#20462;&#25913;&#29256;&#6528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8&#20915;&#31639;\&#37096;&#38376;&#20915;&#31639;&#20844;&#24320;&#21046;&#22270;&#27169;&#26495;&#65288;&#20462;&#25913;&#29256;&#6528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8&#20915;&#31639;\&#37096;&#38376;&#20915;&#31639;&#20844;&#24320;&#21046;&#22270;&#27169;&#26495;&#65288;&#20462;&#25913;&#29256;&#6528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8&#20915;&#31639;\&#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1"/>
        </c:manualLayout>
      </c:layout>
      <c:overlay val="0"/>
    </c:title>
    <c:autoTitleDeleted val="0"/>
    <c:plotArea>
      <c:layout>
        <c:manualLayout>
          <c:layoutTarget val="inner"/>
          <c:xMode val="edge"/>
          <c:yMode val="edge"/>
          <c:x val="0.101627059597234"/>
          <c:y val="0.103243458204088"/>
          <c:w val="0.808785007968815"/>
          <c:h val="0.655154696572023"/>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273.64</c:v>
                </c:pt>
                <c:pt idx="1">
                  <c:v>1639.66</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21"/>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1712.27</c:v>
                </c:pt>
                <c:pt idx="1">
                  <c:v>1913.3</c:v>
                </c:pt>
              </c:numCache>
            </c:numRef>
          </c:val>
        </c:ser>
        <c:ser>
          <c:idx val="1"/>
          <c:order val="1"/>
          <c:tx>
            <c:strRef>
              <c:f>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1542.72</c:v>
                </c:pt>
                <c:pt idx="1">
                  <c:v>2033.78</c:v>
                </c:pt>
              </c:numCache>
            </c:numRef>
          </c:val>
        </c:ser>
        <c:dLbls>
          <c:showLegendKey val="0"/>
          <c:showVal val="1"/>
          <c:showCatName val="0"/>
          <c:showSerName val="0"/>
          <c:showPercent val="0"/>
          <c:showBubbleSize val="0"/>
        </c:dLbls>
        <c:gapWidth val="75"/>
        <c:axId val="188241408"/>
        <c:axId val="188305408"/>
      </c:barChart>
      <c:catAx>
        <c:axId val="18824140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305408"/>
        <c:crosses val="autoZero"/>
        <c:auto val="1"/>
        <c:lblAlgn val="ctr"/>
        <c:lblOffset val="100"/>
        <c:noMultiLvlLbl val="0"/>
      </c:catAx>
      <c:valAx>
        <c:axId val="18830540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88241408"/>
        <c:crosses val="autoZero"/>
        <c:crossBetween val="between"/>
      </c:valAx>
    </c:plotArea>
    <c:legend>
      <c:legendPos val="b"/>
      <c:layout>
        <c:manualLayout>
          <c:xMode val="edge"/>
          <c:yMode val="edge"/>
          <c:x val="0.426340551181102"/>
          <c:y val="0.75683529974089"/>
          <c:w val="0.208429790026247"/>
          <c:h val="0.0770305149555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3"/>
        </c:manualLayout>
      </c:layout>
      <c:overlay val="0"/>
    </c:title>
    <c:autoTitleDeleted val="0"/>
    <c:plotArea>
      <c:layout>
        <c:manualLayout>
          <c:layoutTarget val="inner"/>
          <c:xMode val="edge"/>
          <c:yMode val="edge"/>
          <c:x val="0.100155074365704"/>
          <c:y val="0.0231156048675734"/>
          <c:w val="0.869289370078741"/>
          <c:h val="0.768818002863281"/>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1323.22</c:v>
                </c:pt>
                <c:pt idx="1">
                  <c:v>1323.22</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1712.27</c:v>
                </c:pt>
                <c:pt idx="1">
                  <c:v>1913.3</c:v>
                </c:pt>
              </c:numCache>
            </c:numRef>
          </c:val>
        </c:ser>
        <c:dLbls>
          <c:showLegendKey val="0"/>
          <c:showVal val="1"/>
          <c:showCatName val="0"/>
          <c:showSerName val="0"/>
          <c:showPercent val="0"/>
          <c:showBubbleSize val="0"/>
        </c:dLbls>
        <c:gapWidth val="75"/>
        <c:axId val="191404288"/>
        <c:axId val="191419904"/>
      </c:barChart>
      <c:catAx>
        <c:axId val="191404288"/>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1419904"/>
        <c:crosses val="autoZero"/>
        <c:auto val="1"/>
        <c:lblAlgn val="ctr"/>
        <c:lblOffset val="100"/>
        <c:noMultiLvlLbl val="0"/>
      </c:catAx>
      <c:valAx>
        <c:axId val="191419904"/>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1404288"/>
        <c:crosses val="autoZero"/>
        <c:crossBetween val="between"/>
      </c:valAx>
    </c:plotArea>
    <c:legend>
      <c:legendPos val="b"/>
      <c:layout>
        <c:manualLayout>
          <c:xMode val="edge"/>
          <c:yMode val="edge"/>
          <c:x val="0.346718285214349"/>
          <c:y val="0.848750340633651"/>
          <c:w val="0.339896544181978"/>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5"/>
        </c:manualLayout>
      </c:layout>
      <c:overlay val="0"/>
    </c:title>
    <c:autoTitleDeleted val="0"/>
    <c:plotArea>
      <c:layout>
        <c:manualLayout>
          <c:layoutTarget val="inner"/>
          <c:xMode val="edge"/>
          <c:yMode val="edge"/>
          <c:x val="0.242777777777778"/>
          <c:y val="0.0719696755041531"/>
          <c:w val="0.514444663167104"/>
          <c:h val="0.701515240540671"/>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delete val="1"/>
            </c:dLbl>
            <c:dLbl>
              <c:idx val="1"/>
              <c:delete val="1"/>
            </c:dLbl>
            <c:dLbl>
              <c:idx val="2"/>
              <c:delete val="1"/>
            </c:dLbl>
            <c:dLbl>
              <c:idx val="3"/>
              <c:delete val="1"/>
            </c:dLbl>
            <c:dLbl>
              <c:idx val="4"/>
              <c:delete val="1"/>
            </c:dLbl>
            <c:dLbl>
              <c:idx val="5"/>
              <c:layout>
                <c:manualLayout>
                  <c:x val="0.089566186302184"/>
                  <c:y val="0.0083194651319061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200429728123607"/>
                  <c:y val="0.034202245542280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381956618630218"/>
                  <c:y val="0.04899242004067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支出决算结构!$B$5:$B$23</c:f>
              <c:numCache>
                <c:formatCode>General</c:formatCode>
                <c:ptCount val="19"/>
                <c:pt idx="5">
                  <c:v>35.98</c:v>
                </c:pt>
                <c:pt idx="6">
                  <c:v>0.3</c:v>
                </c:pt>
                <c:pt idx="7">
                  <c:v>41.84</c:v>
                </c:pt>
                <c:pt idx="9">
                  <c:v>1835.18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45"/>
    <customShpInfo spid="_x0000_s1044"/>
    <customShpInfo spid="_x0000_s104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AE310-B401-48C3-956F-B8652960E1EC}">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1719</Words>
  <Characters>9804</Characters>
  <Lines>81</Lines>
  <Paragraphs>22</Paragraphs>
  <TotalTime>320</TotalTime>
  <ScaleCrop>false</ScaleCrop>
  <LinksUpToDate>false</LinksUpToDate>
  <CharactersWithSpaces>11501</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2023-08-28T07:19:25Z</dcterms:modified>
  <dc:subject>石家庄市xxx部门</dc:subject>
  <dc:title>2017年度部门决算</dc:title>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9668EFDE9244415E85813874F47BD653</vt:lpwstr>
  </property>
</Properties>
</file>