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group id="_x0000_s1034" o:spid="_x0000_s1034" o:spt="203" style="position:absolute;left:0pt;margin-left:-3.75pt;margin-top:-67.75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1312;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2336;mso-width-relative:page;mso-height-relative:page;"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33"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pict>
          <v:rect id="矩形 14" o:spid="_x0000_s1041" o:spt="1" style="position:absolute;left:0pt;margin-left:-46.3pt;margin-top:45.4pt;height:85.2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14.35pt;margin-top:34.9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无极县工商业联合会</w:t>
      </w:r>
    </w:p>
    <w:p>
      <w:pPr>
        <w:snapToGrid w:val="0"/>
        <w:jc w:val="cente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（一）对会员进行团结、帮助、引导、教育，提高会员素质。</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（二）维护会员的合法权益，反映会员的意见、要求和建议，在会员和政府之间发挥桥梁作用，当好政府管理非公有制经济的助手。</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（三）开展工商专业培训，提供信息、科技、法律咨询等服务。</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（四）组织会员举办和参加各种展销会、交易会、开拓国内、国际市场，加强和国外工商社团的联系，引进人才、资金、技术。</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（五）做好工商界代表人士政治安排的推荐工作。</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（六）为会员提供有关证明，协调关系，调节纠纷。</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eastAsia="仿宋_GB2312" w:cs="ArialUnicodeMS"/>
          <w:kern w:val="0"/>
          <w:sz w:val="32"/>
          <w:szCs w:val="32"/>
        </w:rPr>
        <w:t>（七）承办政府和有关部门委托事项。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无极县工商业联合会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本部门2019年度收支总计（含结转和结余）55.34万元。与2018年度决算相比，收支各增加15.57万元，增长39.78%，主要原因是人员工资增加、增发了通讯补。</w:t>
      </w:r>
    </w:p>
    <w:p>
      <w:pPr>
        <w:numPr>
          <w:ilvl w:val="0"/>
          <w:numId w:val="1"/>
        </w:num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收入决算情况说明</w:t>
      </w:r>
    </w:p>
    <w:p>
      <w:pPr>
        <w:adjustRightInd w:val="0"/>
        <w:snapToGrid w:val="0"/>
        <w:spacing w:line="580" w:lineRule="exact"/>
        <w:ind w:firstLine="640" w:firstLineChars="200"/>
        <w:rPr>
          <w:rFonts w:ascii="黑体" w:hAnsi="Calibri" w:eastAsia="仿宋_GB2312" w:cs="Times New Roman"/>
          <w:sz w:val="32"/>
          <w:szCs w:val="32"/>
        </w:rPr>
      </w:pPr>
      <w:r>
        <w:rPr>
          <w:rFonts w:hint="eastAsia" w:ascii="黑体" w:hAnsi="Calibri" w:eastAsia="黑体" w:cs="Times New Roman"/>
          <w:sz w:val="32"/>
          <w:szCs w:val="32"/>
        </w:rPr>
        <w:drawing>
          <wp:anchor distT="0" distB="0" distL="114300" distR="114300" simplePos="0" relativeHeight="251693056" behindDoc="0" locked="0" layoutInCell="1" allowOverlap="1">
            <wp:simplePos x="0" y="0"/>
            <wp:positionH relativeFrom="column">
              <wp:posOffset>167640</wp:posOffset>
            </wp:positionH>
            <wp:positionV relativeFrom="page">
              <wp:posOffset>5085715</wp:posOffset>
            </wp:positionV>
            <wp:extent cx="5326380" cy="3193415"/>
            <wp:effectExtent l="0" t="0" r="7620" b="6985"/>
            <wp:wrapTopAndBottom/>
            <wp:docPr id="28" name="图片 2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图片1"/>
                    <pic:cNvPicPr>
                      <a:picLocks noChangeAspect="1"/>
                    </pic:cNvPicPr>
                  </pic:nvPicPr>
                  <pic:blipFill>
                    <a:blip r:embed="rId32"/>
                    <a:stretch>
                      <a:fillRect/>
                    </a:stretch>
                  </pic:blipFill>
                  <pic:spPr>
                    <a:xfrm>
                      <a:off x="0" y="0"/>
                      <a:ext cx="5326380" cy="3193415"/>
                    </a:xfrm>
                    <a:prstGeom prst="rect">
                      <a:avLst/>
                    </a:prstGeom>
                  </pic:spPr>
                </pic:pic>
              </a:graphicData>
            </a:graphic>
          </wp:anchor>
        </w:drawing>
      </w:r>
      <w:r>
        <w:rPr>
          <w:rFonts w:hint="eastAsia" w:ascii="仿宋_GB2312" w:hAnsi="Times New Roman" w:eastAsia="仿宋_GB2312" w:cs="DengXian-Regular"/>
          <w:sz w:val="32"/>
          <w:szCs w:val="32"/>
        </w:rPr>
        <w:t>本部门2019年度本年收入合计55.34万元，其中：财政拨款收入55.34万元，占100%；事业收入0万元，占0%；经营收入0万元，占0%；其他收入0万元，占0%。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keepLines/>
        <w:snapToGrid w:val="0"/>
        <w:spacing w:line="580" w:lineRule="exact"/>
        <w:ind w:firstLine="640" w:firstLineChars="200"/>
        <w:outlineLvl w:val="1"/>
        <w:rPr>
          <w:rFonts w:ascii="黑体" w:hAnsi="Calibri" w:eastAsia="仿宋_GB2312" w:cs="Times New Roman"/>
          <w:b/>
          <w:bCs/>
          <w:sz w:val="32"/>
          <w:szCs w:val="32"/>
        </w:rPr>
      </w:pPr>
      <w:r>
        <w:rPr>
          <w:rFonts w:hint="eastAsia" w:ascii="仿宋_GB2312" w:hAnsi="Times New Roman" w:eastAsia="仿宋_GB2312" w:cs="DengXian-Regular"/>
          <w:sz w:val="32"/>
          <w:szCs w:val="32"/>
        </w:rPr>
        <w:t>本部门2019年度本年支出合计55.34万元，其中：基本支出55.34万元，占100%；项目支出0万元，占0%；经营支出0万元，占0%。</w:t>
      </w:r>
    </w:p>
    <w:p>
      <w:pPr>
        <w:keepNext/>
        <w:keepLines/>
        <w:snapToGrid w:val="0"/>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drawing>
          <wp:anchor distT="0" distB="0" distL="114300" distR="114300" simplePos="0" relativeHeight="251694080" behindDoc="0" locked="0" layoutInCell="1" allowOverlap="1">
            <wp:simplePos x="0" y="0"/>
            <wp:positionH relativeFrom="column">
              <wp:posOffset>644525</wp:posOffset>
            </wp:positionH>
            <wp:positionV relativeFrom="page">
              <wp:posOffset>2817495</wp:posOffset>
            </wp:positionV>
            <wp:extent cx="4316095" cy="2621280"/>
            <wp:effectExtent l="0" t="0" r="8255" b="7620"/>
            <wp:wrapTopAndBottom/>
            <wp:docPr id="32" name="图片 3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片2"/>
                    <pic:cNvPicPr>
                      <a:picLocks noChangeAspect="1"/>
                    </pic:cNvPicPr>
                  </pic:nvPicPr>
                  <pic:blipFill>
                    <a:blip r:embed="rId33"/>
                    <a:stretch>
                      <a:fillRect/>
                    </a:stretch>
                  </pic:blipFill>
                  <pic:spPr>
                    <a:xfrm>
                      <a:off x="0" y="0"/>
                      <a:ext cx="4316095" cy="2621280"/>
                    </a:xfrm>
                    <a:prstGeom prst="rect">
                      <a:avLst/>
                    </a:prstGeom>
                  </pic:spPr>
                </pic:pic>
              </a:graphicData>
            </a:graphic>
          </wp:anchor>
        </w:drawing>
      </w:r>
    </w:p>
    <w:p>
      <w:pPr>
        <w:keepNext/>
        <w:keepLines/>
        <w:snapToGrid w:val="0"/>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本部门2019年度形成的财政拨款收支均为一般公共预算财政拨款，其中本年收入55.34万元,比2018年度增加15.75万元，增长39.78%，主要是人员工资增加、增发了通讯补；本年支出55.34万元，增加15.75万元，增长39.78%，</w:t>
      </w:r>
      <w:r>
        <w:rPr>
          <w:rFonts w:hint="eastAsia" w:ascii="仿宋_GB2312" w:hAnsi="Times New Roman" w:eastAsia="仿宋_GB2312" w:cs="DengXian-Regular"/>
          <w:sz w:val="32"/>
          <w:szCs w:val="32"/>
          <w:lang w:eastAsia="zh-CN"/>
        </w:rPr>
        <w:t>主要是</w:t>
      </w:r>
      <w:r>
        <w:rPr>
          <w:rFonts w:hint="eastAsia" w:ascii="仿宋_GB2312" w:hAnsi="Times New Roman" w:eastAsia="仿宋_GB2312" w:cs="DengXian-Regular"/>
          <w:sz w:val="32"/>
          <w:szCs w:val="32"/>
        </w:rPr>
        <w:t>人员工资增加、增发了通讯补。</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669790" cy="3090545"/>
            <wp:effectExtent l="0" t="0" r="16510" b="14605"/>
            <wp:docPr id="34" name="图片 34"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图片3"/>
                    <pic:cNvPicPr>
                      <a:picLocks noChangeAspect="1"/>
                    </pic:cNvPicPr>
                  </pic:nvPicPr>
                  <pic:blipFill>
                    <a:blip r:embed="rId34"/>
                    <a:stretch>
                      <a:fillRect/>
                    </a:stretch>
                  </pic:blipFill>
                  <pic:spPr>
                    <a:xfrm>
                      <a:off x="0" y="0"/>
                      <a:ext cx="4669790" cy="3090545"/>
                    </a:xfrm>
                    <a:prstGeom prst="rect">
                      <a:avLst/>
                    </a:prstGeom>
                  </pic:spPr>
                </pic:pic>
              </a:graphicData>
            </a:graphic>
          </wp:inline>
        </w:drawing>
      </w:r>
    </w:p>
    <w:p>
      <w:pPr>
        <w:adjustRightInd w:val="0"/>
        <w:snapToGrid w:val="0"/>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55.34万元，完成年初预算的104.2%,比年初预算增加2.23万元，决算数大于预算数主要原因是人员工资增加、增发了通讯补；本年支出55.34万元，完成年初预算的104.2%,比年初预算增加2.23万元，决算数大于预算数主要原因是主要是人员工资增加、增发了通讯补。</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669790" cy="3590290"/>
            <wp:effectExtent l="0" t="0" r="16510" b="10160"/>
            <wp:docPr id="35" name="图片 35"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片4"/>
                    <pic:cNvPicPr>
                      <a:picLocks noChangeAspect="1"/>
                    </pic:cNvPicPr>
                  </pic:nvPicPr>
                  <pic:blipFill>
                    <a:blip r:embed="rId35"/>
                    <a:stretch>
                      <a:fillRect/>
                    </a:stretch>
                  </pic:blipFill>
                  <pic:spPr>
                    <a:xfrm>
                      <a:off x="0" y="0"/>
                      <a:ext cx="4669790" cy="3590290"/>
                    </a:xfrm>
                    <a:prstGeom prst="rect">
                      <a:avLst/>
                    </a:prstGeom>
                  </pic:spPr>
                </pic:pic>
              </a:graphicData>
            </a:graphic>
          </wp:inline>
        </w:drawing>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adjustRightInd w:val="0"/>
        <w:snapToGrid w:val="0"/>
        <w:spacing w:line="580" w:lineRule="exact"/>
        <w:ind w:firstLine="964" w:firstLineChars="3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drawing>
          <wp:anchor distT="0" distB="0" distL="114300" distR="114300" simplePos="0" relativeHeight="251695104" behindDoc="0" locked="0" layoutInCell="1" allowOverlap="1">
            <wp:simplePos x="0" y="0"/>
            <wp:positionH relativeFrom="column">
              <wp:posOffset>1237615</wp:posOffset>
            </wp:positionH>
            <wp:positionV relativeFrom="page">
              <wp:posOffset>6809740</wp:posOffset>
            </wp:positionV>
            <wp:extent cx="3279775" cy="2457450"/>
            <wp:effectExtent l="0" t="0" r="15875" b="0"/>
            <wp:wrapTopAndBottom/>
            <wp:docPr id="36" name="图片 36"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图片5"/>
                    <pic:cNvPicPr>
                      <a:picLocks noChangeAspect="1"/>
                    </pic:cNvPicPr>
                  </pic:nvPicPr>
                  <pic:blipFill>
                    <a:blip r:embed="rId36"/>
                    <a:stretch>
                      <a:fillRect/>
                    </a:stretch>
                  </pic:blipFill>
                  <pic:spPr>
                    <a:xfrm>
                      <a:off x="0" y="0"/>
                      <a:ext cx="3279775" cy="2457450"/>
                    </a:xfrm>
                    <a:prstGeom prst="rect">
                      <a:avLst/>
                    </a:prstGeom>
                  </pic:spPr>
                </pic:pic>
              </a:graphicData>
            </a:graphic>
          </wp:anchor>
        </w:drawing>
      </w:r>
      <w:r>
        <w:rPr>
          <w:rFonts w:hint="eastAsia" w:ascii="仿宋_GB2312" w:hAnsi="Times New Roman" w:eastAsia="仿宋_GB2312" w:cs="DengXian-Regular"/>
          <w:sz w:val="32"/>
          <w:szCs w:val="32"/>
        </w:rPr>
        <w:t>2019 年度财政拨款支出55.34万元，主要用于以下方面：一般公共服务（类）支出40.64万元，占73.44%，社会保障和就业（类）支出12.71万元，占22.97%；卫生健康支出1.99万元，占 3.59%。</w:t>
      </w:r>
    </w:p>
    <w:p>
      <w:pPr>
        <w:adjustRightInd w:val="0"/>
        <w:snapToGrid w:val="0"/>
        <w:spacing w:line="580" w:lineRule="exact"/>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年度财政拨款基本支出55.34万元，其中：人员经费 50.3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5.04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本部门2019年度“三公”经费支出共计0万元，较年初预算无变化，与上年决算数无变化，具体情况如下：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本部门本年度无相关收入和支出。</w:t>
      </w:r>
    </w:p>
    <w:p>
      <w:pPr>
        <w:adjustRightInd w:val="0"/>
        <w:snapToGrid w:val="0"/>
        <w:spacing w:line="360" w:lineRule="auto"/>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；较上年减少0万元，降低0%,主要是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本部门2019年度公务接待共0批次、0人次。公务接待费支出较预算减少0万元，降低0%,主要是</w:t>
      </w:r>
      <w:r>
        <w:rPr>
          <w:rFonts w:hint="eastAsia" w:ascii="仿宋_GB2312" w:eastAsia="仿宋_GB2312" w:cs="DengXian-Regular"/>
          <w:sz w:val="32"/>
          <w:szCs w:val="32"/>
        </w:rPr>
        <w:t>本部门本年度无相关收入和支出</w:t>
      </w:r>
      <w:r>
        <w:rPr>
          <w:rFonts w:hint="eastAsia" w:ascii="仿宋_GB2312" w:hAnsi="Times New Roman" w:eastAsia="仿宋_GB2312" w:cs="DengXian-Regular"/>
          <w:sz w:val="32"/>
          <w:szCs w:val="32"/>
        </w:rPr>
        <w:t>；较上年度减少0万元，降低0%,主要是</w:t>
      </w:r>
      <w:r>
        <w:rPr>
          <w:rFonts w:hint="eastAsia" w:ascii="仿宋_GB2312" w:eastAsia="仿宋_GB2312" w:cs="DengXian-Regular"/>
          <w:sz w:val="32"/>
          <w:szCs w:val="32"/>
        </w:rPr>
        <w:t>本部门本年度无相关收入和支出。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0个，二级项目0个，共涉及资金0万元，占一般公共预算项目支出总额的0%。从评价情况来看，本单位认真开展了预算绩效管理改革开展情况自查，对部门全面规范绩效预算编制、严格预算执行管理、推进绩效评价工作、推进预决算信息公开等方面进行了自评，我单位无项目。</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根据预算绩效管理要求，本单位组织对2019年度一般公共预算项目支出全面开展绩效自评，涉及0个项目，涉及资金0万元。从评价情况看，评价结果无变化。</w:t>
      </w:r>
    </w:p>
    <w:p>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0" w:firstLineChars="20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本部门2019年度机关运行经费支出5.04万元，比2018年度增加0.94万元，增长22.9%。主要原因是补发了2019年度第四季度公车补和目标绩效奖。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其中小微企业合同为0万元，</w:t>
      </w:r>
      <w:r>
        <w:rPr>
          <w:rFonts w:ascii="仿宋_GB2312" w:hAnsi="仿宋_GB2312" w:eastAsia="仿宋_GB2312" w:cs="仿宋_GB2312"/>
          <w:color w:val="000000"/>
          <w:kern w:val="0"/>
          <w:sz w:val="32"/>
          <w:szCs w:val="32"/>
        </w:rPr>
        <w:t>占政府采购支出总额的</w:t>
      </w:r>
      <w:r>
        <w:rPr>
          <w:rFonts w:hint="eastAsia" w:ascii="仿宋_GB2312" w:hAnsi="仿宋_GB2312" w:eastAsia="仿宋_GB2312" w:cs="仿宋_GB2312"/>
          <w:color w:val="000000"/>
          <w:kern w:val="0"/>
          <w:sz w:val="32"/>
          <w:szCs w:val="32"/>
        </w:rPr>
        <w:t>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无变化。其中，副部（省）级及以上领导用车0辆，主要领导干部用车0辆，机要通信用车0辆，应急保障用车0辆，执法执勤用车0辆，特种专业技术用车0辆，离退休干部用车0辆，其他用车0辆，与年初预算无增减变化；</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万元以上通用设备0台（套），比上年无增减变化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一般公共预算财政拨款“三公经费”支出、政府性基金预算财政拨款收入支出、国有资本经营预算财政拨款支出无收支及结转结余情况，故一般公共预算财政拨款“三公经费”支出、政府性基金预算财政拨款收入支出、国有资本经营预算财政拨款支出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55.34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40.64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55.34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55.34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55.34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55.34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680" w:type="dxa"/>
        <w:jc w:val="center"/>
        <w:tblLayout w:type="fixed"/>
        <w:tblCellMar>
          <w:top w:w="0" w:type="dxa"/>
          <w:left w:w="0" w:type="dxa"/>
          <w:bottom w:w="0" w:type="dxa"/>
          <w:right w:w="0" w:type="dxa"/>
        </w:tblCellMar>
      </w:tblPr>
      <w:tblGrid>
        <w:gridCol w:w="718"/>
        <w:gridCol w:w="50"/>
        <w:gridCol w:w="240"/>
        <w:gridCol w:w="1990"/>
        <w:gridCol w:w="817"/>
        <w:gridCol w:w="977"/>
        <w:gridCol w:w="977"/>
        <w:gridCol w:w="977"/>
        <w:gridCol w:w="977"/>
        <w:gridCol w:w="977"/>
        <w:gridCol w:w="980"/>
      </w:tblGrid>
      <w:tr>
        <w:tblPrEx>
          <w:tblCellMar>
            <w:top w:w="0" w:type="dxa"/>
            <w:left w:w="0" w:type="dxa"/>
            <w:bottom w:w="0" w:type="dxa"/>
            <w:right w:w="0" w:type="dxa"/>
          </w:tblCellMar>
        </w:tblPrEx>
        <w:trPr>
          <w:trHeight w:val="670" w:hRule="atLeast"/>
          <w:jc w:val="center"/>
        </w:trPr>
        <w:tc>
          <w:tcPr>
            <w:tcW w:w="96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5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3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99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99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99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9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9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99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57" w:hRule="atLeast"/>
          <w:jc w:val="center"/>
        </w:trPr>
        <w:tc>
          <w:tcPr>
            <w:tcW w:w="299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民主党派及工商联事务</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2012801</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9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700" w:type="dxa"/>
        <w:jc w:val="center"/>
        <w:tblLayout w:type="fixed"/>
        <w:tblCellMar>
          <w:top w:w="0" w:type="dxa"/>
          <w:left w:w="0" w:type="dxa"/>
          <w:bottom w:w="0" w:type="dxa"/>
          <w:right w:w="0" w:type="dxa"/>
        </w:tblCellMar>
      </w:tblPr>
      <w:tblGrid>
        <w:gridCol w:w="942"/>
        <w:gridCol w:w="53"/>
        <w:gridCol w:w="111"/>
        <w:gridCol w:w="1361"/>
        <w:gridCol w:w="1163"/>
        <w:gridCol w:w="1163"/>
        <w:gridCol w:w="1163"/>
        <w:gridCol w:w="1163"/>
        <w:gridCol w:w="1163"/>
        <w:gridCol w:w="1418"/>
      </w:tblGrid>
      <w:tr>
        <w:tblPrEx>
          <w:tblCellMar>
            <w:top w:w="0" w:type="dxa"/>
            <w:left w:w="0" w:type="dxa"/>
            <w:bottom w:w="0" w:type="dxa"/>
            <w:right w:w="0" w:type="dxa"/>
          </w:tblCellMar>
        </w:tblPrEx>
        <w:trPr>
          <w:trHeight w:val="612" w:hRule="atLeast"/>
          <w:jc w:val="center"/>
        </w:trPr>
        <w:tc>
          <w:tcPr>
            <w:tcW w:w="970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8"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8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6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民主党派及工商联事务</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2012801</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654"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70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424"/>
        <w:gridCol w:w="643"/>
        <w:gridCol w:w="709"/>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4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4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4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6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55.34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autofit"/>
        <w:tblCellMar>
          <w:top w:w="0" w:type="dxa"/>
          <w:left w:w="0" w:type="dxa"/>
          <w:bottom w:w="0" w:type="dxa"/>
          <w:right w:w="0" w:type="dxa"/>
        </w:tblCellMar>
      </w:tblPr>
      <w:tblGrid>
        <w:gridCol w:w="718"/>
        <w:gridCol w:w="41"/>
        <w:gridCol w:w="41"/>
        <w:gridCol w:w="3550"/>
        <w:gridCol w:w="2084"/>
        <w:gridCol w:w="2084"/>
        <w:gridCol w:w="1571"/>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7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民主党派及工商联事务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42.88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19.54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14.54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5.04</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Cs w:val="21"/>
        </w:rPr>
        <w:t>注：本部门本年度无</w:t>
      </w:r>
      <w:r>
        <w:rPr>
          <w:rFonts w:hint="eastAsia" w:cs="黑体" w:asciiTheme="majorEastAsia" w:hAnsiTheme="majorEastAsia" w:eastAsiaTheme="majorEastAsia"/>
          <w:color w:val="000000"/>
          <w:kern w:val="0"/>
          <w:szCs w:val="21"/>
        </w:rPr>
        <w:t>一般公共预算财政拨款“三公”经费支出</w:t>
      </w:r>
      <w:r>
        <w:rPr>
          <w:rFonts w:hint="eastAsia" w:ascii="宋体" w:hAnsi="宋体" w:cs="宋体"/>
          <w:color w:val="000000"/>
          <w:kern w:val="0"/>
          <w:szCs w:val="21"/>
        </w:rPr>
        <w:t>情况，按要求空表列示。</w:t>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rPr>
      </w:pPr>
      <w:r>
        <w:rPr>
          <w:rFonts w:hint="eastAsia"/>
        </w:rPr>
        <w:t>注：本表反映部门本年度政府性基金预算财政拨款收入、支出及结转和结余情况。</w:t>
      </w:r>
    </w:p>
    <w:p>
      <w:r>
        <w:rPr>
          <w:rFonts w:hint="eastAsia"/>
        </w:rPr>
        <w:t>本部门本年度本表无相关收入、支出、结余情况，按要求空表列示。</w:t>
      </w:r>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rPr>
      </w:pPr>
      <w:r>
        <w:rPr>
          <w:rFonts w:hint="eastAsia"/>
        </w:rPr>
        <w:t>注：：本表反映部门本年度国有资本经营预算财政拨款支出情况</w:t>
      </w:r>
    </w:p>
    <w:p>
      <w:r>
        <w:rPr>
          <w:rFonts w:hint="eastAsia"/>
        </w:rPr>
        <w:t>。本部门本年度无相关收入情况，按要求空表列示。</w:t>
      </w:r>
      <w:r>
        <w:br w:type="page"/>
      </w:r>
    </w:p>
    <w:p>
      <w:r>
        <w:pict>
          <v:rect id="_x0000_s1027" o:spid="_x0000_s1027"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Yu Gothic UI Semibold">
    <w:panose1 w:val="020B0700000000000000"/>
    <w:charset w:val="80"/>
    <w:family w:val="swiss"/>
    <w:pitch w:val="default"/>
    <w:sig w:usb0="E00002FF" w:usb1="2AC7FDFF" w:usb2="00000016" w:usb3="00000000" w:csb0="200200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8BABEB"/>
    <w:multiLevelType w:val="singleLevel"/>
    <w:tmpl w:val="D68BABE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23492"/>
    <w:rsid w:val="002650EC"/>
    <w:rsid w:val="002A6C46"/>
    <w:rsid w:val="002C19B5"/>
    <w:rsid w:val="003A4EE8"/>
    <w:rsid w:val="003B0C4E"/>
    <w:rsid w:val="00442CC2"/>
    <w:rsid w:val="00446244"/>
    <w:rsid w:val="00473C20"/>
    <w:rsid w:val="004D61CB"/>
    <w:rsid w:val="005011D6"/>
    <w:rsid w:val="00503F2E"/>
    <w:rsid w:val="00552226"/>
    <w:rsid w:val="00566120"/>
    <w:rsid w:val="00582E6D"/>
    <w:rsid w:val="005954D5"/>
    <w:rsid w:val="005A2150"/>
    <w:rsid w:val="005A53FA"/>
    <w:rsid w:val="005D1293"/>
    <w:rsid w:val="00644D5F"/>
    <w:rsid w:val="00657F86"/>
    <w:rsid w:val="006727AD"/>
    <w:rsid w:val="00691425"/>
    <w:rsid w:val="00696EE0"/>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25DDC"/>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92319"/>
    <w:rsid w:val="00EA05EC"/>
    <w:rsid w:val="00EC06F4"/>
    <w:rsid w:val="00EE4E36"/>
    <w:rsid w:val="00F665F4"/>
    <w:rsid w:val="00FD225F"/>
    <w:rsid w:val="03124CD5"/>
    <w:rsid w:val="05213B05"/>
    <w:rsid w:val="05B00A30"/>
    <w:rsid w:val="061B4802"/>
    <w:rsid w:val="06A601F5"/>
    <w:rsid w:val="0AD21EC6"/>
    <w:rsid w:val="0B011416"/>
    <w:rsid w:val="0BFD106E"/>
    <w:rsid w:val="0CB9311E"/>
    <w:rsid w:val="0D1E51E4"/>
    <w:rsid w:val="0D3754FE"/>
    <w:rsid w:val="0E2F74F3"/>
    <w:rsid w:val="0E3C2A37"/>
    <w:rsid w:val="105277EA"/>
    <w:rsid w:val="12B65B00"/>
    <w:rsid w:val="17013367"/>
    <w:rsid w:val="17EB6E72"/>
    <w:rsid w:val="1CAF424F"/>
    <w:rsid w:val="1D6B4C64"/>
    <w:rsid w:val="213D0E97"/>
    <w:rsid w:val="25DF3F28"/>
    <w:rsid w:val="2654111E"/>
    <w:rsid w:val="279960D2"/>
    <w:rsid w:val="28C14E13"/>
    <w:rsid w:val="29154E20"/>
    <w:rsid w:val="299F693C"/>
    <w:rsid w:val="29ED3FB8"/>
    <w:rsid w:val="2A4C1DB4"/>
    <w:rsid w:val="2BD324A1"/>
    <w:rsid w:val="2E836DB2"/>
    <w:rsid w:val="31C2036A"/>
    <w:rsid w:val="31DB08F8"/>
    <w:rsid w:val="320D02A5"/>
    <w:rsid w:val="33F73F5D"/>
    <w:rsid w:val="34727C18"/>
    <w:rsid w:val="348E566F"/>
    <w:rsid w:val="35373531"/>
    <w:rsid w:val="36646410"/>
    <w:rsid w:val="371629EF"/>
    <w:rsid w:val="3A226944"/>
    <w:rsid w:val="3ABF21D0"/>
    <w:rsid w:val="3AEE6A48"/>
    <w:rsid w:val="3B916D26"/>
    <w:rsid w:val="3C1620AA"/>
    <w:rsid w:val="3C35570F"/>
    <w:rsid w:val="3CDD1850"/>
    <w:rsid w:val="3D8F080F"/>
    <w:rsid w:val="3DED53A0"/>
    <w:rsid w:val="3F0022C2"/>
    <w:rsid w:val="40180D36"/>
    <w:rsid w:val="44CE1FA4"/>
    <w:rsid w:val="46412FA0"/>
    <w:rsid w:val="487F73ED"/>
    <w:rsid w:val="4A347EAE"/>
    <w:rsid w:val="4B0C4378"/>
    <w:rsid w:val="4C0C2C45"/>
    <w:rsid w:val="4DA06EA2"/>
    <w:rsid w:val="4DA36756"/>
    <w:rsid w:val="4DCD470D"/>
    <w:rsid w:val="4FE337C3"/>
    <w:rsid w:val="51217F90"/>
    <w:rsid w:val="52600405"/>
    <w:rsid w:val="529B4319"/>
    <w:rsid w:val="5301326C"/>
    <w:rsid w:val="530C2310"/>
    <w:rsid w:val="54F02738"/>
    <w:rsid w:val="57773DD6"/>
    <w:rsid w:val="578B79AB"/>
    <w:rsid w:val="5891094E"/>
    <w:rsid w:val="5C8831A0"/>
    <w:rsid w:val="5C9C6D28"/>
    <w:rsid w:val="5CA408C9"/>
    <w:rsid w:val="5CCD3FD5"/>
    <w:rsid w:val="5D792C22"/>
    <w:rsid w:val="5F6006F2"/>
    <w:rsid w:val="5F672A4D"/>
    <w:rsid w:val="601C4BC8"/>
    <w:rsid w:val="61035311"/>
    <w:rsid w:val="61696585"/>
    <w:rsid w:val="61FA5F9D"/>
    <w:rsid w:val="627E7E23"/>
    <w:rsid w:val="64AD44E3"/>
    <w:rsid w:val="64CD6910"/>
    <w:rsid w:val="6789158D"/>
    <w:rsid w:val="67D81BA4"/>
    <w:rsid w:val="68816619"/>
    <w:rsid w:val="68C86495"/>
    <w:rsid w:val="68EE12A7"/>
    <w:rsid w:val="694871E0"/>
    <w:rsid w:val="6AAF1C96"/>
    <w:rsid w:val="6E4C71A4"/>
    <w:rsid w:val="726C7B31"/>
    <w:rsid w:val="75681757"/>
    <w:rsid w:val="75A346A8"/>
    <w:rsid w:val="76357A87"/>
    <w:rsid w:val="770740BD"/>
    <w:rsid w:val="78184F66"/>
    <w:rsid w:val="79B9382C"/>
    <w:rsid w:val="7A3A56A9"/>
    <w:rsid w:val="7AB92C6C"/>
    <w:rsid w:val="7ABA1F99"/>
    <w:rsid w:val="7B043B76"/>
    <w:rsid w:val="7B266CB6"/>
    <w:rsid w:val="7C041A6A"/>
    <w:rsid w:val="7D84515D"/>
    <w:rsid w:val="7DCE2E54"/>
    <w:rsid w:val="7E327570"/>
    <w:rsid w:val="7E634DC4"/>
    <w:rsid w:val="7EFD3596"/>
    <w:rsid w:val="7F5525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6.png"/><Relationship Id="rId35" Type="http://schemas.openxmlformats.org/officeDocument/2006/relationships/image" Target="media/image5.png"/><Relationship Id="rId34" Type="http://schemas.openxmlformats.org/officeDocument/2006/relationships/image" Target="media/image4.png"/><Relationship Id="rId33" Type="http://schemas.openxmlformats.org/officeDocument/2006/relationships/image" Target="media/image3.png"/><Relationship Id="rId32" Type="http://schemas.openxmlformats.org/officeDocument/2006/relationships/image" Target="media/image2.png"/><Relationship Id="rId31" Type="http://schemas.openxmlformats.org/officeDocument/2006/relationships/theme" Target="theme/theme1.xml"/><Relationship Id="rId30" Type="http://schemas.openxmlformats.org/officeDocument/2006/relationships/footer" Target="footer12.xml"/><Relationship Id="rId3" Type="http://schemas.openxmlformats.org/officeDocument/2006/relationships/header" Target="header1.xml"/><Relationship Id="rId29" Type="http://schemas.openxmlformats.org/officeDocument/2006/relationships/header" Target="header16.xml"/><Relationship Id="rId28" Type="http://schemas.openxmlformats.org/officeDocument/2006/relationships/header" Target="header15.xml"/><Relationship Id="rId27" Type="http://schemas.openxmlformats.org/officeDocument/2006/relationships/header" Target="header14.xml"/><Relationship Id="rId26" Type="http://schemas.openxmlformats.org/officeDocument/2006/relationships/header" Target="header13.xml"/><Relationship Id="rId25" Type="http://schemas.openxmlformats.org/officeDocument/2006/relationships/header" Target="header12.xml"/><Relationship Id="rId24" Type="http://schemas.openxmlformats.org/officeDocument/2006/relationships/footer" Target="footer11.xml"/><Relationship Id="rId23" Type="http://schemas.openxmlformats.org/officeDocument/2006/relationships/footer" Target="footer10.xml"/><Relationship Id="rId22" Type="http://schemas.openxmlformats.org/officeDocument/2006/relationships/header" Target="header11.xml"/><Relationship Id="rId21" Type="http://schemas.openxmlformats.org/officeDocument/2006/relationships/header" Target="head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36"/>
    <customShpInfo spid="_x0000_s1035"/>
    <customShpInfo spid="_x0000_s1034"/>
    <customShpInfo spid="_x0000_s1026"/>
    <customShpInfo spid="_x0000_s1042"/>
    <customShpInfo spid="_x0000_s1039"/>
    <customShpInfo spid="_x0000_s1038"/>
    <customShpInfo spid="_x0000_s1037"/>
    <customShpInfo spid="_x0000_s1033"/>
    <customShpInfo spid="_x0000_s1041"/>
    <customShpInfo spid="_x0000_s1040"/>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31</Pages>
  <Words>7053</Words>
  <Characters>3401</Characters>
  <Lines>28</Lines>
  <Paragraphs>20</Paragraphs>
  <TotalTime>7</TotalTime>
  <ScaleCrop>false</ScaleCrop>
  <LinksUpToDate>false</LinksUpToDate>
  <CharactersWithSpaces>10434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浮生</cp:lastModifiedBy>
  <cp:lastPrinted>2020-07-30T02:37:00Z</cp:lastPrinted>
  <dcterms:modified xsi:type="dcterms:W3CDTF">2025-04-22T07:31:29Z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0E81C823720348D18E6E9D5FA4D20DB6</vt:lpwstr>
  </property>
</Properties>
</file>