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8A9" w:rsidRDefault="00E448A9">
      <w:pPr>
        <w:sectPr w:rsidR="00E448A9">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E448A9" w:rsidRDefault="00973ECB">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E448A9" w:rsidRDefault="00E448A9">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E448A9" w:rsidRDefault="00973ECB">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E448A9" w:rsidRDefault="00E448A9">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4902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E448A9" w:rsidRDefault="00973ECB">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E448A9" w:rsidRDefault="00E448A9"/>
              </w:txbxContent>
            </v:textbox>
          </v:rect>
        </w:pict>
      </w:r>
    </w:p>
    <w:p w:rsidR="00E448A9" w:rsidRDefault="00E448A9"/>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973ECB">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E448A9" w:rsidRDefault="00973ECB">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E448A9" w:rsidRDefault="00E448A9">
      <w:pPr>
        <w:rPr>
          <w:rFonts w:ascii="黑体" w:eastAsia="黑体" w:hAnsi="黑体" w:cs="黑体"/>
          <w:sz w:val="56"/>
          <w:szCs w:val="72"/>
        </w:rPr>
      </w:pPr>
    </w:p>
    <w:p w:rsidR="00E448A9" w:rsidRDefault="00973ECB">
      <w:pPr>
        <w:jc w:val="cente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E448A9" w:rsidRDefault="00E448A9">
      <w:pPr>
        <w:spacing w:line="360" w:lineRule="auto"/>
        <w:jc w:val="center"/>
        <w:rPr>
          <w:rFonts w:ascii="黑体" w:eastAsia="黑体" w:hAnsi="黑体" w:cs="黑体"/>
          <w:sz w:val="56"/>
          <w:szCs w:val="72"/>
        </w:rPr>
      </w:pPr>
    </w:p>
    <w:p w:rsidR="00E448A9" w:rsidRDefault="00E448A9">
      <w:pPr>
        <w:spacing w:line="600" w:lineRule="auto"/>
        <w:jc w:val="center"/>
        <w:rPr>
          <w:rFonts w:ascii="黑体" w:eastAsia="黑体" w:hAnsi="黑体" w:cs="黑体"/>
          <w:sz w:val="56"/>
          <w:szCs w:val="72"/>
        </w:rPr>
      </w:pPr>
    </w:p>
    <w:p w:rsidR="00E448A9" w:rsidRDefault="00E448A9">
      <w:pPr>
        <w:spacing w:line="600" w:lineRule="auto"/>
        <w:jc w:val="center"/>
        <w:rPr>
          <w:rFonts w:ascii="黑体" w:eastAsia="黑体" w:hAnsi="黑体" w:cs="黑体"/>
          <w:sz w:val="56"/>
          <w:szCs w:val="72"/>
        </w:rPr>
      </w:pPr>
    </w:p>
    <w:p w:rsidR="00E448A9" w:rsidRDefault="00E448A9">
      <w:pPr>
        <w:spacing w:line="480" w:lineRule="auto"/>
        <w:jc w:val="center"/>
        <w:rPr>
          <w:rFonts w:ascii="黑体" w:eastAsia="黑体" w:hAnsi="黑体" w:cs="黑体"/>
          <w:sz w:val="56"/>
          <w:szCs w:val="72"/>
        </w:rPr>
      </w:pPr>
    </w:p>
    <w:p w:rsidR="00E448A9" w:rsidRDefault="00E448A9">
      <w:pPr>
        <w:spacing w:line="480" w:lineRule="auto"/>
        <w:jc w:val="center"/>
        <w:rPr>
          <w:rFonts w:ascii="黑体" w:eastAsia="黑体" w:hAnsi="黑体" w:cs="黑体"/>
          <w:sz w:val="56"/>
          <w:szCs w:val="72"/>
        </w:rPr>
      </w:pPr>
    </w:p>
    <w:p w:rsidR="00E448A9" w:rsidRDefault="00E448A9">
      <w:pPr>
        <w:spacing w:line="480" w:lineRule="auto"/>
        <w:jc w:val="center"/>
        <w:rPr>
          <w:rFonts w:ascii="黑体" w:eastAsia="黑体" w:hAnsi="黑体" w:cs="黑体"/>
          <w:sz w:val="56"/>
          <w:szCs w:val="72"/>
        </w:rPr>
      </w:pPr>
    </w:p>
    <w:p w:rsidR="00E448A9" w:rsidRDefault="00E448A9">
      <w:pPr>
        <w:snapToGrid w:val="0"/>
        <w:spacing w:line="480" w:lineRule="auto"/>
        <w:jc w:val="center"/>
        <w:rPr>
          <w:rFonts w:ascii="黑体" w:eastAsia="黑体" w:hAnsi="黑体" w:cs="黑体"/>
          <w:sz w:val="56"/>
          <w:szCs w:val="72"/>
        </w:rPr>
      </w:pPr>
    </w:p>
    <w:p w:rsidR="00E448A9" w:rsidRDefault="00E448A9">
      <w:pPr>
        <w:snapToGrid w:val="0"/>
        <w:spacing w:line="480" w:lineRule="auto"/>
        <w:jc w:val="center"/>
        <w:rPr>
          <w:rFonts w:ascii="黑体" w:eastAsia="黑体" w:hAnsi="黑体" w:cs="黑体"/>
          <w:sz w:val="56"/>
          <w:szCs w:val="72"/>
        </w:rPr>
      </w:pPr>
    </w:p>
    <w:p w:rsidR="00E448A9" w:rsidRDefault="00973ECB">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农业农村局</w:t>
      </w:r>
    </w:p>
    <w:p w:rsidR="00E448A9" w:rsidRDefault="00973ECB">
      <w:pPr>
        <w:snapToGrid w:val="0"/>
        <w:jc w:val="center"/>
        <w:rPr>
          <w:rFonts w:ascii="楷体_GB2312" w:eastAsia="楷体_GB2312" w:hAnsi="楷体_GB2312" w:cs="楷体_GB2312"/>
          <w:color w:val="000000" w:themeColor="text1"/>
          <w:kern w:val="0"/>
          <w:sz w:val="44"/>
          <w:szCs w:val="44"/>
        </w:rPr>
        <w:sectPr w:rsidR="00E448A9">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E448A9" w:rsidRDefault="00E448A9">
      <w:pPr>
        <w:tabs>
          <w:tab w:val="left" w:pos="2728"/>
        </w:tabs>
        <w:jc w:val="center"/>
        <w:rPr>
          <w:rFonts w:ascii="黑体" w:eastAsia="黑体" w:hAnsi="Times New Roman" w:cs="Times New Roman"/>
          <w:sz w:val="48"/>
          <w:szCs w:val="48"/>
        </w:rPr>
      </w:pPr>
    </w:p>
    <w:p w:rsidR="00E448A9" w:rsidRDefault="00973ECB">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973ECB">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E448A9" w:rsidRDefault="00973ECB" w:rsidP="00CD51C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E448A9" w:rsidRDefault="00973ECB" w:rsidP="00CD51C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E448A9" w:rsidRDefault="00973EC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E448A9" w:rsidRDefault="00973EC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E448A9" w:rsidRDefault="00973EC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E448A9" w:rsidRDefault="00973ECB">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sectPr w:rsidR="00E448A9">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E448A9" w:rsidRDefault="00E448A9">
      <w:pPr>
        <w:widowControl/>
        <w:spacing w:line="580" w:lineRule="exact"/>
        <w:ind w:firstLineChars="200" w:firstLine="640"/>
        <w:rPr>
          <w:rFonts w:eastAsia="黑体"/>
          <w:sz w:val="32"/>
          <w:szCs w:val="32"/>
        </w:rPr>
      </w:pPr>
    </w:p>
    <w:p w:rsidR="00E448A9" w:rsidRDefault="00E448A9">
      <w:pPr>
        <w:widowControl/>
        <w:spacing w:line="580" w:lineRule="exact"/>
        <w:ind w:firstLineChars="200" w:firstLine="640"/>
        <w:rPr>
          <w:rFonts w:eastAsia="黑体"/>
          <w:sz w:val="32"/>
          <w:szCs w:val="32"/>
        </w:rPr>
      </w:pPr>
    </w:p>
    <w:p w:rsidR="00E448A9" w:rsidRDefault="00E448A9">
      <w:pPr>
        <w:widowControl/>
        <w:spacing w:line="580" w:lineRule="exact"/>
        <w:ind w:firstLineChars="200" w:firstLine="640"/>
        <w:rPr>
          <w:rFonts w:eastAsia="黑体"/>
          <w:sz w:val="32"/>
          <w:szCs w:val="32"/>
        </w:rPr>
      </w:pPr>
    </w:p>
    <w:p w:rsidR="00E448A9" w:rsidRDefault="00E448A9">
      <w:r w:rsidRPr="00E448A9">
        <w:rPr>
          <w:sz w:val="72"/>
        </w:rPr>
        <w:pict>
          <v:shape id="_x0000_s1032" type="#_x0000_t202" style="position:absolute;left:0;text-align:left;margin-left:-85.7pt;margin-top:80.7pt;width:613.65pt;height:263.1pt;z-index:251670528;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2" o:title="image1" color2="white [3212]" type="pattern"/>
            <v:stroke joinstyle="round"/>
            <v:textbox>
              <w:txbxContent>
                <w:p w:rsidR="00E448A9" w:rsidRDefault="00973ECB">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973ECB">
        <w:br w:type="page"/>
      </w:r>
    </w:p>
    <w:p w:rsidR="00E448A9" w:rsidRDefault="00973ECB">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根据《农业农村局职能配置、内设机构和人员编制规定》，</w:t>
      </w: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农业农村局的主要职责是：贯彻落实党中央、省、市委和县委关于“三农”工作的方针政策和决策部署，坚持和加强党对“三农”工作的集中统一领导。主要职责是：</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一）统筹研究和组织实施全县“三农”工作的发展战略、中长期规划、重大政策。组织起草农业农村有关规范性文件草案，负责全县农业综合执法。参与涉农的财税、价格、收储、金融保险、进出口等政策制定。</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（二）协调推动发展全县农村社会事业、农村公共服务、农村文化、农村基础设施和乡村治理。牵头组织改善农村人居环境。协调推进乡村文明和优秀农耕文化建设。指导农业行业安全生产工作。</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（四）指导全县乡村产业、农产品加工业和休闲农业发展工作。提出促进大宗农产品流通的建议，培育、保护农业品牌。发</w:t>
      </w:r>
      <w:r>
        <w:rPr>
          <w:rFonts w:ascii="Times New Roman" w:eastAsia="仿宋" w:hAnsi="Times New Roman" w:cs="Times New Roman" w:hint="eastAsia"/>
          <w:sz w:val="32"/>
          <w:szCs w:val="32"/>
        </w:rPr>
        <w:lastRenderedPageBreak/>
        <w:t>布农业农村经济信息，监测分析农业农村经济运行。承担农业统计和农业农村信息化有关工作。</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（五）负责全县种植业、畜牧业、渔业、农垦、农业机械化等农业各产业的监督管理</w:t>
      </w:r>
      <w:r>
        <w:rPr>
          <w:rFonts w:ascii="Times New Roman" w:eastAsia="仿宋" w:hAnsi="Times New Roman" w:cs="Times New Roman" w:hint="eastAsia"/>
          <w:sz w:val="32"/>
          <w:szCs w:val="32"/>
        </w:rPr>
        <w:t>。指导粮、棉、油、菜、水果、肉、蛋、奶、蜜、渔等农产品生产。组织构建现代农业产业体系、生产体系、经营体系，指导农业标准化生产。负责渔业管理和渔政监督管理。</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（六）负责全县农产品质量安全监督管理。组织开展农产品质量安全监测、追溯、风险评估和监督抽查。会同有关部门组织实施农产品质量安全地方标准。指导农业检验监测体系建设。</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七）负责全县农业资源保护、开发与利用。指导农用地和农业生物物种资源的保护与管理，负责水生野生动植物保护、耕地及永久基本农田质量保护工作。指导农产品产地环境管理和农业清洁生产。指导设施农业、生</w:t>
      </w:r>
      <w:r>
        <w:rPr>
          <w:rFonts w:ascii="Times New Roman" w:eastAsia="仿宋" w:hAnsi="Times New Roman" w:cs="Times New Roman" w:hint="eastAsia"/>
          <w:sz w:val="32"/>
          <w:szCs w:val="32"/>
        </w:rPr>
        <w:t>态循环农业、节水农业发展以及农村可再生能源综合开发利用、农业生物质产业发展。牵头管理外来物种。</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（八）负责有关农业生产资料和农业投入品的监督管理。组织农业生产资料市场体系建设。组织兽医医政、兽药药政药检工作，负责执业兽医和畜禽屠宰行业管理。</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（九）负责农业防灾减灾、农作物重大病虫害预测预报及</w:t>
      </w:r>
      <w:r>
        <w:rPr>
          <w:rFonts w:ascii="Times New Roman" w:eastAsia="仿宋" w:hAnsi="Times New Roman" w:cs="Times New Roman" w:hint="eastAsia"/>
          <w:sz w:val="32"/>
          <w:szCs w:val="32"/>
        </w:rPr>
        <w:lastRenderedPageBreak/>
        <w:t>防治工作。指导动植物防疫检疫体系建设，组织、监督全县动植物防疫检疫工作，依法发布疫情并组织扑灭。</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（十）负责农业投资管理。提出农业投融资体制机制改革建议。编制县级投资安排的农业投资项目建设规划，提出农业投资规模和方向、</w:t>
      </w:r>
      <w:r>
        <w:rPr>
          <w:rFonts w:ascii="Times New Roman" w:eastAsia="仿宋" w:hAnsi="Times New Roman" w:cs="Times New Roman" w:hint="eastAsia"/>
          <w:sz w:val="32"/>
          <w:szCs w:val="32"/>
        </w:rPr>
        <w:t>扶持农业农村发展财政项目的建议，</w:t>
      </w: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按规定权限审批农业投资项目，负责农业投资项目资金安排和监督管理。</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（十二）负责农业农村人才工作。拟订农业农村人才队伍建设规划并组织实施，负责农业教育和农业职业技能开发，负责新型职业农民培育、农业科技人才培养和农村实用人才培训工作。</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（十三）牵头开展农业对外合作工作。</w:t>
      </w:r>
      <w:r>
        <w:rPr>
          <w:rFonts w:ascii="Times New Roman" w:eastAsia="仿宋" w:hAnsi="Times New Roman" w:cs="Times New Roman" w:hint="eastAsia"/>
          <w:sz w:val="32"/>
          <w:szCs w:val="32"/>
        </w:rPr>
        <w:t>组织开展对外农业贸易和有关交流合作。</w:t>
      </w:r>
    </w:p>
    <w:p w:rsidR="00E448A9" w:rsidRDefault="00973ECB">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（十四）完成县委、县政府和县委农村工作领导小组交办的其他任务。</w:t>
      </w:r>
    </w:p>
    <w:p w:rsidR="00E448A9" w:rsidRDefault="00973ECB">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E448A9" w:rsidRDefault="00973ECB">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E448A9">
        <w:trPr>
          <w:trHeight w:val="811"/>
          <w:jc w:val="center"/>
        </w:trPr>
        <w:tc>
          <w:tcPr>
            <w:tcW w:w="985" w:type="dxa"/>
            <w:vAlign w:val="center"/>
          </w:tcPr>
          <w:p w:rsidR="00E448A9" w:rsidRDefault="00973EC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lastRenderedPageBreak/>
              <w:t>序号</w:t>
            </w:r>
          </w:p>
        </w:tc>
        <w:tc>
          <w:tcPr>
            <w:tcW w:w="3485" w:type="dxa"/>
            <w:vAlign w:val="center"/>
          </w:tcPr>
          <w:p w:rsidR="00E448A9" w:rsidRDefault="00973EC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E448A9" w:rsidRDefault="00973EC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E448A9" w:rsidRDefault="00973EC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E448A9">
        <w:trPr>
          <w:trHeight w:val="596"/>
          <w:jc w:val="center"/>
        </w:trPr>
        <w:tc>
          <w:tcPr>
            <w:tcW w:w="985" w:type="dxa"/>
          </w:tcPr>
          <w:p w:rsidR="00E448A9" w:rsidRDefault="00973EC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E448A9" w:rsidRDefault="00973ECB">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无极县农业农村局</w:t>
            </w:r>
          </w:p>
        </w:tc>
        <w:tc>
          <w:tcPr>
            <w:tcW w:w="2445" w:type="dxa"/>
          </w:tcPr>
          <w:p w:rsidR="00E448A9" w:rsidRDefault="00973EC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E448A9" w:rsidRDefault="00973EC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w:t>
            </w:r>
            <w:r>
              <w:rPr>
                <w:rFonts w:ascii="仿宋_GB2312" w:eastAsia="仿宋_GB2312" w:hAnsi="Calibri" w:cs="ArialUnicodeMS" w:hint="eastAsia"/>
                <w:kern w:val="0"/>
                <w:sz w:val="28"/>
                <w:szCs w:val="28"/>
              </w:rPr>
              <w:t>拨款</w:t>
            </w:r>
          </w:p>
        </w:tc>
      </w:tr>
      <w:tr w:rsidR="00E448A9">
        <w:trPr>
          <w:trHeight w:val="606"/>
          <w:jc w:val="center"/>
        </w:trPr>
        <w:tc>
          <w:tcPr>
            <w:tcW w:w="9580" w:type="dxa"/>
            <w:gridSpan w:val="4"/>
            <w:tcBorders>
              <w:top w:val="single" w:sz="4" w:space="0" w:color="auto"/>
              <w:left w:val="nil"/>
              <w:bottom w:val="nil"/>
              <w:right w:val="nil"/>
            </w:tcBorders>
          </w:tcPr>
          <w:p w:rsidR="00E448A9" w:rsidRDefault="00E448A9">
            <w:pPr>
              <w:spacing w:line="560" w:lineRule="exact"/>
              <w:ind w:firstLineChars="200" w:firstLine="560"/>
              <w:jc w:val="left"/>
              <w:rPr>
                <w:rFonts w:ascii="仿宋_GB2312" w:eastAsia="仿宋_GB2312" w:hAnsi="Calibri" w:cs="ArialUnicodeMS"/>
                <w:kern w:val="0"/>
                <w:sz w:val="28"/>
                <w:szCs w:val="28"/>
              </w:rPr>
            </w:pPr>
          </w:p>
        </w:tc>
      </w:tr>
    </w:tbl>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pPr>
    </w:p>
    <w:p w:rsidR="00E448A9" w:rsidRDefault="00E448A9">
      <w:pPr>
        <w:widowControl/>
        <w:spacing w:after="160" w:line="580" w:lineRule="exact"/>
        <w:ind w:firstLineChars="200" w:firstLine="640"/>
        <w:rPr>
          <w:rFonts w:ascii="Times New Roman" w:eastAsia="黑体" w:hAnsi="Times New Roman" w:cs="Times New Roman"/>
          <w:sz w:val="32"/>
          <w:szCs w:val="32"/>
        </w:rPr>
        <w:sectPr w:rsidR="00E448A9">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E448A9" w:rsidRDefault="00E448A9">
      <w:pPr>
        <w:widowControl/>
        <w:spacing w:after="160" w:line="580" w:lineRule="exact"/>
        <w:ind w:firstLineChars="200" w:firstLine="1440"/>
        <w:rPr>
          <w:sz w:val="72"/>
        </w:rPr>
      </w:pPr>
      <w:r>
        <w:rPr>
          <w:sz w:val="72"/>
        </w:rPr>
        <w:lastRenderedPageBreak/>
        <w:pict>
          <v:shape id="_x0000_s1031"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E448A9" w:rsidRDefault="00E448A9">
                  <w:pPr>
                    <w:widowControl/>
                    <w:jc w:val="center"/>
                    <w:rPr>
                      <w:rFonts w:ascii="黑体" w:eastAsia="黑体" w:hAnsi="黑体" w:cs="黑体"/>
                      <w:color w:val="000000" w:themeColor="text1"/>
                      <w:sz w:val="96"/>
                      <w:szCs w:val="96"/>
                    </w:rPr>
                  </w:pPr>
                </w:p>
                <w:p w:rsidR="00E448A9" w:rsidRDefault="00E448A9">
                  <w:pPr>
                    <w:widowControl/>
                    <w:jc w:val="center"/>
                    <w:rPr>
                      <w:rFonts w:ascii="黑体" w:eastAsia="黑体" w:hAnsi="黑体" w:cs="黑体"/>
                      <w:color w:val="000000" w:themeColor="text1"/>
                      <w:sz w:val="96"/>
                      <w:szCs w:val="96"/>
                    </w:rPr>
                  </w:pPr>
                </w:p>
              </w:txbxContent>
            </v:textbox>
          </v:shape>
        </w:pict>
      </w: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widowControl/>
        <w:spacing w:after="160" w:line="580" w:lineRule="exact"/>
        <w:ind w:firstLineChars="200" w:firstLine="1440"/>
        <w:rPr>
          <w:sz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r w:rsidRPr="00E448A9">
        <w:rPr>
          <w:sz w:val="72"/>
        </w:rPr>
        <w:pict>
          <v:shape id="_x0000_s1030" type="#_x0000_t202" style="position:absolute;left:0;text-align:left;margin-left:-90.8pt;margin-top:4.35pt;width:613.65pt;height:263.1pt;z-index:251686912;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2" o:title="image1" color2="white [3212]" type="pattern"/>
            <v:stroke joinstyle="round"/>
            <v:textbox>
              <w:txbxContent>
                <w:p w:rsidR="00E448A9" w:rsidRDefault="00973EC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E448A9" w:rsidRDefault="00973EC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E448A9" w:rsidRDefault="00E448A9"/>
              </w:txbxContent>
            </v:textbox>
          </v:shape>
        </w:pict>
      </w: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E448A9">
      <w:pPr>
        <w:jc w:val="center"/>
        <w:rPr>
          <w:rFonts w:ascii="黑体" w:eastAsia="黑体" w:hAnsi="黑体" w:cs="黑体"/>
          <w:sz w:val="56"/>
          <w:szCs w:val="72"/>
        </w:rPr>
      </w:pP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60860.18</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w:t>
      </w:r>
      <w:r>
        <w:rPr>
          <w:rFonts w:ascii="仿宋_GB2312" w:eastAsia="仿宋_GB2312" w:hAnsi="Times New Roman" w:cs="DengXian-Regular" w:hint="eastAsia"/>
          <w:sz w:val="32"/>
          <w:szCs w:val="32"/>
        </w:rPr>
        <w:t>支</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17502.23</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40.37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机构合并，职能增加，专项支出增加</w:t>
      </w:r>
      <w:r>
        <w:rPr>
          <w:rFonts w:ascii="仿宋_GB2312" w:eastAsia="仿宋_GB2312" w:hAnsi="Times New Roman" w:cs="DengXian-Regular" w:hint="eastAsia"/>
          <w:sz w:val="32"/>
          <w:szCs w:val="32"/>
        </w:rPr>
        <w:t>。</w:t>
      </w: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47395.6</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47395.6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E448A9" w:rsidRDefault="00E448A9">
      <w:pPr>
        <w:adjustRightInd w:val="0"/>
        <w:snapToGrid w:val="0"/>
        <w:spacing w:line="580" w:lineRule="exact"/>
        <w:ind w:firstLineChars="300" w:firstLine="960"/>
        <w:rPr>
          <w:rFonts w:ascii="仿宋_GB2312" w:eastAsia="仿宋_GB2312" w:hAnsi="Times New Roman" w:cs="DengXian-Regular"/>
          <w:sz w:val="32"/>
          <w:szCs w:val="32"/>
          <w:highlight w:val="yellow"/>
        </w:rPr>
      </w:pPr>
    </w:p>
    <w:p w:rsidR="00E448A9" w:rsidRDefault="00973ECB">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92032" behindDoc="0" locked="0" layoutInCell="1" allowOverlap="1">
            <wp:simplePos x="0" y="0"/>
            <wp:positionH relativeFrom="column">
              <wp:posOffset>1483360</wp:posOffset>
            </wp:positionH>
            <wp:positionV relativeFrom="paragraph">
              <wp:posOffset>36195</wp:posOffset>
            </wp:positionV>
            <wp:extent cx="2797175" cy="2266950"/>
            <wp:effectExtent l="47625" t="4445" r="50800" b="109855"/>
            <wp:wrapNone/>
            <wp:docPr id="2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bookmarkStart w:id="0" w:name="_GoBack"/>
      <w:bookmarkEnd w:id="0"/>
    </w:p>
    <w:p w:rsidR="00E448A9" w:rsidRDefault="00E448A9">
      <w:pPr>
        <w:keepNext/>
        <w:keepLines/>
        <w:snapToGrid w:val="0"/>
        <w:spacing w:line="580" w:lineRule="exact"/>
        <w:ind w:firstLineChars="200" w:firstLine="640"/>
        <w:outlineLvl w:val="1"/>
        <w:rPr>
          <w:rFonts w:ascii="黑体" w:eastAsia="黑体" w:hAnsi="Calibri" w:cs="Times New Roman"/>
          <w:sz w:val="32"/>
          <w:szCs w:val="32"/>
        </w:rPr>
      </w:pPr>
    </w:p>
    <w:p w:rsidR="00E448A9" w:rsidRDefault="00E448A9">
      <w:pPr>
        <w:keepNext/>
        <w:keepLines/>
        <w:snapToGrid w:val="0"/>
        <w:spacing w:line="580" w:lineRule="exact"/>
        <w:ind w:firstLineChars="200" w:firstLine="640"/>
        <w:outlineLvl w:val="1"/>
        <w:rPr>
          <w:rFonts w:ascii="黑体" w:eastAsia="黑体" w:hAnsi="Calibri" w:cs="Times New Roman"/>
          <w:sz w:val="32"/>
          <w:szCs w:val="32"/>
        </w:rPr>
      </w:pPr>
    </w:p>
    <w:p w:rsidR="00E448A9" w:rsidRDefault="00E448A9">
      <w:pPr>
        <w:keepNext/>
        <w:keepLines/>
        <w:snapToGrid w:val="0"/>
        <w:spacing w:line="580" w:lineRule="exact"/>
        <w:ind w:firstLineChars="200" w:firstLine="640"/>
        <w:outlineLvl w:val="1"/>
        <w:rPr>
          <w:rFonts w:ascii="黑体" w:eastAsia="黑体" w:hAnsi="Calibri" w:cs="Times New Roman"/>
          <w:sz w:val="32"/>
          <w:szCs w:val="32"/>
        </w:rPr>
      </w:pPr>
    </w:p>
    <w:p w:rsidR="00E448A9" w:rsidRDefault="00E448A9">
      <w:pPr>
        <w:keepNext/>
        <w:keepLines/>
        <w:snapToGrid w:val="0"/>
        <w:spacing w:line="580" w:lineRule="exact"/>
        <w:ind w:firstLineChars="200" w:firstLine="640"/>
        <w:outlineLvl w:val="1"/>
        <w:rPr>
          <w:rFonts w:ascii="黑体" w:eastAsia="黑体" w:hAnsi="Calibri" w:cs="Times New Roman"/>
          <w:sz w:val="32"/>
          <w:szCs w:val="32"/>
        </w:rPr>
      </w:pP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E448A9" w:rsidRDefault="00973ECB">
      <w:pPr>
        <w:adjustRightInd w:val="0"/>
        <w:snapToGrid w:val="0"/>
        <w:spacing w:line="580" w:lineRule="exact"/>
        <w:ind w:firstLineChars="200" w:firstLine="640"/>
        <w:rPr>
          <w:rFonts w:ascii="仿宋_GB2312" w:eastAsia="仿宋_GB2312" w:hAnsi="Times New Roman" w:cs="DengXian-Regular" w:hint="eastAsia"/>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28058.43</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1842.11</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6.57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26216.32</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lastRenderedPageBreak/>
        <w:t>93.43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CD51C6" w:rsidRDefault="00CD51C6">
      <w:pPr>
        <w:adjustRightInd w:val="0"/>
        <w:snapToGrid w:val="0"/>
        <w:spacing w:line="580" w:lineRule="exact"/>
        <w:ind w:firstLineChars="200" w:firstLine="640"/>
        <w:rPr>
          <w:rFonts w:ascii="仿宋_GB2312" w:eastAsia="仿宋_GB2312" w:hAnsi="Times New Roman" w:cs="DengXian-Regular"/>
          <w:sz w:val="32"/>
          <w:szCs w:val="32"/>
        </w:rPr>
      </w:pPr>
    </w:p>
    <w:p w:rsidR="00E448A9" w:rsidRDefault="00973ECB">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93056" behindDoc="0" locked="0" layoutInCell="1" allowOverlap="1">
            <wp:simplePos x="0" y="0"/>
            <wp:positionH relativeFrom="column">
              <wp:posOffset>496570</wp:posOffset>
            </wp:positionH>
            <wp:positionV relativeFrom="paragraph">
              <wp:posOffset>111125</wp:posOffset>
            </wp:positionV>
            <wp:extent cx="4219575" cy="2434590"/>
            <wp:effectExtent l="47625" t="4445" r="57150" b="113665"/>
            <wp:wrapNone/>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p>
    <w:p w:rsidR="00E448A9" w:rsidRDefault="00E448A9">
      <w:pPr>
        <w:adjustRightInd w:val="0"/>
        <w:snapToGrid w:val="0"/>
        <w:spacing w:line="580" w:lineRule="exact"/>
        <w:ind w:firstLineChars="600" w:firstLine="1920"/>
        <w:rPr>
          <w:rFonts w:ascii="仿宋_GB2312" w:eastAsia="仿宋_GB2312" w:hAnsi="Times New Roman" w:cs="DengXian-Regular"/>
          <w:sz w:val="32"/>
          <w:szCs w:val="32"/>
        </w:rPr>
      </w:pPr>
    </w:p>
    <w:p w:rsidR="00CD51C6" w:rsidRDefault="00CD51C6">
      <w:pPr>
        <w:keepNext/>
        <w:keepLines/>
        <w:snapToGrid w:val="0"/>
        <w:spacing w:line="580" w:lineRule="exact"/>
        <w:ind w:firstLineChars="200" w:firstLine="640"/>
        <w:outlineLvl w:val="1"/>
        <w:rPr>
          <w:rFonts w:ascii="黑体" w:eastAsia="黑体" w:hAnsi="Calibri" w:cs="Times New Roman" w:hint="eastAsia"/>
          <w:sz w:val="32"/>
          <w:szCs w:val="32"/>
        </w:rPr>
      </w:pPr>
    </w:p>
    <w:p w:rsidR="00CD51C6" w:rsidRDefault="00CD51C6">
      <w:pPr>
        <w:keepNext/>
        <w:keepLines/>
        <w:snapToGrid w:val="0"/>
        <w:spacing w:line="580" w:lineRule="exact"/>
        <w:ind w:firstLineChars="200" w:firstLine="640"/>
        <w:outlineLvl w:val="1"/>
        <w:rPr>
          <w:rFonts w:ascii="黑体" w:eastAsia="黑体" w:hAnsi="Calibri" w:cs="Times New Roman" w:hint="eastAsia"/>
          <w:sz w:val="32"/>
          <w:szCs w:val="32"/>
        </w:rPr>
      </w:pPr>
    </w:p>
    <w:p w:rsidR="00CD51C6" w:rsidRDefault="00CD51C6">
      <w:pPr>
        <w:keepNext/>
        <w:keepLines/>
        <w:snapToGrid w:val="0"/>
        <w:spacing w:line="580" w:lineRule="exact"/>
        <w:ind w:firstLineChars="200" w:firstLine="640"/>
        <w:outlineLvl w:val="1"/>
        <w:rPr>
          <w:rFonts w:ascii="黑体" w:eastAsia="黑体" w:hAnsi="Calibri" w:cs="Times New Roman" w:hint="eastAsia"/>
          <w:sz w:val="32"/>
          <w:szCs w:val="32"/>
        </w:rPr>
      </w:pPr>
    </w:p>
    <w:p w:rsidR="00CD51C6" w:rsidRDefault="00CD51C6">
      <w:pPr>
        <w:keepNext/>
        <w:keepLines/>
        <w:snapToGrid w:val="0"/>
        <w:spacing w:line="580" w:lineRule="exact"/>
        <w:ind w:firstLineChars="200" w:firstLine="640"/>
        <w:outlineLvl w:val="1"/>
        <w:rPr>
          <w:rFonts w:ascii="黑体" w:eastAsia="黑体" w:hAnsi="Calibri" w:cs="Times New Roman" w:hint="eastAsia"/>
          <w:sz w:val="32"/>
          <w:szCs w:val="32"/>
        </w:rPr>
      </w:pP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E448A9" w:rsidRDefault="00973ECB">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47395.6</w:t>
      </w:r>
      <w:r>
        <w:rPr>
          <w:rFonts w:ascii="仿宋_GB2312" w:eastAsia="仿宋_GB2312" w:hAnsi="Times New Roman" w:cs="DengXian-Regular" w:hint="eastAsia"/>
          <w:sz w:val="32"/>
          <w:szCs w:val="32"/>
        </w:rPr>
        <w:t>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5262.85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12.49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机构合并，职能增加，专款增加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28058.43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1725.31</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降低</w:t>
      </w:r>
      <w:r>
        <w:rPr>
          <w:rFonts w:ascii="仿宋_GB2312" w:eastAsia="仿宋_GB2312" w:hAnsi="Times New Roman" w:cs="DengXian-Regular" w:hint="eastAsia"/>
          <w:sz w:val="32"/>
          <w:szCs w:val="32"/>
        </w:rPr>
        <w:t>5.79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财政资金紧张，项目支出缓慢</w:t>
      </w:r>
      <w:r>
        <w:rPr>
          <w:rFonts w:ascii="仿宋_GB2312" w:eastAsia="仿宋_GB2312" w:hAnsi="Times New Roman" w:cs="DengXian-Regular" w:hint="eastAsia"/>
          <w:sz w:val="32"/>
          <w:szCs w:val="32"/>
        </w:rPr>
        <w:t>。具体情况如下：</w:t>
      </w:r>
    </w:p>
    <w:p w:rsidR="00E448A9" w:rsidRDefault="00973ECB">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hint="eastAsia"/>
          <w:sz w:val="32"/>
          <w:szCs w:val="32"/>
        </w:rPr>
        <w:t>46926.03</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4889.77</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机构合并，职能增加，专款增加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27588.86</w:t>
      </w:r>
      <w:r>
        <w:rPr>
          <w:rFonts w:ascii="仿宋_GB2312" w:eastAsia="仿宋_GB2312" w:hAnsi="Times New Roman" w:cs="DengXian-Regular" w:hint="eastAsia"/>
          <w:sz w:val="32"/>
          <w:szCs w:val="32"/>
        </w:rPr>
        <w:t>万元，比上年减少</w:t>
      </w:r>
      <w:r>
        <w:rPr>
          <w:rFonts w:ascii="仿宋_GB2312" w:eastAsia="仿宋_GB2312" w:hAnsi="Times New Roman" w:cs="DengXian-Regular" w:hint="eastAsia"/>
          <w:sz w:val="32"/>
          <w:szCs w:val="32"/>
        </w:rPr>
        <w:t>2194.88</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7.37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财政资金紧张，项目支出缓慢</w:t>
      </w:r>
      <w:r>
        <w:rPr>
          <w:rFonts w:ascii="仿宋_GB2312" w:eastAsia="仿宋_GB2312" w:hAnsi="Times New Roman" w:cs="DengXian-Regular" w:hint="eastAsia"/>
          <w:sz w:val="32"/>
          <w:szCs w:val="32"/>
        </w:rPr>
        <w:t>。</w:t>
      </w:r>
    </w:p>
    <w:p w:rsidR="00E448A9" w:rsidRDefault="00973ECB">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Pr>
          <w:rFonts w:ascii="仿宋_GB2312" w:eastAsia="仿宋_GB2312" w:hAnsi="Times New Roman" w:cs="DengXian-Regular" w:hint="eastAsia"/>
          <w:sz w:val="32"/>
          <w:szCs w:val="32"/>
        </w:rPr>
        <w:t>469.57</w:t>
      </w:r>
      <w:r>
        <w:rPr>
          <w:rFonts w:ascii="仿宋_GB2312" w:eastAsia="仿宋_GB2312" w:hAnsi="Times New Roman" w:cs="DengXian-Regular" w:hint="eastAsia"/>
          <w:sz w:val="32"/>
          <w:szCs w:val="32"/>
        </w:rPr>
        <w:t>万</w:t>
      </w:r>
      <w:r>
        <w:rPr>
          <w:rFonts w:ascii="仿宋_GB2312" w:eastAsia="仿宋_GB2312" w:hAnsi="Times New Roman" w:cs="DengXian-Regular" w:hint="eastAsia"/>
          <w:sz w:val="32"/>
          <w:szCs w:val="32"/>
        </w:rPr>
        <w:t>元，比上年</w:t>
      </w:r>
      <w:r>
        <w:rPr>
          <w:rFonts w:ascii="仿宋_GB2312" w:eastAsia="仿宋_GB2312" w:hAnsi="Times New Roman" w:cs="DengXian-Regular" w:hint="eastAsia"/>
          <w:sz w:val="32"/>
          <w:szCs w:val="32"/>
        </w:rPr>
        <w:lastRenderedPageBreak/>
        <w:t>增加</w:t>
      </w:r>
      <w:r>
        <w:rPr>
          <w:rFonts w:ascii="仿宋_GB2312" w:eastAsia="仿宋_GB2312" w:hAnsi="Times New Roman" w:cs="DengXian-Regular" w:hint="eastAsia"/>
          <w:sz w:val="32"/>
          <w:szCs w:val="32"/>
        </w:rPr>
        <w:t>373.08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386.65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北大教育园区征地拆迁支出增加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469.57</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373.08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386.65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北大教育园区征地拆迁支出增加</w:t>
      </w:r>
      <w:r>
        <w:rPr>
          <w:rFonts w:ascii="仿宋_GB2312" w:eastAsia="仿宋_GB2312" w:hAnsi="Times New Roman" w:cs="DengXian-Regular" w:hint="eastAsia"/>
          <w:sz w:val="32"/>
          <w:szCs w:val="32"/>
        </w:rPr>
        <w:t>。</w:t>
      </w:r>
    </w:p>
    <w:p w:rsidR="00E448A9" w:rsidRDefault="00973ECB">
      <w:pPr>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94080" behindDoc="0" locked="0" layoutInCell="1" allowOverlap="1">
            <wp:simplePos x="0" y="0"/>
            <wp:positionH relativeFrom="column">
              <wp:posOffset>607695</wp:posOffset>
            </wp:positionH>
            <wp:positionV relativeFrom="paragraph">
              <wp:posOffset>146685</wp:posOffset>
            </wp:positionV>
            <wp:extent cx="4262755" cy="2371725"/>
            <wp:effectExtent l="47625" t="4445" r="52070" b="100330"/>
            <wp:wrapNone/>
            <wp:docPr id="3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E448A9" w:rsidRDefault="00E448A9">
      <w:pPr>
        <w:snapToGrid w:val="0"/>
        <w:spacing w:line="580" w:lineRule="exact"/>
        <w:ind w:firstLineChars="200" w:firstLine="643"/>
        <w:rPr>
          <w:rFonts w:ascii="楷体_GB2312" w:eastAsia="楷体_GB2312" w:hAnsi="Times New Roman" w:cs="DengXian-Bold"/>
          <w:b/>
          <w:bCs/>
          <w:sz w:val="32"/>
          <w:szCs w:val="32"/>
        </w:rPr>
      </w:pPr>
    </w:p>
    <w:p w:rsidR="00E448A9" w:rsidRDefault="00E448A9">
      <w:pPr>
        <w:snapToGrid w:val="0"/>
        <w:spacing w:line="580" w:lineRule="exact"/>
        <w:ind w:firstLineChars="200" w:firstLine="643"/>
        <w:rPr>
          <w:rFonts w:ascii="楷体_GB2312" w:eastAsia="楷体_GB2312" w:hAnsi="Times New Roman" w:cs="DengXian-Bold"/>
          <w:b/>
          <w:bCs/>
          <w:sz w:val="32"/>
          <w:szCs w:val="32"/>
        </w:rPr>
      </w:pPr>
    </w:p>
    <w:p w:rsidR="00E448A9" w:rsidRDefault="00E448A9">
      <w:pPr>
        <w:snapToGrid w:val="0"/>
        <w:spacing w:line="580" w:lineRule="exact"/>
        <w:ind w:firstLineChars="200" w:firstLine="643"/>
        <w:rPr>
          <w:rFonts w:ascii="楷体_GB2312" w:eastAsia="楷体_GB2312" w:hAnsi="Times New Roman" w:cs="DengXian-Bold"/>
          <w:b/>
          <w:bCs/>
          <w:sz w:val="32"/>
          <w:szCs w:val="32"/>
        </w:rPr>
      </w:pPr>
    </w:p>
    <w:p w:rsidR="00E448A9" w:rsidRDefault="00E448A9">
      <w:pPr>
        <w:snapToGrid w:val="0"/>
        <w:spacing w:line="580" w:lineRule="exact"/>
        <w:ind w:firstLineChars="200" w:firstLine="643"/>
        <w:rPr>
          <w:rFonts w:ascii="楷体_GB2312" w:eastAsia="楷体_GB2312" w:hAnsi="Times New Roman" w:cs="DengXian-Bold"/>
          <w:b/>
          <w:bCs/>
          <w:sz w:val="32"/>
          <w:szCs w:val="32"/>
        </w:rPr>
      </w:pPr>
    </w:p>
    <w:p w:rsidR="00E448A9" w:rsidRDefault="00E448A9">
      <w:pPr>
        <w:snapToGrid w:val="0"/>
        <w:spacing w:line="580" w:lineRule="exact"/>
        <w:ind w:firstLineChars="200" w:firstLine="643"/>
        <w:rPr>
          <w:rFonts w:ascii="楷体_GB2312" w:eastAsia="楷体_GB2312" w:hAnsi="Times New Roman" w:cs="DengXian-Bold"/>
          <w:b/>
          <w:bCs/>
          <w:sz w:val="32"/>
          <w:szCs w:val="32"/>
        </w:rPr>
      </w:pPr>
    </w:p>
    <w:p w:rsidR="00471598" w:rsidRDefault="00471598">
      <w:pPr>
        <w:snapToGrid w:val="0"/>
        <w:spacing w:line="580" w:lineRule="exact"/>
        <w:ind w:firstLineChars="200" w:firstLine="643"/>
        <w:rPr>
          <w:rFonts w:ascii="楷体_GB2312" w:eastAsia="楷体_GB2312" w:hAnsi="Times New Roman" w:cs="DengXian-Bold" w:hint="eastAsia"/>
          <w:b/>
          <w:bCs/>
          <w:sz w:val="32"/>
          <w:szCs w:val="32"/>
        </w:rPr>
      </w:pPr>
    </w:p>
    <w:p w:rsidR="00E448A9" w:rsidRDefault="00973ECB">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47395.6</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489.75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37718</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后期上级追加专款较多</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28058.43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289.93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18380.83</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后期上级追加专款较多</w:t>
      </w:r>
      <w:r>
        <w:rPr>
          <w:rFonts w:ascii="仿宋_GB2312" w:eastAsia="仿宋_GB2312" w:hAnsi="Times New Roman" w:cs="DengXian-Regular" w:hint="eastAsia"/>
          <w:sz w:val="32"/>
          <w:szCs w:val="32"/>
        </w:rPr>
        <w:t>。具体情况如下：</w:t>
      </w:r>
    </w:p>
    <w:p w:rsidR="00E448A9" w:rsidRDefault="00973ECB">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Pr>
          <w:rFonts w:ascii="仿宋_GB2312" w:eastAsia="仿宋_GB2312" w:hAnsi="Times New Roman" w:cs="DengXian-Regular" w:hint="eastAsia"/>
          <w:sz w:val="32"/>
          <w:szCs w:val="32"/>
        </w:rPr>
        <w:t>484.89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37248.43</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后期上级追加专款较多</w:t>
      </w:r>
      <w:r>
        <w:rPr>
          <w:rFonts w:ascii="仿宋_GB2312" w:eastAsia="仿宋_GB2312" w:hAnsi="Times New Roman" w:cs="DengXian-Regular" w:hint="eastAsia"/>
          <w:sz w:val="32"/>
          <w:szCs w:val="32"/>
        </w:rPr>
        <w:t>；支出完成年初预算</w:t>
      </w:r>
      <w:r>
        <w:rPr>
          <w:rFonts w:ascii="仿宋_GB2312" w:eastAsia="仿宋_GB2312" w:hAnsi="Times New Roman" w:cs="DengXian-Regular" w:hint="eastAsia"/>
          <w:sz w:val="32"/>
          <w:szCs w:val="32"/>
        </w:rPr>
        <w:t>285.08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17911.26</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后期上级追加专款较多</w:t>
      </w:r>
      <w:r>
        <w:rPr>
          <w:rFonts w:ascii="仿宋_GB2312" w:eastAsia="仿宋_GB2312" w:hAnsi="Times New Roman" w:cs="DengXian-Regular" w:hint="eastAsia"/>
          <w:sz w:val="32"/>
          <w:szCs w:val="32"/>
        </w:rPr>
        <w:t>。</w:t>
      </w:r>
    </w:p>
    <w:p w:rsidR="00E448A9" w:rsidRDefault="00973ECB">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政府性基金预算财政拨款比年初预算增加</w:t>
      </w:r>
      <w:r>
        <w:rPr>
          <w:rFonts w:ascii="仿宋_GB2312" w:eastAsia="仿宋_GB2312" w:hAnsi="Times New Roman" w:cs="DengXian-Regular" w:hint="eastAsia"/>
          <w:sz w:val="32"/>
          <w:szCs w:val="32"/>
        </w:rPr>
        <w:t>469.57</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北大教育园区征地拆迁支出增加</w:t>
      </w:r>
      <w:r>
        <w:rPr>
          <w:rFonts w:ascii="仿宋_GB2312" w:eastAsia="仿宋_GB2312" w:hAnsi="Times New Roman" w:cs="DengXian-Regular" w:hint="eastAsia"/>
          <w:sz w:val="32"/>
          <w:szCs w:val="32"/>
        </w:rPr>
        <w:t>；支出比年初预算增加</w:t>
      </w:r>
      <w:r>
        <w:rPr>
          <w:rFonts w:ascii="仿宋_GB2312" w:eastAsia="仿宋_GB2312" w:hAnsi="Times New Roman" w:cs="DengXian-Regular" w:hint="eastAsia"/>
          <w:sz w:val="32"/>
          <w:szCs w:val="32"/>
        </w:rPr>
        <w:t>469.57</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北大教育园区征地拆迁支出增加</w:t>
      </w:r>
      <w:r>
        <w:rPr>
          <w:rFonts w:ascii="仿宋_GB2312" w:eastAsia="仿宋_GB2312" w:hAnsi="Times New Roman" w:cs="DengXian-Regular" w:hint="eastAsia"/>
          <w:sz w:val="32"/>
          <w:szCs w:val="32"/>
        </w:rPr>
        <w:t>。</w:t>
      </w:r>
    </w:p>
    <w:p w:rsidR="00E448A9" w:rsidRDefault="00973ECB">
      <w:pPr>
        <w:adjustRightInd w:val="0"/>
        <w:snapToGrid w:val="0"/>
        <w:spacing w:line="580" w:lineRule="exact"/>
        <w:rPr>
          <w:rFonts w:ascii="仿宋_GB2312" w:eastAsia="仿宋_GB2312" w:hAnsi="Times New Roman" w:cs="DengXian-Regular"/>
          <w:sz w:val="32"/>
          <w:szCs w:val="32"/>
          <w:highlight w:val="yellow"/>
        </w:rPr>
      </w:pPr>
      <w:r>
        <w:rPr>
          <w:noProof/>
        </w:rPr>
        <w:drawing>
          <wp:anchor distT="0" distB="0" distL="114300" distR="114300" simplePos="0" relativeHeight="251695104" behindDoc="0" locked="0" layoutInCell="1" allowOverlap="1">
            <wp:simplePos x="0" y="0"/>
            <wp:positionH relativeFrom="column">
              <wp:posOffset>523875</wp:posOffset>
            </wp:positionH>
            <wp:positionV relativeFrom="paragraph">
              <wp:posOffset>54610</wp:posOffset>
            </wp:positionV>
            <wp:extent cx="4512945" cy="3156585"/>
            <wp:effectExtent l="47625" t="5080" r="49530" b="114935"/>
            <wp:wrapNone/>
            <wp:docPr id="3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E448A9" w:rsidRDefault="00E448A9">
      <w:pPr>
        <w:adjustRightInd w:val="0"/>
        <w:snapToGrid w:val="0"/>
        <w:spacing w:line="580" w:lineRule="exact"/>
        <w:rPr>
          <w:rFonts w:ascii="仿宋_GB2312" w:eastAsia="仿宋_GB2312" w:hAnsi="Times New Roman" w:cs="DengXian-Regular"/>
          <w:sz w:val="32"/>
          <w:szCs w:val="32"/>
          <w:highlight w:val="yellow"/>
        </w:rPr>
      </w:pPr>
    </w:p>
    <w:p w:rsidR="00E448A9" w:rsidRDefault="00E448A9">
      <w:pPr>
        <w:adjustRightInd w:val="0"/>
        <w:snapToGrid w:val="0"/>
        <w:spacing w:line="580" w:lineRule="exact"/>
        <w:rPr>
          <w:rFonts w:ascii="仿宋_GB2312" w:eastAsia="仿宋_GB2312" w:hAnsi="Times New Roman" w:cs="DengXian-Regular"/>
          <w:sz w:val="32"/>
          <w:szCs w:val="32"/>
          <w:highlight w:val="yellow"/>
        </w:rPr>
      </w:pPr>
    </w:p>
    <w:p w:rsidR="00E448A9" w:rsidRDefault="00E448A9">
      <w:pPr>
        <w:adjustRightInd w:val="0"/>
        <w:snapToGrid w:val="0"/>
        <w:spacing w:line="580" w:lineRule="exact"/>
        <w:rPr>
          <w:rFonts w:ascii="仿宋_GB2312" w:eastAsia="仿宋_GB2312" w:hAnsi="Times New Roman" w:cs="DengXian-Regular"/>
          <w:sz w:val="32"/>
          <w:szCs w:val="32"/>
          <w:highlight w:val="yellow"/>
        </w:rPr>
      </w:pPr>
    </w:p>
    <w:p w:rsidR="00E448A9" w:rsidRDefault="00E448A9">
      <w:pPr>
        <w:adjustRightInd w:val="0"/>
        <w:snapToGrid w:val="0"/>
        <w:spacing w:line="580" w:lineRule="exact"/>
        <w:rPr>
          <w:rFonts w:ascii="仿宋_GB2312" w:eastAsia="仿宋_GB2312" w:hAnsi="Times New Roman" w:cs="DengXian-Regular"/>
          <w:sz w:val="32"/>
          <w:szCs w:val="32"/>
          <w:highlight w:val="yellow"/>
        </w:rPr>
      </w:pPr>
    </w:p>
    <w:p w:rsidR="00E448A9" w:rsidRDefault="00E448A9">
      <w:pPr>
        <w:adjustRightInd w:val="0"/>
        <w:snapToGrid w:val="0"/>
        <w:spacing w:line="580" w:lineRule="exact"/>
        <w:rPr>
          <w:rFonts w:ascii="仿宋_GB2312" w:eastAsia="仿宋_GB2312" w:hAnsi="Times New Roman" w:cs="DengXian-Regular"/>
          <w:sz w:val="32"/>
          <w:szCs w:val="32"/>
          <w:highlight w:val="yellow"/>
        </w:rPr>
      </w:pPr>
    </w:p>
    <w:p w:rsidR="00E448A9" w:rsidRDefault="00E448A9">
      <w:pPr>
        <w:adjustRightInd w:val="0"/>
        <w:snapToGrid w:val="0"/>
        <w:spacing w:line="580" w:lineRule="exact"/>
        <w:rPr>
          <w:rFonts w:ascii="仿宋_GB2312" w:eastAsia="仿宋_GB2312" w:hAnsi="Times New Roman" w:cs="DengXian-Regular" w:hint="eastAsia"/>
          <w:sz w:val="32"/>
          <w:szCs w:val="32"/>
          <w:highlight w:val="yellow"/>
        </w:rPr>
      </w:pPr>
    </w:p>
    <w:p w:rsidR="007677FB" w:rsidRDefault="007677FB">
      <w:pPr>
        <w:adjustRightInd w:val="0"/>
        <w:snapToGrid w:val="0"/>
        <w:spacing w:line="580" w:lineRule="exact"/>
        <w:rPr>
          <w:rFonts w:ascii="仿宋_GB2312" w:eastAsia="仿宋_GB2312" w:hAnsi="Times New Roman" w:cs="DengXian-Regular" w:hint="eastAsia"/>
          <w:sz w:val="32"/>
          <w:szCs w:val="32"/>
          <w:highlight w:val="yellow"/>
        </w:rPr>
      </w:pPr>
    </w:p>
    <w:p w:rsidR="007677FB" w:rsidRDefault="007677FB">
      <w:pPr>
        <w:adjustRightInd w:val="0"/>
        <w:snapToGrid w:val="0"/>
        <w:spacing w:line="580" w:lineRule="exact"/>
        <w:rPr>
          <w:rFonts w:ascii="仿宋_GB2312" w:eastAsia="仿宋_GB2312" w:hAnsi="Times New Roman" w:cs="DengXian-Regular"/>
          <w:sz w:val="32"/>
          <w:szCs w:val="32"/>
          <w:highlight w:val="yellow"/>
        </w:rPr>
      </w:pPr>
    </w:p>
    <w:p w:rsidR="00E448A9" w:rsidRDefault="00973ECB">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28058.43</w:t>
      </w:r>
      <w:r>
        <w:rPr>
          <w:rFonts w:ascii="仿宋_GB2312" w:eastAsia="仿宋_GB2312" w:hAnsi="Times New Roman" w:cs="DengXian-Regular" w:hint="eastAsia"/>
          <w:sz w:val="32"/>
          <w:szCs w:val="32"/>
        </w:rPr>
        <w:t>万元，主要用于以下方面</w:t>
      </w:r>
      <w:r>
        <w:rPr>
          <w:rFonts w:ascii="仿宋_GB2312" w:eastAsia="仿宋_GB2312" w:hAnsi="Times New Roman" w:cs="DengXian-Regular" w:hint="eastAsia"/>
          <w:sz w:val="32"/>
          <w:szCs w:val="32"/>
        </w:rPr>
        <w:t>：</w:t>
      </w:r>
      <w:r>
        <w:rPr>
          <w:rFonts w:ascii="仿宋" w:eastAsia="仿宋" w:hAnsi="仿宋" w:cs="仿宋" w:hint="eastAsia"/>
          <w:sz w:val="32"/>
          <w:szCs w:val="32"/>
        </w:rPr>
        <w:t>科学技术（类）支出</w:t>
      </w:r>
      <w:r>
        <w:rPr>
          <w:rFonts w:ascii="仿宋" w:eastAsia="仿宋" w:hAnsi="仿宋" w:cs="仿宋" w:hint="eastAsia"/>
          <w:sz w:val="32"/>
          <w:szCs w:val="32"/>
        </w:rPr>
        <w:t>6</w:t>
      </w:r>
      <w:r>
        <w:rPr>
          <w:rFonts w:ascii="仿宋" w:eastAsia="仿宋" w:hAnsi="仿宋" w:cs="仿宋" w:hint="eastAsia"/>
          <w:sz w:val="32"/>
          <w:szCs w:val="32"/>
        </w:rPr>
        <w:t>86</w:t>
      </w:r>
      <w:r>
        <w:rPr>
          <w:rFonts w:ascii="仿宋" w:eastAsia="仿宋" w:hAnsi="仿宋" w:cs="仿宋" w:hint="eastAsia"/>
          <w:sz w:val="32"/>
          <w:szCs w:val="32"/>
        </w:rPr>
        <w:t>万元，占</w:t>
      </w:r>
      <w:r>
        <w:rPr>
          <w:rFonts w:ascii="仿宋" w:eastAsia="仿宋" w:hAnsi="仿宋" w:cs="仿宋" w:hint="eastAsia"/>
          <w:sz w:val="32"/>
          <w:szCs w:val="32"/>
        </w:rPr>
        <w:t xml:space="preserve"> </w:t>
      </w:r>
      <w:r>
        <w:rPr>
          <w:rFonts w:ascii="仿宋" w:eastAsia="仿宋" w:hAnsi="仿宋" w:cs="仿宋" w:hint="eastAsia"/>
          <w:sz w:val="32"/>
          <w:szCs w:val="32"/>
        </w:rPr>
        <w:t>2.44</w:t>
      </w:r>
      <w:r>
        <w:rPr>
          <w:rFonts w:ascii="仿宋" w:eastAsia="仿宋" w:hAnsi="仿宋" w:cs="仿宋" w:hint="eastAsia"/>
          <w:sz w:val="32"/>
          <w:szCs w:val="32"/>
        </w:rPr>
        <w:t>%</w:t>
      </w:r>
      <w:r>
        <w:rPr>
          <w:rFonts w:ascii="仿宋" w:eastAsia="仿宋" w:hAnsi="仿宋" w:cs="仿宋" w:hint="eastAsia"/>
          <w:sz w:val="32"/>
          <w:szCs w:val="32"/>
        </w:rPr>
        <w:t>；社会保障和就业（类）支出</w:t>
      </w:r>
      <w:r>
        <w:rPr>
          <w:rFonts w:ascii="仿宋" w:eastAsia="仿宋" w:hAnsi="仿宋" w:cs="仿宋" w:hint="eastAsia"/>
          <w:sz w:val="32"/>
          <w:szCs w:val="32"/>
        </w:rPr>
        <w:t>475.68</w:t>
      </w:r>
      <w:r>
        <w:rPr>
          <w:rFonts w:ascii="仿宋" w:eastAsia="仿宋" w:hAnsi="仿宋" w:cs="仿宋" w:hint="eastAsia"/>
          <w:sz w:val="32"/>
          <w:szCs w:val="32"/>
        </w:rPr>
        <w:t>万元，占</w:t>
      </w:r>
      <w:r>
        <w:rPr>
          <w:rFonts w:ascii="仿宋" w:eastAsia="仿宋" w:hAnsi="仿宋" w:cs="仿宋" w:hint="eastAsia"/>
          <w:sz w:val="32"/>
          <w:szCs w:val="32"/>
        </w:rPr>
        <w:t>1.70</w:t>
      </w:r>
      <w:r>
        <w:rPr>
          <w:rFonts w:ascii="仿宋" w:eastAsia="仿宋" w:hAnsi="仿宋" w:cs="仿宋" w:hint="eastAsia"/>
          <w:sz w:val="32"/>
          <w:szCs w:val="32"/>
        </w:rPr>
        <w:t>%</w:t>
      </w:r>
      <w:r>
        <w:rPr>
          <w:rFonts w:ascii="仿宋" w:eastAsia="仿宋" w:hAnsi="仿宋" w:cs="仿宋" w:hint="eastAsia"/>
          <w:sz w:val="32"/>
          <w:szCs w:val="32"/>
        </w:rPr>
        <w:t>；</w:t>
      </w:r>
      <w:r>
        <w:rPr>
          <w:rFonts w:ascii="仿宋" w:eastAsia="仿宋" w:hAnsi="仿宋" w:cs="仿宋" w:hint="eastAsia"/>
          <w:sz w:val="32"/>
          <w:szCs w:val="32"/>
        </w:rPr>
        <w:t>卫生健康</w:t>
      </w:r>
      <w:r>
        <w:rPr>
          <w:rFonts w:ascii="仿宋" w:eastAsia="仿宋" w:hAnsi="仿宋" w:cs="仿宋" w:hint="eastAsia"/>
          <w:sz w:val="32"/>
          <w:szCs w:val="32"/>
        </w:rPr>
        <w:t>（类）支出</w:t>
      </w:r>
      <w:r>
        <w:rPr>
          <w:rFonts w:ascii="仿宋" w:eastAsia="仿宋" w:hAnsi="仿宋" w:cs="仿宋" w:hint="eastAsia"/>
          <w:sz w:val="32"/>
          <w:szCs w:val="32"/>
        </w:rPr>
        <w:t>46.85</w:t>
      </w:r>
      <w:r>
        <w:rPr>
          <w:rFonts w:ascii="仿宋" w:eastAsia="仿宋" w:hAnsi="仿宋" w:cs="仿宋" w:hint="eastAsia"/>
          <w:sz w:val="32"/>
          <w:szCs w:val="32"/>
        </w:rPr>
        <w:t>万元，占</w:t>
      </w:r>
      <w:r>
        <w:rPr>
          <w:rFonts w:ascii="仿宋" w:eastAsia="仿宋" w:hAnsi="仿宋" w:cs="仿宋" w:hint="eastAsia"/>
          <w:sz w:val="32"/>
          <w:szCs w:val="32"/>
        </w:rPr>
        <w:t>0.17</w:t>
      </w:r>
      <w:r>
        <w:rPr>
          <w:rFonts w:ascii="仿宋" w:eastAsia="仿宋" w:hAnsi="仿宋" w:cs="仿宋" w:hint="eastAsia"/>
          <w:sz w:val="32"/>
          <w:szCs w:val="32"/>
        </w:rPr>
        <w:t>%;</w:t>
      </w:r>
      <w:r>
        <w:rPr>
          <w:rFonts w:ascii="仿宋" w:eastAsia="仿宋" w:hAnsi="仿宋" w:cs="仿宋" w:hint="eastAsia"/>
          <w:sz w:val="32"/>
          <w:szCs w:val="32"/>
        </w:rPr>
        <w:t>节能环保</w:t>
      </w:r>
      <w:r>
        <w:rPr>
          <w:rFonts w:ascii="仿宋" w:eastAsia="仿宋" w:hAnsi="仿宋" w:cs="仿宋" w:hint="eastAsia"/>
          <w:sz w:val="32"/>
          <w:szCs w:val="32"/>
        </w:rPr>
        <w:t>（类）支出</w:t>
      </w:r>
      <w:r>
        <w:rPr>
          <w:rFonts w:ascii="仿宋" w:eastAsia="仿宋" w:hAnsi="仿宋" w:cs="仿宋" w:hint="eastAsia"/>
          <w:sz w:val="32"/>
          <w:szCs w:val="32"/>
        </w:rPr>
        <w:t>19419.84</w:t>
      </w:r>
      <w:r>
        <w:rPr>
          <w:rFonts w:ascii="仿宋" w:eastAsia="仿宋" w:hAnsi="仿宋" w:cs="仿宋" w:hint="eastAsia"/>
          <w:sz w:val="32"/>
          <w:szCs w:val="32"/>
        </w:rPr>
        <w:t>万元，占</w:t>
      </w:r>
      <w:r>
        <w:rPr>
          <w:rFonts w:ascii="仿宋" w:eastAsia="仿宋" w:hAnsi="仿宋" w:cs="仿宋" w:hint="eastAsia"/>
          <w:sz w:val="32"/>
          <w:szCs w:val="32"/>
        </w:rPr>
        <w:t xml:space="preserve"> </w:t>
      </w:r>
      <w:r>
        <w:rPr>
          <w:rFonts w:ascii="仿宋" w:eastAsia="仿宋" w:hAnsi="仿宋" w:cs="仿宋" w:hint="eastAsia"/>
          <w:sz w:val="32"/>
          <w:szCs w:val="32"/>
        </w:rPr>
        <w:t>69.21</w:t>
      </w:r>
      <w:r>
        <w:rPr>
          <w:rFonts w:ascii="仿宋" w:eastAsia="仿宋" w:hAnsi="仿宋" w:cs="仿宋" w:hint="eastAsia"/>
          <w:sz w:val="32"/>
          <w:szCs w:val="32"/>
        </w:rPr>
        <w:t>%;</w:t>
      </w:r>
      <w:r>
        <w:rPr>
          <w:rFonts w:ascii="仿宋" w:eastAsia="仿宋" w:hAnsi="仿宋" w:cs="仿宋" w:hint="eastAsia"/>
          <w:sz w:val="32"/>
          <w:szCs w:val="32"/>
        </w:rPr>
        <w:t>城乡社区</w:t>
      </w:r>
      <w:r>
        <w:rPr>
          <w:rFonts w:ascii="仿宋" w:eastAsia="仿宋" w:hAnsi="仿宋" w:cs="仿宋" w:hint="eastAsia"/>
          <w:sz w:val="32"/>
          <w:szCs w:val="32"/>
        </w:rPr>
        <w:t>（类）支出</w:t>
      </w:r>
      <w:r>
        <w:rPr>
          <w:rFonts w:ascii="仿宋" w:eastAsia="仿宋" w:hAnsi="仿宋" w:cs="仿宋" w:hint="eastAsia"/>
          <w:sz w:val="32"/>
          <w:szCs w:val="32"/>
        </w:rPr>
        <w:t>469.57</w:t>
      </w:r>
      <w:r>
        <w:rPr>
          <w:rFonts w:ascii="仿宋" w:eastAsia="仿宋" w:hAnsi="仿宋" w:cs="仿宋" w:hint="eastAsia"/>
          <w:sz w:val="32"/>
          <w:szCs w:val="32"/>
        </w:rPr>
        <w:t>万元，占</w:t>
      </w:r>
      <w:r>
        <w:rPr>
          <w:rFonts w:ascii="仿宋" w:eastAsia="仿宋" w:hAnsi="仿宋" w:cs="仿宋" w:hint="eastAsia"/>
          <w:sz w:val="32"/>
          <w:szCs w:val="32"/>
        </w:rPr>
        <w:t xml:space="preserve"> </w:t>
      </w:r>
      <w:r>
        <w:rPr>
          <w:rFonts w:ascii="仿宋" w:eastAsia="仿宋" w:hAnsi="仿宋" w:cs="仿宋" w:hint="eastAsia"/>
          <w:sz w:val="32"/>
          <w:szCs w:val="32"/>
        </w:rPr>
        <w:t>1.67</w:t>
      </w:r>
      <w:r>
        <w:rPr>
          <w:rFonts w:ascii="仿宋" w:eastAsia="仿宋" w:hAnsi="仿宋" w:cs="仿宋" w:hint="eastAsia"/>
          <w:sz w:val="32"/>
          <w:szCs w:val="32"/>
        </w:rPr>
        <w:t>%;</w:t>
      </w:r>
      <w:r>
        <w:rPr>
          <w:rFonts w:ascii="仿宋" w:eastAsia="仿宋" w:hAnsi="仿宋" w:cs="仿宋" w:hint="eastAsia"/>
          <w:sz w:val="32"/>
          <w:szCs w:val="32"/>
        </w:rPr>
        <w:t>农林水</w:t>
      </w:r>
      <w:r>
        <w:rPr>
          <w:rFonts w:ascii="仿宋" w:eastAsia="仿宋" w:hAnsi="仿宋" w:cs="仿宋" w:hint="eastAsia"/>
          <w:sz w:val="32"/>
          <w:szCs w:val="32"/>
        </w:rPr>
        <w:t>（类）支出</w:t>
      </w:r>
      <w:r>
        <w:rPr>
          <w:rFonts w:ascii="仿宋" w:eastAsia="仿宋" w:hAnsi="仿宋" w:cs="仿宋" w:hint="eastAsia"/>
          <w:sz w:val="32"/>
          <w:szCs w:val="32"/>
        </w:rPr>
        <w:t>6960.48</w:t>
      </w:r>
      <w:r>
        <w:rPr>
          <w:rFonts w:ascii="仿宋" w:eastAsia="仿宋" w:hAnsi="仿宋" w:cs="仿宋" w:hint="eastAsia"/>
          <w:sz w:val="32"/>
          <w:szCs w:val="32"/>
        </w:rPr>
        <w:t>万元，占</w:t>
      </w:r>
      <w:r>
        <w:rPr>
          <w:rFonts w:ascii="仿宋" w:eastAsia="仿宋" w:hAnsi="仿宋" w:cs="仿宋" w:hint="eastAsia"/>
          <w:sz w:val="32"/>
          <w:szCs w:val="32"/>
        </w:rPr>
        <w:t xml:space="preserve"> </w:t>
      </w:r>
      <w:r>
        <w:rPr>
          <w:rFonts w:ascii="仿宋" w:eastAsia="仿宋" w:hAnsi="仿宋" w:cs="仿宋" w:hint="eastAsia"/>
          <w:sz w:val="32"/>
          <w:szCs w:val="32"/>
        </w:rPr>
        <w:t>24.81</w:t>
      </w:r>
      <w:r>
        <w:rPr>
          <w:rFonts w:ascii="仿宋" w:eastAsia="仿宋" w:hAnsi="仿宋" w:cs="仿宋" w:hint="eastAsia"/>
          <w:sz w:val="32"/>
          <w:szCs w:val="32"/>
        </w:rPr>
        <w:t>%</w:t>
      </w:r>
      <w:r>
        <w:rPr>
          <w:rFonts w:ascii="仿宋_GB2312" w:eastAsia="仿宋_GB2312" w:hAnsi="Times New Roman" w:cs="DengXian-Regular" w:hint="eastAsia"/>
          <w:sz w:val="32"/>
          <w:szCs w:val="32"/>
        </w:rPr>
        <w:t>。</w:t>
      </w:r>
    </w:p>
    <w:p w:rsidR="00E448A9" w:rsidRDefault="00E448A9">
      <w:pPr>
        <w:adjustRightInd w:val="0"/>
        <w:snapToGrid w:val="0"/>
        <w:spacing w:line="580" w:lineRule="exact"/>
        <w:rPr>
          <w:rFonts w:ascii="楷体_GB2312" w:eastAsia="楷体_GB2312" w:hAnsi="Times New Roman" w:cs="DengXian-Bold"/>
          <w:b/>
          <w:bCs/>
          <w:sz w:val="32"/>
          <w:szCs w:val="32"/>
        </w:rPr>
      </w:pPr>
    </w:p>
    <w:p w:rsidR="00E448A9" w:rsidRDefault="00E448A9">
      <w:pPr>
        <w:adjustRightInd w:val="0"/>
        <w:snapToGrid w:val="0"/>
        <w:spacing w:line="580" w:lineRule="exact"/>
        <w:rPr>
          <w:rFonts w:ascii="楷体_GB2312" w:eastAsia="楷体_GB2312" w:hAnsi="Times New Roman" w:cs="DengXian-Bold"/>
          <w:b/>
          <w:bCs/>
          <w:sz w:val="32"/>
          <w:szCs w:val="32"/>
        </w:rPr>
      </w:pPr>
    </w:p>
    <w:p w:rsidR="00E448A9" w:rsidRDefault="00973ECB">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251691008" behindDoc="1" locked="0" layoutInCell="1" allowOverlap="1">
            <wp:simplePos x="0" y="0"/>
            <wp:positionH relativeFrom="column">
              <wp:posOffset>1134745</wp:posOffset>
            </wp:positionH>
            <wp:positionV relativeFrom="paragraph">
              <wp:posOffset>-215900</wp:posOffset>
            </wp:positionV>
            <wp:extent cx="3181350" cy="2724150"/>
            <wp:effectExtent l="57150" t="0" r="57150" b="76200"/>
            <wp:wrapTight wrapText="bothSides">
              <wp:wrapPolygon edited="0">
                <wp:start x="-259" y="0"/>
                <wp:lineTo x="-388" y="22204"/>
                <wp:lineTo x="21859" y="22204"/>
                <wp:lineTo x="21988" y="21902"/>
                <wp:lineTo x="21988" y="1964"/>
                <wp:lineTo x="21859" y="302"/>
                <wp:lineTo x="21729" y="0"/>
                <wp:lineTo x="-259" y="0"/>
              </wp:wrapPolygon>
            </wp:wrapTight>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E448A9" w:rsidRDefault="00E448A9">
      <w:pPr>
        <w:adjustRightInd w:val="0"/>
        <w:snapToGrid w:val="0"/>
        <w:spacing w:line="580" w:lineRule="exact"/>
        <w:ind w:leftChars="200" w:left="420"/>
        <w:rPr>
          <w:rFonts w:ascii="楷体_GB2312" w:eastAsia="楷体_GB2312" w:hAnsi="Times New Roman" w:cs="DengXian-Bold"/>
          <w:b/>
          <w:bCs/>
          <w:sz w:val="32"/>
          <w:szCs w:val="32"/>
        </w:rPr>
      </w:pPr>
    </w:p>
    <w:p w:rsidR="00974391" w:rsidRDefault="00974391">
      <w:pPr>
        <w:adjustRightInd w:val="0"/>
        <w:snapToGrid w:val="0"/>
        <w:spacing w:line="580" w:lineRule="exact"/>
        <w:ind w:leftChars="200" w:left="420"/>
        <w:rPr>
          <w:rFonts w:ascii="楷体_GB2312" w:eastAsia="楷体_GB2312" w:hAnsi="Times New Roman" w:cs="DengXian-Bold" w:hint="eastAsia"/>
          <w:b/>
          <w:bCs/>
          <w:sz w:val="32"/>
          <w:szCs w:val="32"/>
        </w:rPr>
      </w:pPr>
    </w:p>
    <w:p w:rsidR="00E448A9" w:rsidRDefault="00973ECB">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w:t>
      </w:r>
      <w:r>
        <w:rPr>
          <w:rFonts w:ascii="仿宋" w:eastAsia="仿宋" w:hAnsi="仿宋" w:cs="仿宋" w:hint="eastAsia"/>
          <w:sz w:val="32"/>
          <w:szCs w:val="32"/>
        </w:rPr>
        <w:t>一般公共预算</w:t>
      </w:r>
      <w:r>
        <w:rPr>
          <w:rFonts w:ascii="仿宋_GB2312" w:eastAsia="仿宋_GB2312" w:hAnsi="Times New Roman" w:cs="DengXian-Regular" w:hint="eastAsia"/>
          <w:sz w:val="32"/>
          <w:szCs w:val="32"/>
        </w:rPr>
        <w:t>财政拨款基本支出</w:t>
      </w:r>
      <w:r>
        <w:rPr>
          <w:rFonts w:ascii="仿宋_GB2312" w:eastAsia="仿宋_GB2312" w:hAnsi="Times New Roman" w:cs="DengXian-Regular" w:hint="eastAsia"/>
          <w:sz w:val="32"/>
          <w:szCs w:val="32"/>
        </w:rPr>
        <w:t>1717.92</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1644.48</w:t>
      </w:r>
      <w:r>
        <w:rPr>
          <w:rFonts w:ascii="仿宋_GB2312" w:eastAsia="仿宋_GB2312" w:hAnsi="Times New Roman" w:cs="DengXian-Regular" w:hint="eastAsia"/>
          <w:sz w:val="32"/>
          <w:szCs w:val="32"/>
        </w:rPr>
        <w:t>万元，主要包括基本工资、津贴补贴、奖金、绩效工资、机关事业单位基本养老保险缴费、职工基本医疗保险缴费、其他社会保障缴费、其他工资福利支出、离休费、退休费、抚恤金、其他对个人和家庭的补助支出；公用经费</w:t>
      </w:r>
      <w:r>
        <w:rPr>
          <w:rFonts w:ascii="仿宋_GB2312" w:eastAsia="仿宋_GB2312" w:hAnsi="Times New Roman" w:cs="DengXian-Regular" w:hint="eastAsia"/>
          <w:sz w:val="32"/>
          <w:szCs w:val="32"/>
        </w:rPr>
        <w:t xml:space="preserve"> 73.44</w:t>
      </w:r>
      <w:r>
        <w:rPr>
          <w:rFonts w:ascii="仿宋_GB2312" w:eastAsia="仿宋_GB2312" w:hAnsi="Times New Roman" w:cs="DengXian-Regular" w:hint="eastAsia"/>
          <w:sz w:val="32"/>
          <w:szCs w:val="32"/>
        </w:rPr>
        <w:t>万元，主要包括办公费、印刷费、水费、电费、邮电费、取暖费、差旅费、租赁费、公务接待费、专用材料费、劳务费、公务用车运行维护费、其他交通费用、办公设备购置。</w:t>
      </w: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3.18</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79.5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0.82</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降低</w:t>
      </w:r>
      <w:r>
        <w:rPr>
          <w:rFonts w:ascii="仿宋_GB2312" w:eastAsia="仿宋_GB2312" w:hAnsi="Times New Roman" w:cs="DengXian-Regular" w:hint="eastAsia"/>
          <w:sz w:val="32"/>
          <w:szCs w:val="32"/>
        </w:rPr>
        <w:t>20.5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招待费支出小于预算数</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年度减少</w:t>
      </w:r>
      <w:r>
        <w:rPr>
          <w:rFonts w:ascii="仿宋_GB2312" w:eastAsia="仿宋_GB2312" w:hAnsi="Times New Roman" w:cs="DengXian-Regular" w:hint="eastAsia"/>
          <w:sz w:val="32"/>
          <w:szCs w:val="32"/>
        </w:rPr>
        <w:t>0.253</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7.37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lastRenderedPageBreak/>
        <w:t>主要是</w:t>
      </w:r>
      <w:r>
        <w:rPr>
          <w:rFonts w:ascii="仿宋_GB2312" w:eastAsia="仿宋_GB2312" w:hAnsi="Times New Roman" w:cs="DengXian-Regular" w:hint="eastAsia"/>
          <w:sz w:val="32"/>
          <w:szCs w:val="32"/>
        </w:rPr>
        <w:t>上级来人招待事项减少</w:t>
      </w:r>
      <w:r>
        <w:rPr>
          <w:rFonts w:ascii="仿宋_GB2312" w:eastAsia="仿宋_GB2312" w:hAnsi="Times New Roman" w:cs="DengXian-Regular" w:hint="eastAsia"/>
          <w:sz w:val="32"/>
          <w:szCs w:val="32"/>
        </w:rPr>
        <w:t>。具体情况如下：</w:t>
      </w:r>
    </w:p>
    <w:p w:rsidR="00E448A9" w:rsidRDefault="00973ECB">
      <w:pPr>
        <w:adjustRightInd w:val="0"/>
        <w:snapToGrid w:val="0"/>
        <w:spacing w:line="580" w:lineRule="exact"/>
        <w:ind w:firstLineChars="200" w:firstLine="643"/>
        <w:rPr>
          <w:rFonts w:ascii="仿宋_GB2312" w:eastAsia="仿宋"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 w:eastAsia="仿宋" w:hAnsi="仿宋" w:cs="DengXian-Regular" w:hint="eastAsia"/>
          <w:sz w:val="32"/>
          <w:szCs w:val="32"/>
        </w:rPr>
        <w:t>本部门</w:t>
      </w:r>
      <w:r>
        <w:rPr>
          <w:rFonts w:ascii="仿宋" w:eastAsia="仿宋" w:hAnsi="仿宋" w:cs="DengXian-Regular" w:hint="eastAsia"/>
          <w:sz w:val="32"/>
          <w:szCs w:val="32"/>
        </w:rPr>
        <w:t>2019</w:t>
      </w:r>
      <w:r>
        <w:rPr>
          <w:rFonts w:ascii="仿宋" w:eastAsia="仿宋" w:hAnsi="仿宋" w:cs="DengXian-Regular" w:hint="eastAsia"/>
          <w:sz w:val="32"/>
          <w:szCs w:val="32"/>
        </w:rPr>
        <w:t>年度未发生因公出国（境）经费支出，因公出国（境）费支出与预算持平。</w:t>
      </w:r>
      <w:r>
        <w:rPr>
          <w:rFonts w:ascii="仿宋" w:eastAsia="仿宋" w:hAnsi="仿宋" w:cs="DengXian-Regular" w:hint="eastAsia"/>
          <w:sz w:val="32"/>
          <w:szCs w:val="32"/>
        </w:rPr>
        <w:t>与</w:t>
      </w:r>
      <w:r>
        <w:rPr>
          <w:rFonts w:ascii="仿宋" w:eastAsia="仿宋" w:hAnsi="仿宋" w:cs="DengXian-Regular" w:hint="eastAsia"/>
          <w:sz w:val="32"/>
          <w:szCs w:val="32"/>
        </w:rPr>
        <w:t>2018</w:t>
      </w:r>
      <w:r>
        <w:rPr>
          <w:rFonts w:ascii="仿宋" w:eastAsia="仿宋" w:hAnsi="仿宋" w:cs="DengXian-Regular" w:hint="eastAsia"/>
          <w:sz w:val="32"/>
          <w:szCs w:val="32"/>
        </w:rPr>
        <w:t>年决算持平。</w:t>
      </w:r>
    </w:p>
    <w:p w:rsidR="00E448A9" w:rsidRDefault="00973ECB">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3</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974391">
        <w:rPr>
          <w:rFonts w:ascii="仿宋_GB2312" w:eastAsia="仿宋_GB2312" w:hAnsi="Times New Roman" w:cs="DengXian-Regular" w:hint="eastAsia"/>
          <w:sz w:val="32"/>
          <w:szCs w:val="32"/>
        </w:rPr>
        <w:t>与2018年决算持平</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E448A9" w:rsidRDefault="00973ECB">
      <w:pPr>
        <w:adjustRightInd w:val="0"/>
        <w:snapToGrid w:val="0"/>
        <w:spacing w:line="580" w:lineRule="exact"/>
        <w:ind w:firstLineChars="200" w:firstLine="643"/>
        <w:rPr>
          <w:rFonts w:ascii="仿宋_GB2312" w:eastAsia="仿宋_GB2312" w:hAnsi="Times New Roman" w:cs="DengXian-Regular"/>
          <w:color w:val="000000"/>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Pr>
          <w:rFonts w:ascii="仿宋" w:eastAsia="仿宋" w:hAnsi="仿宋" w:cs="仿宋" w:hint="eastAsia"/>
          <w:sz w:val="32"/>
          <w:szCs w:val="32"/>
        </w:rPr>
        <w:t>未发生此类支出</w:t>
      </w:r>
      <w:r>
        <w:rPr>
          <w:rFonts w:ascii="仿宋" w:eastAsia="仿宋" w:hAnsi="仿宋" w:cs="仿宋" w:hint="eastAsia"/>
          <w:sz w:val="32"/>
          <w:szCs w:val="32"/>
        </w:rPr>
        <w:t>。与</w:t>
      </w:r>
      <w:r>
        <w:rPr>
          <w:rFonts w:ascii="仿宋" w:eastAsia="仿宋" w:hAnsi="仿宋" w:cs="仿宋" w:hint="eastAsia"/>
          <w:sz w:val="32"/>
          <w:szCs w:val="32"/>
        </w:rPr>
        <w:t>预算</w:t>
      </w:r>
      <w:r>
        <w:rPr>
          <w:rFonts w:ascii="仿宋" w:eastAsia="仿宋" w:hAnsi="仿宋" w:cs="仿宋" w:hint="eastAsia"/>
          <w:sz w:val="32"/>
          <w:szCs w:val="32"/>
        </w:rPr>
        <w:t>持平，与</w:t>
      </w:r>
      <w:r>
        <w:rPr>
          <w:rFonts w:ascii="仿宋" w:eastAsia="仿宋" w:hAnsi="仿宋" w:cs="仿宋" w:hint="eastAsia"/>
          <w:sz w:val="32"/>
          <w:szCs w:val="32"/>
        </w:rPr>
        <w:t>2018</w:t>
      </w:r>
      <w:r>
        <w:rPr>
          <w:rFonts w:ascii="仿宋" w:eastAsia="仿宋" w:hAnsi="仿宋" w:cs="仿宋" w:hint="eastAsia"/>
          <w:sz w:val="32"/>
          <w:szCs w:val="32"/>
        </w:rPr>
        <w:t>年决算持平。</w:t>
      </w:r>
    </w:p>
    <w:p w:rsidR="00E448A9" w:rsidRDefault="00973ECB">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 w:eastAsia="仿宋" w:hAnsi="仿宋" w:cs="仿宋" w:hint="eastAsia"/>
          <w:sz w:val="32"/>
          <w:szCs w:val="32"/>
        </w:rPr>
        <w:t>3</w:t>
      </w:r>
      <w:r>
        <w:rPr>
          <w:rFonts w:ascii="仿宋" w:eastAsia="仿宋" w:hAnsi="仿宋" w:cs="仿宋" w:hint="eastAsia"/>
          <w:sz w:val="32"/>
          <w:szCs w:val="32"/>
        </w:rPr>
        <w:t>辆。公车运行维护费支出</w:t>
      </w:r>
      <w:r>
        <w:rPr>
          <w:rFonts w:ascii="仿宋" w:eastAsia="仿宋" w:hAnsi="仿宋" w:cs="仿宋" w:hint="eastAsia"/>
          <w:sz w:val="32"/>
          <w:szCs w:val="32"/>
        </w:rPr>
        <w:t>3</w:t>
      </w:r>
      <w:r>
        <w:rPr>
          <w:rFonts w:ascii="仿宋" w:eastAsia="仿宋" w:hAnsi="仿宋" w:cs="仿宋" w:hint="eastAsia"/>
          <w:sz w:val="32"/>
          <w:szCs w:val="32"/>
        </w:rPr>
        <w:t>万元，</w:t>
      </w:r>
      <w:r>
        <w:rPr>
          <w:rFonts w:ascii="仿宋" w:eastAsia="仿宋" w:hAnsi="仿宋" w:cs="仿宋" w:hint="eastAsia"/>
          <w:sz w:val="32"/>
          <w:szCs w:val="32"/>
        </w:rPr>
        <w:t>与</w:t>
      </w:r>
      <w:r>
        <w:rPr>
          <w:rFonts w:ascii="仿宋" w:eastAsia="仿宋" w:hAnsi="仿宋" w:cs="仿宋" w:hint="eastAsia"/>
          <w:sz w:val="32"/>
          <w:szCs w:val="32"/>
        </w:rPr>
        <w:t>预算</w:t>
      </w:r>
      <w:r>
        <w:rPr>
          <w:rFonts w:ascii="仿宋" w:eastAsia="仿宋" w:hAnsi="仿宋" w:cs="仿宋" w:hint="eastAsia"/>
          <w:sz w:val="32"/>
          <w:szCs w:val="32"/>
        </w:rPr>
        <w:t>持平，与</w:t>
      </w:r>
      <w:r>
        <w:rPr>
          <w:rFonts w:ascii="仿宋" w:eastAsia="仿宋" w:hAnsi="仿宋" w:cs="仿宋" w:hint="eastAsia"/>
          <w:sz w:val="32"/>
          <w:szCs w:val="32"/>
        </w:rPr>
        <w:t>2018</w:t>
      </w:r>
      <w:r>
        <w:rPr>
          <w:rFonts w:ascii="仿宋" w:eastAsia="仿宋" w:hAnsi="仿宋" w:cs="仿宋" w:hint="eastAsia"/>
          <w:sz w:val="32"/>
          <w:szCs w:val="32"/>
        </w:rPr>
        <w:t>年决算持平，</w:t>
      </w:r>
      <w:r>
        <w:rPr>
          <w:rFonts w:ascii="仿宋" w:eastAsia="仿宋" w:hAnsi="仿宋" w:cs="仿宋" w:hint="eastAsia"/>
          <w:sz w:val="32"/>
          <w:szCs w:val="32"/>
        </w:rPr>
        <w:t>主要是车改后公务用车</w:t>
      </w:r>
      <w:r>
        <w:rPr>
          <w:rFonts w:ascii="仿宋" w:eastAsia="仿宋" w:hAnsi="仿宋" w:cs="仿宋" w:hint="eastAsia"/>
          <w:sz w:val="32"/>
          <w:szCs w:val="32"/>
        </w:rPr>
        <w:t>使用严格按照预算支出</w:t>
      </w:r>
      <w:r>
        <w:rPr>
          <w:rFonts w:ascii="仿宋" w:eastAsia="仿宋" w:hAnsi="仿宋" w:cs="仿宋" w:hint="eastAsia"/>
          <w:sz w:val="32"/>
          <w:szCs w:val="32"/>
        </w:rPr>
        <w:t>，</w:t>
      </w:r>
      <w:r>
        <w:rPr>
          <w:rFonts w:ascii="仿宋" w:eastAsia="仿宋" w:hAnsi="仿宋" w:cs="仿宋" w:hint="eastAsia"/>
          <w:sz w:val="32"/>
          <w:szCs w:val="32"/>
        </w:rPr>
        <w:t>杜绝超预算支出。</w:t>
      </w:r>
    </w:p>
    <w:p w:rsidR="00E448A9" w:rsidRDefault="00973ECB">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0.18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w:t>
      </w:r>
      <w:r>
        <w:rPr>
          <w:rFonts w:ascii="仿宋_GB2312" w:eastAsia="仿宋_GB2312" w:hAnsi="Times New Roman" w:cs="DengXian-Regular" w:hint="eastAsia"/>
          <w:sz w:val="32"/>
          <w:szCs w:val="32"/>
        </w:rPr>
        <w:t>共</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18</w:t>
      </w:r>
      <w:r>
        <w:rPr>
          <w:rFonts w:ascii="仿宋_GB2312" w:eastAsia="仿宋_GB2312" w:hAnsi="Times New Roman" w:cs="DengXian-Regular" w:hint="eastAsia"/>
          <w:sz w:val="32"/>
          <w:szCs w:val="32"/>
        </w:rPr>
        <w:t>人次。</w:t>
      </w:r>
      <w:r>
        <w:rPr>
          <w:rFonts w:ascii="仿宋_GB2312" w:eastAsia="仿宋_GB2312" w:hAnsi="Times New Roman" w:cs="DengXian-Regular" w:hint="eastAsia"/>
          <w:sz w:val="32"/>
          <w:szCs w:val="32"/>
        </w:rPr>
        <w:t>公务接待费支出较预算减少</w:t>
      </w:r>
      <w:r>
        <w:rPr>
          <w:rFonts w:ascii="仿宋_GB2312" w:eastAsia="仿宋_GB2312" w:hAnsi="Times New Roman" w:cs="DengXian-Regular" w:hint="eastAsia"/>
          <w:sz w:val="32"/>
          <w:szCs w:val="32"/>
        </w:rPr>
        <w:t>0.82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82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上级来人招待事项减少</w:t>
      </w:r>
      <w:r>
        <w:rPr>
          <w:rFonts w:ascii="仿宋_GB2312" w:eastAsia="仿宋_GB2312" w:hAnsi="Times New Roman" w:cs="DengXian-Regular" w:hint="eastAsia"/>
          <w:sz w:val="32"/>
          <w:szCs w:val="32"/>
        </w:rPr>
        <w:t>；较上年度减少</w:t>
      </w:r>
      <w:r>
        <w:rPr>
          <w:rFonts w:ascii="仿宋_GB2312" w:eastAsia="仿宋_GB2312" w:hAnsi="Times New Roman" w:cs="DengXian-Regular" w:hint="eastAsia"/>
          <w:sz w:val="32"/>
          <w:szCs w:val="32"/>
        </w:rPr>
        <w:t>0.253</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58.43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 w:eastAsia="仿宋" w:hAnsi="仿宋" w:cs="仿宋" w:hint="eastAsia"/>
          <w:sz w:val="32"/>
          <w:szCs w:val="32"/>
        </w:rPr>
        <w:t>压减公务接待</w:t>
      </w:r>
      <w:r>
        <w:rPr>
          <w:rFonts w:ascii="仿宋" w:eastAsia="仿宋" w:hAnsi="仿宋" w:cs="仿宋" w:hint="eastAsia"/>
          <w:sz w:val="32"/>
          <w:szCs w:val="32"/>
        </w:rPr>
        <w:t>。</w:t>
      </w:r>
    </w:p>
    <w:p w:rsidR="00E448A9" w:rsidRDefault="00973ECB">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E448A9" w:rsidRDefault="00973ECB">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E448A9" w:rsidRDefault="00973ECB">
      <w:pPr>
        <w:adjustRightInd w:val="0"/>
        <w:snapToGrid w:val="0"/>
        <w:spacing w:line="580" w:lineRule="exact"/>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w:t>
      </w:r>
      <w:r>
        <w:rPr>
          <w:rFonts w:ascii="仿宋_GB2312" w:eastAsia="仿宋_GB2312" w:hAnsi="仿宋_GB2312" w:cs="仿宋_GB2312" w:hint="eastAsia"/>
          <w:sz w:val="32"/>
          <w:szCs w:val="32"/>
        </w:rPr>
        <w:lastRenderedPageBreak/>
        <w:t>预算项目支出全面开展绩效自评，其中，一级项目</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个，二级项目</w:t>
      </w:r>
      <w:r>
        <w:rPr>
          <w:rFonts w:ascii="仿宋_GB2312" w:eastAsia="仿宋_GB2312" w:hAnsi="仿宋_GB2312" w:cs="仿宋_GB2312" w:hint="eastAsia"/>
          <w:sz w:val="32"/>
          <w:szCs w:val="32"/>
        </w:rPr>
        <w:t>41</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3540.30</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13.68%</w:t>
      </w:r>
      <w:r>
        <w:rPr>
          <w:rFonts w:ascii="仿宋_GB2312" w:eastAsia="仿宋_GB2312" w:hAnsi="仿宋_GB2312" w:cs="仿宋_GB2312" w:hint="eastAsia"/>
          <w:sz w:val="32"/>
          <w:szCs w:val="32"/>
        </w:rPr>
        <w:t>。从评价情况看，评价结果为优秀的项目有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个，良好的项目有</w:t>
      </w:r>
      <w:r>
        <w:rPr>
          <w:rFonts w:ascii="仿宋_GB2312" w:eastAsia="仿宋_GB2312" w:hAnsi="仿宋_GB2312" w:cs="仿宋_GB2312" w:hint="eastAsia"/>
          <w:sz w:val="32"/>
          <w:szCs w:val="32"/>
        </w:rPr>
        <w:t>39</w:t>
      </w:r>
      <w:r>
        <w:rPr>
          <w:rFonts w:ascii="仿宋_GB2312" w:eastAsia="仿宋_GB2312" w:hAnsi="仿宋_GB2312" w:cs="仿宋_GB2312" w:hint="eastAsia"/>
          <w:sz w:val="32"/>
          <w:szCs w:val="32"/>
        </w:rPr>
        <w:t>个。从评价情况来看，根据预算绩效管理要求，本部门组织对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w:t>
      </w:r>
      <w:r>
        <w:rPr>
          <w:rFonts w:ascii="仿宋" w:eastAsia="仿宋" w:hAnsi="仿宋" w:cs="仿宋" w:hint="eastAsia"/>
          <w:sz w:val="32"/>
          <w:szCs w:val="32"/>
        </w:rPr>
        <w:t>对部门全面规范绩效预算编制、严格预算执行管理、推进绩效评价工作、推进预决算信息公开等方面进行了自评，考核结果为</w:t>
      </w:r>
      <w:r>
        <w:rPr>
          <w:rFonts w:ascii="仿宋" w:eastAsia="仿宋" w:hAnsi="仿宋" w:cs="仿宋" w:hint="eastAsia"/>
          <w:sz w:val="32"/>
          <w:szCs w:val="32"/>
        </w:rPr>
        <w:t>良好。</w:t>
      </w:r>
    </w:p>
    <w:p w:rsidR="00E448A9" w:rsidRDefault="00973ECB">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E448A9" w:rsidRDefault="00973ECB">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粮改饲项目、农机购置补贴</w:t>
      </w:r>
      <w:r>
        <w:rPr>
          <w:rFonts w:ascii="仿宋_GB2312" w:eastAsia="仿宋_GB2312" w:hAnsi="仿宋_GB2312" w:cs="仿宋_GB2312" w:hint="eastAsia"/>
          <w:sz w:val="32"/>
          <w:szCs w:val="32"/>
        </w:rPr>
        <w:t>项目</w:t>
      </w:r>
      <w:r>
        <w:rPr>
          <w:rFonts w:ascii="仿宋_GB2312" w:eastAsia="仿宋_GB2312" w:hAnsi="仿宋_GB2312" w:cs="仿宋_GB2312" w:hint="eastAsia"/>
          <w:sz w:val="32"/>
          <w:szCs w:val="32"/>
        </w:rPr>
        <w:t>及</w:t>
      </w:r>
      <w:r>
        <w:rPr>
          <w:rFonts w:ascii="仿宋" w:eastAsia="仿宋" w:hAnsi="仿宋" w:cs="仿宋" w:hint="eastAsia"/>
          <w:sz w:val="32"/>
          <w:szCs w:val="32"/>
        </w:rPr>
        <w:t>地下水超采综合治理</w:t>
      </w:r>
      <w:r>
        <w:rPr>
          <w:rFonts w:ascii="仿宋" w:eastAsia="仿宋" w:hAnsi="仿宋" w:cs="仿宋" w:hint="eastAsia"/>
          <w:sz w:val="32"/>
          <w:szCs w:val="32"/>
        </w:rPr>
        <w:t>-</w:t>
      </w:r>
      <w:r>
        <w:rPr>
          <w:rFonts w:ascii="仿宋" w:eastAsia="仿宋" w:hAnsi="仿宋" w:cs="仿宋" w:hint="eastAsia"/>
          <w:sz w:val="32"/>
          <w:szCs w:val="32"/>
        </w:rPr>
        <w:t>小麦节水品种推广</w:t>
      </w:r>
      <w:r>
        <w:rPr>
          <w:rFonts w:ascii="仿宋" w:eastAsia="仿宋" w:hAnsi="仿宋" w:cs="仿宋" w:hint="eastAsia"/>
          <w:sz w:val="32"/>
          <w:szCs w:val="32"/>
        </w:rPr>
        <w:t>项目</w:t>
      </w:r>
      <w:r>
        <w:rPr>
          <w:rFonts w:ascii="仿宋_GB2312" w:eastAsia="仿宋_GB2312" w:hAnsi="仿宋_GB2312" w:cs="仿宋_GB2312" w:hint="eastAsia"/>
          <w:sz w:val="32"/>
          <w:szCs w:val="32"/>
        </w:rPr>
        <w:t>等</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个项目绩效自评结果。</w:t>
      </w:r>
    </w:p>
    <w:p w:rsidR="00E448A9" w:rsidRDefault="00973ECB">
      <w:pPr>
        <w:adjustRightInd w:val="0"/>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1</w:t>
      </w:r>
      <w:r>
        <w:rPr>
          <w:rFonts w:ascii="仿宋" w:eastAsia="仿宋" w:hAnsi="仿宋" w:cs="仿宋" w:hint="eastAsia"/>
          <w:sz w:val="32"/>
          <w:szCs w:val="32"/>
        </w:rPr>
        <w:t>）</w:t>
      </w:r>
      <w:r>
        <w:rPr>
          <w:rFonts w:ascii="仿宋" w:eastAsia="仿宋" w:hAnsi="仿宋" w:cs="仿宋" w:hint="eastAsia"/>
          <w:sz w:val="32"/>
          <w:szCs w:val="32"/>
        </w:rPr>
        <w:t>本单位</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粮改饲</w:t>
      </w:r>
      <w:r>
        <w:rPr>
          <w:rFonts w:ascii="仿宋" w:eastAsia="仿宋" w:hAnsi="仿宋" w:cs="仿宋" w:hint="eastAsia"/>
          <w:sz w:val="32"/>
          <w:szCs w:val="32"/>
        </w:rPr>
        <w:t>项目绩效自评：根据年初设定的绩效目标</w:t>
      </w:r>
      <w:r>
        <w:rPr>
          <w:rFonts w:ascii="仿宋" w:eastAsia="仿宋" w:hAnsi="仿宋" w:cs="仿宋" w:hint="eastAsia"/>
          <w:sz w:val="32"/>
          <w:szCs w:val="32"/>
        </w:rPr>
        <w:t>，</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粮改饲</w:t>
      </w:r>
      <w:r>
        <w:rPr>
          <w:rFonts w:ascii="仿宋" w:eastAsia="仿宋" w:hAnsi="仿宋" w:cs="仿宋" w:hint="eastAsia"/>
          <w:sz w:val="32"/>
          <w:szCs w:val="32"/>
        </w:rPr>
        <w:t>项目绩效自评结果为优秀。项目全年预算数为</w:t>
      </w:r>
      <w:r>
        <w:rPr>
          <w:rFonts w:ascii="仿宋" w:eastAsia="仿宋" w:hAnsi="仿宋" w:cs="仿宋" w:hint="eastAsia"/>
          <w:sz w:val="32"/>
          <w:szCs w:val="32"/>
        </w:rPr>
        <w:t>353</w:t>
      </w:r>
      <w:r>
        <w:rPr>
          <w:rFonts w:ascii="仿宋" w:eastAsia="仿宋" w:hAnsi="仿宋" w:cs="仿宋" w:hint="eastAsia"/>
          <w:sz w:val="32"/>
          <w:szCs w:val="32"/>
        </w:rPr>
        <w:t>万元，执行数为</w:t>
      </w:r>
      <w:r>
        <w:rPr>
          <w:rFonts w:ascii="仿宋" w:eastAsia="仿宋" w:hAnsi="仿宋" w:cs="仿宋" w:hint="eastAsia"/>
          <w:sz w:val="32"/>
          <w:szCs w:val="32"/>
        </w:rPr>
        <w:t>353</w:t>
      </w:r>
      <w:r>
        <w:rPr>
          <w:rFonts w:ascii="仿宋" w:eastAsia="仿宋" w:hAnsi="仿宋" w:cs="仿宋" w:hint="eastAsia"/>
          <w:sz w:val="32"/>
          <w:szCs w:val="32"/>
        </w:rPr>
        <w:t>万元，完成预算的</w:t>
      </w:r>
      <w:r>
        <w:rPr>
          <w:rFonts w:ascii="仿宋" w:eastAsia="仿宋" w:hAnsi="仿宋" w:cs="仿宋" w:hint="eastAsia"/>
          <w:sz w:val="32"/>
          <w:szCs w:val="32"/>
        </w:rPr>
        <w:t>100</w:t>
      </w:r>
      <w:r>
        <w:rPr>
          <w:rFonts w:ascii="仿宋" w:eastAsia="仿宋" w:hAnsi="仿宋" w:cs="仿宋" w:hint="eastAsia"/>
          <w:sz w:val="32"/>
          <w:szCs w:val="32"/>
        </w:rPr>
        <w:t>%</w:t>
      </w:r>
      <w:r>
        <w:rPr>
          <w:rFonts w:ascii="仿宋" w:eastAsia="仿宋" w:hAnsi="仿宋" w:cs="仿宋" w:hint="eastAsia"/>
          <w:sz w:val="32"/>
          <w:szCs w:val="32"/>
        </w:rPr>
        <w:t>。主要产出和效果是</w:t>
      </w:r>
      <w:r>
        <w:rPr>
          <w:rFonts w:ascii="仿宋" w:eastAsia="仿宋" w:hAnsi="仿宋" w:cs="仿宋" w:hint="eastAsia"/>
          <w:color w:val="3D3D3D"/>
          <w:sz w:val="32"/>
          <w:szCs w:val="32"/>
          <w:shd w:val="clear" w:color="auto" w:fill="FFFFFF"/>
        </w:rPr>
        <w:t>扶持</w:t>
      </w:r>
      <w:r>
        <w:rPr>
          <w:rFonts w:ascii="仿宋" w:eastAsia="仿宋" w:hAnsi="仿宋" w:cs="仿宋" w:hint="eastAsia"/>
          <w:color w:val="3D3D3D"/>
          <w:sz w:val="32"/>
          <w:szCs w:val="32"/>
          <w:shd w:val="clear" w:color="auto" w:fill="FFFFFF"/>
        </w:rPr>
        <w:t>养殖场</w:t>
      </w:r>
      <w:r>
        <w:rPr>
          <w:rFonts w:ascii="仿宋" w:eastAsia="仿宋" w:hAnsi="仿宋" w:cs="仿宋" w:hint="eastAsia"/>
          <w:color w:val="3D3D3D"/>
          <w:sz w:val="32"/>
          <w:szCs w:val="32"/>
          <w:shd w:val="clear" w:color="auto" w:fill="FFFFFF"/>
        </w:rPr>
        <w:t>42</w:t>
      </w:r>
      <w:r>
        <w:rPr>
          <w:rFonts w:ascii="仿宋" w:eastAsia="仿宋" w:hAnsi="仿宋" w:cs="仿宋" w:hint="eastAsia"/>
          <w:color w:val="3D3D3D"/>
          <w:sz w:val="32"/>
          <w:szCs w:val="32"/>
          <w:shd w:val="clear" w:color="auto" w:fill="FFFFFF"/>
        </w:rPr>
        <w:t>家，完成青储数量</w:t>
      </w:r>
      <w:r>
        <w:rPr>
          <w:rFonts w:ascii="仿宋" w:eastAsia="仿宋" w:hAnsi="仿宋" w:cs="仿宋" w:hint="eastAsia"/>
          <w:kern w:val="0"/>
          <w:sz w:val="32"/>
          <w:szCs w:val="32"/>
        </w:rPr>
        <w:t>13.64</w:t>
      </w:r>
      <w:r>
        <w:rPr>
          <w:rFonts w:ascii="仿宋" w:eastAsia="仿宋" w:hAnsi="仿宋" w:cs="仿宋" w:hint="eastAsia"/>
          <w:color w:val="3D3D3D"/>
          <w:sz w:val="32"/>
          <w:szCs w:val="32"/>
          <w:shd w:val="clear" w:color="auto" w:fill="FFFFFF"/>
        </w:rPr>
        <w:t>万吨，充分发挥财政资金的杠杆作用，产生了良好的示范辐射带动效益。</w:t>
      </w:r>
      <w:r>
        <w:rPr>
          <w:rFonts w:ascii="仿宋" w:eastAsia="仿宋" w:hAnsi="仿宋" w:cs="仿宋" w:hint="eastAsia"/>
          <w:color w:val="3D3D3D"/>
          <w:sz w:val="32"/>
          <w:szCs w:val="32"/>
          <w:shd w:val="clear" w:color="auto" w:fill="FFFFFF"/>
        </w:rPr>
        <w:t>通过</w:t>
      </w:r>
      <w:r>
        <w:rPr>
          <w:rFonts w:ascii="仿宋" w:eastAsia="仿宋" w:hAnsi="仿宋" w:cs="仿宋" w:hint="eastAsia"/>
          <w:color w:val="333333"/>
          <w:sz w:val="32"/>
          <w:szCs w:val="32"/>
        </w:rPr>
        <w:t>“粮改饲”</w:t>
      </w:r>
      <w:r>
        <w:rPr>
          <w:rFonts w:ascii="仿宋" w:eastAsia="仿宋" w:hAnsi="仿宋" w:cs="仿宋" w:hint="eastAsia"/>
          <w:color w:val="333333"/>
          <w:sz w:val="32"/>
          <w:szCs w:val="32"/>
        </w:rPr>
        <w:t>项目的实施</w:t>
      </w:r>
      <w:r>
        <w:rPr>
          <w:rFonts w:ascii="仿宋" w:eastAsia="仿宋" w:hAnsi="仿宋" w:cs="仿宋" w:hint="eastAsia"/>
          <w:color w:val="333333"/>
          <w:sz w:val="32"/>
          <w:szCs w:val="32"/>
        </w:rPr>
        <w:t>促进了农业产业结构调整，增加了农民收入。同时，为草食家畜发展提供了优质饲料，促进了畜牧业发展，提高了畜牧产品质量和效益，</w:t>
      </w:r>
      <w:r>
        <w:rPr>
          <w:rFonts w:ascii="仿宋" w:eastAsia="仿宋" w:hAnsi="仿宋" w:cs="仿宋" w:hint="eastAsia"/>
          <w:color w:val="3D3D3D"/>
          <w:sz w:val="32"/>
          <w:szCs w:val="32"/>
          <w:shd w:val="clear" w:color="auto" w:fill="FFFFFF"/>
        </w:rPr>
        <w:t>实现</w:t>
      </w:r>
      <w:r>
        <w:rPr>
          <w:rFonts w:ascii="仿宋" w:eastAsia="仿宋" w:hAnsi="仿宋" w:cs="仿宋" w:hint="eastAsia"/>
          <w:color w:val="3D3D3D"/>
          <w:sz w:val="32"/>
          <w:szCs w:val="32"/>
          <w:shd w:val="clear" w:color="auto" w:fill="FFFFFF"/>
        </w:rPr>
        <w:t>了</w:t>
      </w:r>
      <w:r>
        <w:rPr>
          <w:rFonts w:ascii="仿宋" w:eastAsia="仿宋" w:hAnsi="仿宋" w:cs="仿宋" w:hint="eastAsia"/>
          <w:color w:val="3D3D3D"/>
          <w:sz w:val="32"/>
          <w:szCs w:val="32"/>
          <w:shd w:val="clear" w:color="auto" w:fill="FFFFFF"/>
        </w:rPr>
        <w:t>经济</w:t>
      </w:r>
      <w:r>
        <w:rPr>
          <w:rFonts w:ascii="仿宋" w:eastAsia="仿宋" w:hAnsi="仿宋" w:cs="仿宋" w:hint="eastAsia"/>
          <w:color w:val="3D3D3D"/>
          <w:sz w:val="32"/>
          <w:szCs w:val="32"/>
          <w:shd w:val="clear" w:color="auto" w:fill="FFFFFF"/>
        </w:rPr>
        <w:t>效益</w:t>
      </w:r>
      <w:r>
        <w:rPr>
          <w:rFonts w:ascii="仿宋" w:eastAsia="仿宋" w:hAnsi="仿宋" w:cs="仿宋" w:hint="eastAsia"/>
          <w:color w:val="3D3D3D"/>
          <w:sz w:val="32"/>
          <w:szCs w:val="32"/>
          <w:shd w:val="clear" w:color="auto" w:fill="FFFFFF"/>
        </w:rPr>
        <w:t>、社会</w:t>
      </w:r>
      <w:r>
        <w:rPr>
          <w:rFonts w:ascii="仿宋" w:eastAsia="仿宋" w:hAnsi="仿宋" w:cs="仿宋" w:hint="eastAsia"/>
          <w:color w:val="3D3D3D"/>
          <w:sz w:val="32"/>
          <w:szCs w:val="32"/>
          <w:shd w:val="clear" w:color="auto" w:fill="FFFFFF"/>
        </w:rPr>
        <w:t>效益</w:t>
      </w:r>
      <w:r>
        <w:rPr>
          <w:rFonts w:ascii="仿宋" w:eastAsia="仿宋" w:hAnsi="仿宋" w:cs="仿宋" w:hint="eastAsia"/>
          <w:color w:val="3D3D3D"/>
          <w:sz w:val="32"/>
          <w:szCs w:val="32"/>
          <w:shd w:val="clear" w:color="auto" w:fill="FFFFFF"/>
        </w:rPr>
        <w:t>和生态效益的三丰收。</w:t>
      </w:r>
      <w:r>
        <w:rPr>
          <w:rFonts w:ascii="仿宋" w:eastAsia="仿宋" w:hAnsi="仿宋" w:cs="仿宋" w:hint="eastAsia"/>
          <w:sz w:val="32"/>
          <w:szCs w:val="32"/>
        </w:rPr>
        <w:t>发现问题及原因是</w:t>
      </w:r>
      <w:r>
        <w:rPr>
          <w:rFonts w:ascii="仿宋" w:eastAsia="仿宋" w:hAnsi="仿宋" w:cs="仿宋" w:hint="eastAsia"/>
          <w:sz w:val="32"/>
          <w:szCs w:val="32"/>
        </w:rPr>
        <w:t>因财政资金紧张，</w:t>
      </w:r>
      <w:r>
        <w:rPr>
          <w:rFonts w:ascii="仿宋" w:eastAsia="仿宋" w:hAnsi="仿宋" w:cs="仿宋" w:hint="eastAsia"/>
          <w:sz w:val="32"/>
          <w:szCs w:val="32"/>
        </w:rPr>
        <w:lastRenderedPageBreak/>
        <w:t>造成资金下拨存在一定延迟</w:t>
      </w:r>
      <w:r>
        <w:rPr>
          <w:rFonts w:ascii="仿宋" w:eastAsia="仿宋" w:hAnsi="仿宋" w:cs="仿宋" w:hint="eastAsia"/>
          <w:sz w:val="32"/>
          <w:szCs w:val="32"/>
        </w:rPr>
        <w:t>。下一步改进措施是</w:t>
      </w:r>
      <w:r>
        <w:rPr>
          <w:rFonts w:ascii="仿宋" w:eastAsia="仿宋" w:hAnsi="仿宋" w:cs="仿宋" w:hint="eastAsia"/>
          <w:sz w:val="32"/>
          <w:szCs w:val="32"/>
        </w:rPr>
        <w:t>积极协调财政部门，及时下拨项目资金</w:t>
      </w:r>
      <w:r>
        <w:rPr>
          <w:rFonts w:ascii="仿宋" w:eastAsia="仿宋" w:hAnsi="仿宋" w:cs="仿宋" w:hint="eastAsia"/>
          <w:sz w:val="32"/>
          <w:szCs w:val="32"/>
        </w:rPr>
        <w:t>。</w:t>
      </w:r>
    </w:p>
    <w:p w:rsidR="00E448A9" w:rsidRDefault="00973ECB">
      <w:pPr>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本单位</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农机购置补贴</w:t>
      </w:r>
      <w:r>
        <w:rPr>
          <w:rFonts w:ascii="仿宋" w:eastAsia="仿宋" w:hAnsi="仿宋" w:cs="仿宋" w:hint="eastAsia"/>
          <w:sz w:val="32"/>
          <w:szCs w:val="32"/>
        </w:rPr>
        <w:t>项目绩效自评：根据年初设定的绩效目标</w:t>
      </w:r>
      <w:r>
        <w:rPr>
          <w:rFonts w:ascii="仿宋" w:eastAsia="仿宋" w:hAnsi="仿宋" w:cs="仿宋" w:hint="eastAsia"/>
          <w:sz w:val="32"/>
          <w:szCs w:val="32"/>
        </w:rPr>
        <w:t>，</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农机购置补贴</w:t>
      </w:r>
      <w:r>
        <w:rPr>
          <w:rFonts w:ascii="仿宋" w:eastAsia="仿宋" w:hAnsi="仿宋" w:cs="仿宋" w:hint="eastAsia"/>
          <w:sz w:val="32"/>
          <w:szCs w:val="32"/>
        </w:rPr>
        <w:t>项目绩效自评结果为优秀。项目全年预算数为</w:t>
      </w:r>
      <w:r>
        <w:rPr>
          <w:rFonts w:ascii="仿宋" w:eastAsia="仿宋" w:hAnsi="仿宋" w:cs="仿宋" w:hint="eastAsia"/>
          <w:sz w:val="32"/>
          <w:szCs w:val="32"/>
        </w:rPr>
        <w:t>1030</w:t>
      </w:r>
      <w:r>
        <w:rPr>
          <w:rFonts w:ascii="仿宋" w:eastAsia="仿宋" w:hAnsi="仿宋" w:cs="仿宋" w:hint="eastAsia"/>
          <w:sz w:val="32"/>
          <w:szCs w:val="32"/>
        </w:rPr>
        <w:t>万元，执行数为</w:t>
      </w:r>
      <w:r>
        <w:rPr>
          <w:rFonts w:ascii="仿宋" w:eastAsia="仿宋" w:hAnsi="仿宋" w:cs="仿宋" w:hint="eastAsia"/>
          <w:sz w:val="32"/>
          <w:szCs w:val="32"/>
        </w:rPr>
        <w:t>1030</w:t>
      </w:r>
      <w:r>
        <w:rPr>
          <w:rFonts w:ascii="仿宋" w:eastAsia="仿宋" w:hAnsi="仿宋" w:cs="仿宋" w:hint="eastAsia"/>
          <w:sz w:val="32"/>
          <w:szCs w:val="32"/>
        </w:rPr>
        <w:t>万元，完成预算的</w:t>
      </w:r>
      <w:r>
        <w:rPr>
          <w:rFonts w:ascii="仿宋" w:eastAsia="仿宋" w:hAnsi="仿宋" w:cs="仿宋" w:hint="eastAsia"/>
          <w:sz w:val="32"/>
          <w:szCs w:val="32"/>
        </w:rPr>
        <w:t>100</w:t>
      </w:r>
      <w:r>
        <w:rPr>
          <w:rFonts w:ascii="仿宋" w:eastAsia="仿宋" w:hAnsi="仿宋" w:cs="仿宋" w:hint="eastAsia"/>
          <w:sz w:val="32"/>
          <w:szCs w:val="32"/>
        </w:rPr>
        <w:t>%</w:t>
      </w:r>
      <w:r>
        <w:rPr>
          <w:rFonts w:ascii="仿宋" w:eastAsia="仿宋" w:hAnsi="仿宋" w:cs="仿宋" w:hint="eastAsia"/>
          <w:sz w:val="32"/>
          <w:szCs w:val="32"/>
        </w:rPr>
        <w:t>。主要产出和效果是</w:t>
      </w:r>
      <w:r>
        <w:rPr>
          <w:rFonts w:ascii="仿宋" w:eastAsia="仿宋" w:hAnsi="仿宋" w:cs="仿宋" w:hint="eastAsia"/>
          <w:sz w:val="32"/>
          <w:szCs w:val="32"/>
        </w:rPr>
        <w:t>：</w:t>
      </w:r>
    </w:p>
    <w:p w:rsidR="00E448A9" w:rsidRDefault="00E448A9">
      <w:pPr>
        <w:ind w:firstLineChars="200" w:firstLine="640"/>
        <w:rPr>
          <w:rFonts w:ascii="仿宋" w:eastAsia="仿宋" w:hAnsi="仿宋" w:cs="仿宋"/>
          <w:sz w:val="32"/>
          <w:szCs w:val="32"/>
        </w:rPr>
      </w:pPr>
      <w:r>
        <w:rPr>
          <w:rFonts w:ascii="仿宋" w:eastAsia="仿宋" w:hAnsi="仿宋" w:cs="仿宋" w:hint="eastAsia"/>
          <w:sz w:val="32"/>
          <w:szCs w:val="32"/>
        </w:rPr>
        <w:fldChar w:fldCharType="begin"/>
      </w:r>
      <w:r w:rsidR="00973ECB">
        <w:rPr>
          <w:rFonts w:ascii="仿宋" w:eastAsia="仿宋" w:hAnsi="仿宋" w:cs="仿宋" w:hint="eastAsia"/>
          <w:sz w:val="32"/>
          <w:szCs w:val="32"/>
        </w:rPr>
        <w:instrText xml:space="preserve"> = 1 \* GB3 \* MERGEFORMAT </w:instrText>
      </w:r>
      <w:r>
        <w:rPr>
          <w:rFonts w:ascii="仿宋" w:eastAsia="仿宋" w:hAnsi="仿宋" w:cs="仿宋" w:hint="eastAsia"/>
          <w:sz w:val="32"/>
          <w:szCs w:val="32"/>
        </w:rPr>
        <w:fldChar w:fldCharType="separate"/>
      </w:r>
      <w:r w:rsidR="00973ECB">
        <w:rPr>
          <w:rFonts w:ascii="仿宋" w:eastAsia="仿宋" w:hAnsi="仿宋" w:cs="仿宋" w:hint="eastAsia"/>
          <w:sz w:val="32"/>
          <w:szCs w:val="32"/>
        </w:rPr>
        <w:t>①</w:t>
      </w:r>
      <w:r>
        <w:rPr>
          <w:rFonts w:ascii="仿宋" w:eastAsia="仿宋" w:hAnsi="仿宋" w:cs="仿宋" w:hint="eastAsia"/>
          <w:sz w:val="32"/>
          <w:szCs w:val="32"/>
        </w:rPr>
        <w:fldChar w:fldCharType="end"/>
      </w:r>
      <w:r w:rsidR="00973ECB">
        <w:rPr>
          <w:rFonts w:ascii="仿宋" w:eastAsia="仿宋" w:hAnsi="仿宋" w:cs="仿宋" w:hint="eastAsia"/>
          <w:sz w:val="32"/>
          <w:szCs w:val="32"/>
        </w:rPr>
        <w:t>产出指标：补贴各类农机具</w:t>
      </w:r>
      <w:r w:rsidR="00973ECB">
        <w:rPr>
          <w:rFonts w:ascii="仿宋" w:eastAsia="仿宋" w:hAnsi="仿宋" w:cs="仿宋" w:hint="eastAsia"/>
          <w:sz w:val="32"/>
          <w:szCs w:val="32"/>
        </w:rPr>
        <w:t>300</w:t>
      </w:r>
      <w:r w:rsidR="00973ECB">
        <w:rPr>
          <w:rFonts w:ascii="仿宋" w:eastAsia="仿宋" w:hAnsi="仿宋" w:cs="仿宋" w:hint="eastAsia"/>
          <w:sz w:val="32"/>
          <w:szCs w:val="32"/>
        </w:rPr>
        <w:t>台、年度资金使用比例</w:t>
      </w:r>
      <w:r w:rsidR="00973ECB">
        <w:rPr>
          <w:rFonts w:ascii="仿宋" w:eastAsia="仿宋" w:hAnsi="仿宋" w:cs="仿宋" w:hint="eastAsia"/>
          <w:sz w:val="32"/>
          <w:szCs w:val="32"/>
        </w:rPr>
        <w:t>100%</w:t>
      </w:r>
      <w:r w:rsidR="00973ECB">
        <w:rPr>
          <w:rFonts w:ascii="仿宋" w:eastAsia="仿宋" w:hAnsi="仿宋" w:cs="仿宋" w:hint="eastAsia"/>
          <w:sz w:val="32"/>
          <w:szCs w:val="32"/>
        </w:rPr>
        <w:t>。完成情况：完成农机购置补贴机具数</w:t>
      </w:r>
      <w:r w:rsidR="00973ECB">
        <w:rPr>
          <w:rFonts w:ascii="仿宋" w:eastAsia="仿宋" w:hAnsi="仿宋" w:cs="仿宋" w:hint="eastAsia"/>
          <w:sz w:val="32"/>
          <w:szCs w:val="32"/>
        </w:rPr>
        <w:t>337</w:t>
      </w:r>
      <w:r w:rsidR="00973ECB">
        <w:rPr>
          <w:rFonts w:ascii="仿宋" w:eastAsia="仿宋" w:hAnsi="仿宋" w:cs="仿宋" w:hint="eastAsia"/>
          <w:sz w:val="32"/>
          <w:szCs w:val="32"/>
        </w:rPr>
        <w:t>台，年度资金使用比例</w:t>
      </w:r>
      <w:r w:rsidR="00973ECB">
        <w:rPr>
          <w:rFonts w:ascii="仿宋" w:eastAsia="仿宋" w:hAnsi="仿宋" w:cs="仿宋" w:hint="eastAsia"/>
          <w:sz w:val="32"/>
          <w:szCs w:val="32"/>
        </w:rPr>
        <w:t>100%</w:t>
      </w:r>
      <w:r w:rsidR="00973ECB">
        <w:rPr>
          <w:rFonts w:ascii="仿宋" w:eastAsia="仿宋" w:hAnsi="仿宋" w:cs="仿宋" w:hint="eastAsia"/>
          <w:sz w:val="32"/>
          <w:szCs w:val="32"/>
        </w:rPr>
        <w:t>。完成目标任务</w:t>
      </w:r>
      <w:r w:rsidR="00973ECB">
        <w:rPr>
          <w:rFonts w:ascii="仿宋" w:eastAsia="仿宋" w:hAnsi="仿宋" w:cs="仿宋" w:hint="eastAsia"/>
          <w:sz w:val="32"/>
          <w:szCs w:val="32"/>
        </w:rPr>
        <w:t>100%</w:t>
      </w:r>
      <w:r w:rsidR="00973ECB">
        <w:rPr>
          <w:rFonts w:ascii="仿宋" w:eastAsia="仿宋" w:hAnsi="仿宋" w:cs="仿宋" w:hint="eastAsia"/>
          <w:sz w:val="32"/>
          <w:szCs w:val="32"/>
        </w:rPr>
        <w:t>。</w:t>
      </w:r>
    </w:p>
    <w:p w:rsidR="00E448A9" w:rsidRDefault="00E448A9">
      <w:pPr>
        <w:ind w:firstLineChars="200" w:firstLine="640"/>
        <w:rPr>
          <w:rFonts w:ascii="仿宋" w:eastAsia="仿宋" w:hAnsi="仿宋" w:cs="仿宋"/>
          <w:sz w:val="32"/>
          <w:szCs w:val="32"/>
        </w:rPr>
      </w:pPr>
      <w:r>
        <w:rPr>
          <w:rFonts w:ascii="仿宋" w:eastAsia="仿宋" w:hAnsi="仿宋" w:cs="仿宋" w:hint="eastAsia"/>
          <w:sz w:val="32"/>
          <w:szCs w:val="32"/>
        </w:rPr>
        <w:fldChar w:fldCharType="begin"/>
      </w:r>
      <w:r w:rsidR="00973ECB">
        <w:rPr>
          <w:rFonts w:ascii="仿宋" w:eastAsia="仿宋" w:hAnsi="仿宋" w:cs="仿宋" w:hint="eastAsia"/>
          <w:sz w:val="32"/>
          <w:szCs w:val="32"/>
        </w:rPr>
        <w:instrText xml:space="preserve"> = 2 \* GB3 \* MERGEFORMAT </w:instrText>
      </w:r>
      <w:r>
        <w:rPr>
          <w:rFonts w:ascii="仿宋" w:eastAsia="仿宋" w:hAnsi="仿宋" w:cs="仿宋" w:hint="eastAsia"/>
          <w:sz w:val="32"/>
          <w:szCs w:val="32"/>
        </w:rPr>
        <w:fldChar w:fldCharType="separate"/>
      </w:r>
      <w:r w:rsidR="00973ECB">
        <w:rPr>
          <w:rFonts w:ascii="仿宋" w:eastAsia="仿宋" w:hAnsi="仿宋" w:cs="仿宋" w:hint="eastAsia"/>
          <w:sz w:val="32"/>
          <w:szCs w:val="32"/>
        </w:rPr>
        <w:t>②</w:t>
      </w:r>
      <w:r>
        <w:rPr>
          <w:rFonts w:ascii="仿宋" w:eastAsia="仿宋" w:hAnsi="仿宋" w:cs="仿宋" w:hint="eastAsia"/>
          <w:sz w:val="32"/>
          <w:szCs w:val="32"/>
        </w:rPr>
        <w:fldChar w:fldCharType="end"/>
      </w:r>
      <w:r w:rsidR="00973ECB">
        <w:rPr>
          <w:rFonts w:ascii="仿宋" w:eastAsia="仿宋" w:hAnsi="仿宋" w:cs="仿宋" w:hint="eastAsia"/>
          <w:sz w:val="32"/>
          <w:szCs w:val="32"/>
        </w:rPr>
        <w:t>效益指标：直接受益农户数</w:t>
      </w:r>
      <w:r w:rsidR="00973ECB">
        <w:rPr>
          <w:rFonts w:ascii="仿宋" w:eastAsia="仿宋" w:hAnsi="仿宋" w:cs="仿宋" w:hint="eastAsia"/>
          <w:sz w:val="32"/>
          <w:szCs w:val="32"/>
        </w:rPr>
        <w:t>200</w:t>
      </w:r>
      <w:r w:rsidR="00973ECB">
        <w:rPr>
          <w:rFonts w:ascii="仿宋" w:eastAsia="仿宋" w:hAnsi="仿宋" w:cs="仿宋" w:hint="eastAsia"/>
          <w:sz w:val="32"/>
          <w:szCs w:val="32"/>
        </w:rPr>
        <w:t>户，农作物耕种收综合机械化率</w:t>
      </w:r>
      <w:r w:rsidR="00973ECB">
        <w:rPr>
          <w:rFonts w:ascii="仿宋" w:eastAsia="仿宋" w:hAnsi="仿宋" w:cs="仿宋" w:hint="eastAsia"/>
          <w:sz w:val="32"/>
          <w:szCs w:val="32"/>
        </w:rPr>
        <w:t>95%</w:t>
      </w:r>
      <w:r w:rsidR="00973ECB">
        <w:rPr>
          <w:rFonts w:ascii="仿宋" w:eastAsia="仿宋" w:hAnsi="仿宋" w:cs="仿宋" w:hint="eastAsia"/>
          <w:sz w:val="32"/>
          <w:szCs w:val="32"/>
        </w:rPr>
        <w:t>。完成情况：直接受益农户数</w:t>
      </w:r>
      <w:r w:rsidR="00973ECB">
        <w:rPr>
          <w:rFonts w:ascii="仿宋" w:eastAsia="仿宋" w:hAnsi="仿宋" w:cs="仿宋" w:hint="eastAsia"/>
          <w:sz w:val="32"/>
          <w:szCs w:val="32"/>
        </w:rPr>
        <w:t>238</w:t>
      </w:r>
      <w:r w:rsidR="00973ECB">
        <w:rPr>
          <w:rFonts w:ascii="仿宋" w:eastAsia="仿宋" w:hAnsi="仿宋" w:cs="仿宋" w:hint="eastAsia"/>
          <w:sz w:val="32"/>
          <w:szCs w:val="32"/>
        </w:rPr>
        <w:t>户，农作物耕种收综合机械化率</w:t>
      </w:r>
      <w:r w:rsidR="00973ECB">
        <w:rPr>
          <w:rFonts w:ascii="仿宋" w:eastAsia="仿宋" w:hAnsi="仿宋" w:cs="仿宋" w:hint="eastAsia"/>
          <w:sz w:val="32"/>
          <w:szCs w:val="32"/>
        </w:rPr>
        <w:t>95%</w:t>
      </w:r>
      <w:r w:rsidR="00973ECB">
        <w:rPr>
          <w:rFonts w:ascii="仿宋" w:eastAsia="仿宋" w:hAnsi="仿宋" w:cs="仿宋" w:hint="eastAsia"/>
          <w:sz w:val="32"/>
          <w:szCs w:val="32"/>
        </w:rPr>
        <w:t>。完成目标任务</w:t>
      </w:r>
      <w:r w:rsidR="00973ECB">
        <w:rPr>
          <w:rFonts w:ascii="仿宋" w:eastAsia="仿宋" w:hAnsi="仿宋" w:cs="仿宋" w:hint="eastAsia"/>
          <w:sz w:val="32"/>
          <w:szCs w:val="32"/>
        </w:rPr>
        <w:t>100%</w:t>
      </w:r>
      <w:r w:rsidR="00973ECB">
        <w:rPr>
          <w:rFonts w:ascii="仿宋" w:eastAsia="仿宋" w:hAnsi="仿宋" w:cs="仿宋" w:hint="eastAsia"/>
          <w:sz w:val="32"/>
          <w:szCs w:val="32"/>
        </w:rPr>
        <w:t>。</w:t>
      </w:r>
    </w:p>
    <w:p w:rsidR="00E448A9" w:rsidRDefault="00E448A9">
      <w:pPr>
        <w:ind w:firstLineChars="200" w:firstLine="640"/>
        <w:rPr>
          <w:rFonts w:ascii="仿宋" w:eastAsia="仿宋" w:hAnsi="仿宋" w:cs="仿宋"/>
          <w:sz w:val="32"/>
          <w:szCs w:val="32"/>
        </w:rPr>
      </w:pPr>
      <w:r>
        <w:rPr>
          <w:rFonts w:ascii="仿宋" w:eastAsia="仿宋" w:hAnsi="仿宋" w:cs="仿宋" w:hint="eastAsia"/>
          <w:sz w:val="32"/>
          <w:szCs w:val="32"/>
        </w:rPr>
        <w:fldChar w:fldCharType="begin"/>
      </w:r>
      <w:r w:rsidR="00973ECB">
        <w:rPr>
          <w:rFonts w:ascii="仿宋" w:eastAsia="仿宋" w:hAnsi="仿宋" w:cs="仿宋" w:hint="eastAsia"/>
          <w:sz w:val="32"/>
          <w:szCs w:val="32"/>
        </w:rPr>
        <w:instrText xml:space="preserve"> = 3 \* GB3 \* MERGEFORMAT </w:instrText>
      </w:r>
      <w:r>
        <w:rPr>
          <w:rFonts w:ascii="仿宋" w:eastAsia="仿宋" w:hAnsi="仿宋" w:cs="仿宋" w:hint="eastAsia"/>
          <w:sz w:val="32"/>
          <w:szCs w:val="32"/>
        </w:rPr>
        <w:fldChar w:fldCharType="separate"/>
      </w:r>
      <w:r w:rsidR="00973ECB">
        <w:rPr>
          <w:rFonts w:ascii="仿宋" w:eastAsia="仿宋" w:hAnsi="仿宋" w:cs="仿宋" w:hint="eastAsia"/>
          <w:sz w:val="32"/>
          <w:szCs w:val="32"/>
        </w:rPr>
        <w:t>③</w:t>
      </w:r>
      <w:r>
        <w:rPr>
          <w:rFonts w:ascii="仿宋" w:eastAsia="仿宋" w:hAnsi="仿宋" w:cs="仿宋" w:hint="eastAsia"/>
          <w:sz w:val="32"/>
          <w:szCs w:val="32"/>
        </w:rPr>
        <w:fldChar w:fldCharType="end"/>
      </w:r>
      <w:r w:rsidR="00973ECB">
        <w:rPr>
          <w:rFonts w:ascii="仿宋" w:eastAsia="仿宋" w:hAnsi="仿宋" w:cs="仿宋" w:hint="eastAsia"/>
          <w:sz w:val="32"/>
          <w:szCs w:val="32"/>
        </w:rPr>
        <w:t>满意度指标：政策公</w:t>
      </w:r>
      <w:r w:rsidR="00973ECB">
        <w:rPr>
          <w:rFonts w:ascii="仿宋" w:eastAsia="仿宋" w:hAnsi="仿宋" w:cs="仿宋" w:hint="eastAsia"/>
          <w:sz w:val="32"/>
          <w:szCs w:val="32"/>
        </w:rPr>
        <w:t>开率</w:t>
      </w:r>
      <w:r w:rsidR="00973ECB">
        <w:rPr>
          <w:rFonts w:ascii="仿宋" w:eastAsia="仿宋" w:hAnsi="仿宋" w:cs="仿宋" w:hint="eastAsia"/>
          <w:sz w:val="32"/>
          <w:szCs w:val="32"/>
        </w:rPr>
        <w:t>100%</w:t>
      </w:r>
      <w:r w:rsidR="00973ECB">
        <w:rPr>
          <w:rFonts w:ascii="仿宋" w:eastAsia="仿宋" w:hAnsi="仿宋" w:cs="仿宋" w:hint="eastAsia"/>
          <w:sz w:val="32"/>
          <w:szCs w:val="32"/>
        </w:rPr>
        <w:t>、年度内资金兑付率</w:t>
      </w:r>
      <w:r w:rsidR="00973ECB">
        <w:rPr>
          <w:rFonts w:ascii="仿宋" w:eastAsia="仿宋" w:hAnsi="仿宋" w:cs="仿宋" w:hint="eastAsia"/>
          <w:sz w:val="32"/>
          <w:szCs w:val="32"/>
        </w:rPr>
        <w:t>100%</w:t>
      </w:r>
      <w:r w:rsidR="00973ECB">
        <w:rPr>
          <w:rFonts w:ascii="仿宋" w:eastAsia="仿宋" w:hAnsi="仿宋" w:cs="仿宋" w:hint="eastAsia"/>
          <w:sz w:val="32"/>
          <w:szCs w:val="32"/>
        </w:rPr>
        <w:t>。</w:t>
      </w:r>
    </w:p>
    <w:p w:rsidR="00E448A9" w:rsidRDefault="00973ECB">
      <w:pPr>
        <w:rPr>
          <w:rFonts w:ascii="仿宋" w:eastAsia="仿宋" w:hAnsi="仿宋" w:cs="仿宋"/>
          <w:sz w:val="32"/>
          <w:szCs w:val="32"/>
        </w:rPr>
      </w:pPr>
      <w:r>
        <w:rPr>
          <w:rFonts w:ascii="仿宋" w:eastAsia="仿宋" w:hAnsi="仿宋" w:cs="仿宋" w:hint="eastAsia"/>
          <w:sz w:val="32"/>
          <w:szCs w:val="32"/>
        </w:rPr>
        <w:t>完成情况：政策公开率</w:t>
      </w:r>
      <w:r>
        <w:rPr>
          <w:rFonts w:ascii="仿宋" w:eastAsia="仿宋" w:hAnsi="仿宋" w:cs="仿宋" w:hint="eastAsia"/>
          <w:sz w:val="32"/>
          <w:szCs w:val="32"/>
        </w:rPr>
        <w:t>100%</w:t>
      </w:r>
      <w:r>
        <w:rPr>
          <w:rFonts w:ascii="仿宋" w:eastAsia="仿宋" w:hAnsi="仿宋" w:cs="仿宋" w:hint="eastAsia"/>
          <w:sz w:val="32"/>
          <w:szCs w:val="32"/>
        </w:rPr>
        <w:t>、年度内资金兑付率</w:t>
      </w:r>
      <w:r>
        <w:rPr>
          <w:rFonts w:ascii="仿宋" w:eastAsia="仿宋" w:hAnsi="仿宋" w:cs="仿宋" w:hint="eastAsia"/>
          <w:sz w:val="32"/>
          <w:szCs w:val="32"/>
        </w:rPr>
        <w:t>100%</w:t>
      </w:r>
      <w:r>
        <w:rPr>
          <w:rFonts w:ascii="仿宋" w:eastAsia="仿宋" w:hAnsi="仿宋" w:cs="仿宋" w:hint="eastAsia"/>
          <w:sz w:val="32"/>
          <w:szCs w:val="32"/>
        </w:rPr>
        <w:t>。完成目标任务</w:t>
      </w:r>
      <w:r>
        <w:rPr>
          <w:rFonts w:ascii="仿宋" w:eastAsia="仿宋" w:hAnsi="仿宋" w:cs="仿宋" w:hint="eastAsia"/>
          <w:sz w:val="32"/>
          <w:szCs w:val="32"/>
        </w:rPr>
        <w:t>100%</w:t>
      </w:r>
      <w:r>
        <w:rPr>
          <w:rFonts w:ascii="仿宋" w:eastAsia="仿宋" w:hAnsi="仿宋" w:cs="仿宋" w:hint="eastAsia"/>
          <w:sz w:val="32"/>
          <w:szCs w:val="32"/>
        </w:rPr>
        <w:t>。</w:t>
      </w:r>
    </w:p>
    <w:p w:rsidR="00E448A9" w:rsidRDefault="00973ECB">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3</w:t>
      </w:r>
      <w:r>
        <w:rPr>
          <w:rFonts w:ascii="仿宋" w:eastAsia="仿宋" w:hAnsi="仿宋" w:cs="仿宋" w:hint="eastAsia"/>
          <w:sz w:val="32"/>
          <w:szCs w:val="32"/>
        </w:rPr>
        <w:t>）</w:t>
      </w:r>
      <w:r>
        <w:rPr>
          <w:rFonts w:ascii="仿宋" w:eastAsia="仿宋" w:hAnsi="仿宋" w:cs="仿宋" w:hint="eastAsia"/>
          <w:sz w:val="32"/>
          <w:szCs w:val="32"/>
        </w:rPr>
        <w:t>本单位</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地下水超采综合治理</w:t>
      </w:r>
      <w:r>
        <w:rPr>
          <w:rFonts w:ascii="仿宋" w:eastAsia="仿宋" w:hAnsi="仿宋" w:cs="仿宋" w:hint="eastAsia"/>
          <w:sz w:val="32"/>
          <w:szCs w:val="32"/>
        </w:rPr>
        <w:t>-</w:t>
      </w:r>
      <w:r>
        <w:rPr>
          <w:rFonts w:ascii="仿宋" w:eastAsia="仿宋" w:hAnsi="仿宋" w:cs="仿宋" w:hint="eastAsia"/>
          <w:sz w:val="32"/>
          <w:szCs w:val="32"/>
        </w:rPr>
        <w:t>小麦节水品种推广</w:t>
      </w:r>
      <w:r>
        <w:rPr>
          <w:rFonts w:ascii="仿宋" w:eastAsia="仿宋" w:hAnsi="仿宋" w:cs="仿宋" w:hint="eastAsia"/>
          <w:sz w:val="32"/>
          <w:szCs w:val="32"/>
        </w:rPr>
        <w:t>项目绩效自评：根据年初设定的绩效目标</w:t>
      </w:r>
      <w:r>
        <w:rPr>
          <w:rFonts w:ascii="仿宋" w:eastAsia="仿宋" w:hAnsi="仿宋" w:cs="仿宋" w:hint="eastAsia"/>
          <w:sz w:val="32"/>
          <w:szCs w:val="32"/>
        </w:rPr>
        <w:t>，</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地下水超采综合治理</w:t>
      </w:r>
      <w:r>
        <w:rPr>
          <w:rFonts w:ascii="仿宋" w:eastAsia="仿宋" w:hAnsi="仿宋" w:cs="仿宋" w:hint="eastAsia"/>
          <w:sz w:val="32"/>
          <w:szCs w:val="32"/>
        </w:rPr>
        <w:t>-</w:t>
      </w:r>
      <w:r>
        <w:rPr>
          <w:rFonts w:ascii="仿宋" w:eastAsia="仿宋" w:hAnsi="仿宋" w:cs="仿宋" w:hint="eastAsia"/>
          <w:sz w:val="32"/>
          <w:szCs w:val="32"/>
        </w:rPr>
        <w:t>小麦节水品种推广</w:t>
      </w:r>
      <w:r>
        <w:rPr>
          <w:rFonts w:ascii="仿宋" w:eastAsia="仿宋" w:hAnsi="仿宋" w:cs="仿宋" w:hint="eastAsia"/>
          <w:sz w:val="32"/>
          <w:szCs w:val="32"/>
        </w:rPr>
        <w:t>项目绩效自评结果为</w:t>
      </w:r>
      <w:r>
        <w:rPr>
          <w:rFonts w:ascii="仿宋" w:eastAsia="仿宋" w:hAnsi="仿宋" w:cs="仿宋" w:hint="eastAsia"/>
          <w:sz w:val="32"/>
          <w:szCs w:val="32"/>
        </w:rPr>
        <w:t>良好</w:t>
      </w:r>
      <w:r>
        <w:rPr>
          <w:rFonts w:ascii="仿宋" w:eastAsia="仿宋" w:hAnsi="仿宋" w:cs="仿宋" w:hint="eastAsia"/>
          <w:sz w:val="32"/>
          <w:szCs w:val="32"/>
        </w:rPr>
        <w:t>。项目全年预算数为</w:t>
      </w:r>
      <w:r>
        <w:rPr>
          <w:rFonts w:ascii="仿宋" w:eastAsia="仿宋" w:hAnsi="仿宋" w:cs="仿宋" w:hint="eastAsia"/>
          <w:sz w:val="32"/>
          <w:szCs w:val="32"/>
        </w:rPr>
        <w:t>546</w:t>
      </w:r>
      <w:r>
        <w:rPr>
          <w:rFonts w:ascii="仿宋" w:eastAsia="仿宋" w:hAnsi="仿宋" w:cs="仿宋" w:hint="eastAsia"/>
          <w:sz w:val="32"/>
          <w:szCs w:val="32"/>
        </w:rPr>
        <w:t>万元，执行数为</w:t>
      </w:r>
      <w:r>
        <w:rPr>
          <w:rFonts w:ascii="仿宋" w:eastAsia="仿宋" w:hAnsi="仿宋" w:cs="仿宋" w:hint="eastAsia"/>
          <w:sz w:val="32"/>
          <w:szCs w:val="32"/>
        </w:rPr>
        <w:t>546</w:t>
      </w:r>
      <w:r>
        <w:rPr>
          <w:rFonts w:ascii="仿宋" w:eastAsia="仿宋" w:hAnsi="仿宋" w:cs="仿宋" w:hint="eastAsia"/>
          <w:sz w:val="32"/>
          <w:szCs w:val="32"/>
        </w:rPr>
        <w:t>万元，完成预算的</w:t>
      </w:r>
      <w:r>
        <w:rPr>
          <w:rFonts w:ascii="仿宋" w:eastAsia="仿宋" w:hAnsi="仿宋" w:cs="仿宋" w:hint="eastAsia"/>
          <w:sz w:val="32"/>
          <w:szCs w:val="32"/>
        </w:rPr>
        <w:t>100</w:t>
      </w:r>
      <w:r>
        <w:rPr>
          <w:rFonts w:ascii="仿宋" w:eastAsia="仿宋" w:hAnsi="仿宋" w:cs="仿宋" w:hint="eastAsia"/>
          <w:sz w:val="32"/>
          <w:szCs w:val="32"/>
        </w:rPr>
        <w:t>%</w:t>
      </w:r>
      <w:r>
        <w:rPr>
          <w:rFonts w:ascii="仿宋" w:eastAsia="仿宋" w:hAnsi="仿宋" w:cs="仿宋" w:hint="eastAsia"/>
          <w:sz w:val="32"/>
          <w:szCs w:val="32"/>
        </w:rPr>
        <w:t>。主要产出和效果是</w:t>
      </w:r>
      <w:r>
        <w:rPr>
          <w:rFonts w:ascii="仿宋" w:eastAsia="仿宋" w:hAnsi="仿宋" w:cs="仿宋" w:hint="eastAsia"/>
          <w:sz w:val="32"/>
          <w:szCs w:val="32"/>
        </w:rPr>
        <w:t>无极县</w:t>
      </w:r>
      <w:r>
        <w:rPr>
          <w:rFonts w:ascii="仿宋" w:eastAsia="仿宋" w:hAnsi="仿宋" w:cs="仿宋" w:hint="eastAsia"/>
          <w:sz w:val="32"/>
          <w:szCs w:val="32"/>
        </w:rPr>
        <w:t>2019</w:t>
      </w:r>
      <w:r>
        <w:rPr>
          <w:rFonts w:ascii="仿宋" w:eastAsia="仿宋" w:hAnsi="仿宋" w:cs="仿宋" w:hint="eastAsia"/>
          <w:sz w:val="32"/>
          <w:szCs w:val="32"/>
        </w:rPr>
        <w:t>年</w:t>
      </w:r>
      <w:r>
        <w:rPr>
          <w:rFonts w:ascii="仿宋" w:eastAsia="仿宋" w:hAnsi="仿宋" w:cs="仿宋" w:hint="eastAsia"/>
          <w:sz w:val="32"/>
          <w:szCs w:val="32"/>
        </w:rPr>
        <w:t>小麦节水品种及配套技术推广</w:t>
      </w:r>
      <w:r>
        <w:rPr>
          <w:rFonts w:ascii="仿宋" w:eastAsia="仿宋" w:hAnsi="仿宋" w:cs="仿宋" w:hint="eastAsia"/>
          <w:sz w:val="32"/>
          <w:szCs w:val="32"/>
        </w:rPr>
        <w:lastRenderedPageBreak/>
        <w:t>项目</w:t>
      </w:r>
      <w:r>
        <w:rPr>
          <w:rFonts w:ascii="仿宋" w:eastAsia="仿宋" w:hAnsi="仿宋" w:cs="仿宋" w:hint="eastAsia"/>
          <w:sz w:val="32"/>
          <w:szCs w:val="32"/>
        </w:rPr>
        <w:t>实施面积</w:t>
      </w:r>
      <w:r>
        <w:rPr>
          <w:rFonts w:ascii="仿宋" w:eastAsia="仿宋" w:hAnsi="仿宋" w:cs="仿宋" w:hint="eastAsia"/>
          <w:sz w:val="32"/>
          <w:szCs w:val="32"/>
        </w:rPr>
        <w:t>7.8</w:t>
      </w:r>
      <w:r>
        <w:rPr>
          <w:rFonts w:ascii="仿宋" w:eastAsia="仿宋" w:hAnsi="仿宋" w:cs="仿宋" w:hint="eastAsia"/>
          <w:sz w:val="32"/>
          <w:szCs w:val="32"/>
        </w:rPr>
        <w:t>万亩，实际落实面积</w:t>
      </w:r>
      <w:r>
        <w:rPr>
          <w:rFonts w:ascii="仿宋" w:eastAsia="仿宋" w:hAnsi="仿宋" w:cs="仿宋" w:hint="eastAsia"/>
          <w:sz w:val="32"/>
          <w:szCs w:val="32"/>
        </w:rPr>
        <w:t>7.81</w:t>
      </w:r>
      <w:r>
        <w:rPr>
          <w:rFonts w:ascii="仿宋" w:eastAsia="仿宋" w:hAnsi="仿宋" w:cs="仿宋" w:hint="eastAsia"/>
          <w:sz w:val="32"/>
          <w:szCs w:val="32"/>
        </w:rPr>
        <w:t>万亩，推过推广造墒播种、播后镇压、适度推迟春一水、浇好</w:t>
      </w:r>
      <w:r>
        <w:rPr>
          <w:rFonts w:ascii="仿宋" w:eastAsia="仿宋" w:hAnsi="仿宋" w:cs="仿宋" w:hint="eastAsia"/>
          <w:sz w:val="32"/>
          <w:szCs w:val="32"/>
        </w:rPr>
        <w:t>孕穗水等关键技术，大力推广春季只浇</w:t>
      </w:r>
      <w:r>
        <w:rPr>
          <w:rFonts w:ascii="仿宋" w:eastAsia="仿宋" w:hAnsi="仿宋" w:cs="仿宋" w:hint="eastAsia"/>
          <w:sz w:val="32"/>
          <w:szCs w:val="32"/>
        </w:rPr>
        <w:t>1-2</w:t>
      </w:r>
      <w:r>
        <w:rPr>
          <w:rFonts w:ascii="仿宋" w:eastAsia="仿宋" w:hAnsi="仿宋" w:cs="仿宋" w:hint="eastAsia"/>
          <w:sz w:val="32"/>
          <w:szCs w:val="32"/>
        </w:rPr>
        <w:t>水，少浇</w:t>
      </w:r>
      <w:r>
        <w:rPr>
          <w:rFonts w:ascii="仿宋" w:eastAsia="仿宋" w:hAnsi="仿宋" w:cs="仿宋" w:hint="eastAsia"/>
          <w:sz w:val="32"/>
          <w:szCs w:val="32"/>
        </w:rPr>
        <w:t>1-2</w:t>
      </w:r>
      <w:r>
        <w:rPr>
          <w:rFonts w:ascii="仿宋" w:eastAsia="仿宋" w:hAnsi="仿宋" w:cs="仿宋" w:hint="eastAsia"/>
          <w:sz w:val="32"/>
          <w:szCs w:val="32"/>
        </w:rPr>
        <w:t>水，实现压采地下水</w:t>
      </w:r>
      <w:r>
        <w:rPr>
          <w:rFonts w:ascii="仿宋" w:eastAsia="仿宋" w:hAnsi="仿宋" w:cs="仿宋" w:hint="eastAsia"/>
          <w:sz w:val="32"/>
          <w:szCs w:val="32"/>
        </w:rPr>
        <w:t>395</w:t>
      </w:r>
      <w:r>
        <w:rPr>
          <w:rFonts w:ascii="仿宋" w:eastAsia="仿宋" w:hAnsi="仿宋" w:cs="仿宋" w:hint="eastAsia"/>
          <w:sz w:val="32"/>
          <w:szCs w:val="32"/>
        </w:rPr>
        <w:t>万立方米。</w:t>
      </w:r>
      <w:r>
        <w:rPr>
          <w:rFonts w:ascii="仿宋" w:eastAsia="仿宋" w:hAnsi="仿宋" w:cs="仿宋" w:hint="eastAsia"/>
          <w:sz w:val="32"/>
          <w:szCs w:val="32"/>
        </w:rPr>
        <w:t>存在</w:t>
      </w:r>
      <w:r>
        <w:rPr>
          <w:rFonts w:ascii="仿宋" w:eastAsia="仿宋" w:hAnsi="仿宋" w:cs="仿宋" w:hint="eastAsia"/>
          <w:sz w:val="32"/>
          <w:szCs w:val="32"/>
        </w:rPr>
        <w:t>问题及原因是</w:t>
      </w:r>
      <w:r>
        <w:rPr>
          <w:rFonts w:ascii="仿宋" w:eastAsia="仿宋" w:hAnsi="仿宋" w:cs="仿宋" w:hint="eastAsia"/>
          <w:sz w:val="32"/>
          <w:szCs w:val="32"/>
        </w:rPr>
        <w:t>因财政资金紧张，造成资金下拨存在一定延迟</w:t>
      </w:r>
      <w:r>
        <w:rPr>
          <w:rFonts w:ascii="仿宋" w:eastAsia="仿宋" w:hAnsi="仿宋" w:cs="仿宋" w:hint="eastAsia"/>
          <w:sz w:val="32"/>
          <w:szCs w:val="32"/>
        </w:rPr>
        <w:t>。下一步改进措施是</w:t>
      </w:r>
      <w:r>
        <w:rPr>
          <w:rFonts w:ascii="仿宋" w:eastAsia="仿宋" w:hAnsi="仿宋" w:cs="仿宋" w:hint="eastAsia"/>
          <w:sz w:val="32"/>
          <w:szCs w:val="32"/>
        </w:rPr>
        <w:t>积极协调财政部门，及时下拨项目资金</w:t>
      </w:r>
      <w:r>
        <w:rPr>
          <w:rFonts w:ascii="仿宋" w:eastAsia="仿宋" w:hAnsi="仿宋" w:cs="仿宋" w:hint="eastAsia"/>
          <w:sz w:val="32"/>
          <w:szCs w:val="32"/>
        </w:rPr>
        <w:t>。</w:t>
      </w:r>
    </w:p>
    <w:p w:rsidR="00E448A9" w:rsidRDefault="00973ECB">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3.</w:t>
      </w:r>
      <w:r>
        <w:rPr>
          <w:rFonts w:ascii="仿宋" w:eastAsia="仿宋" w:hAnsi="仿宋" w:cs="仿宋" w:hint="eastAsia"/>
          <w:b/>
          <w:bCs/>
          <w:sz w:val="32"/>
          <w:szCs w:val="32"/>
        </w:rPr>
        <w:t>财政评价项目绩效评价结果</w:t>
      </w:r>
    </w:p>
    <w:p w:rsidR="00E448A9" w:rsidRDefault="00973ECB">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hint="eastAsia"/>
          <w:sz w:val="32"/>
          <w:szCs w:val="32"/>
        </w:rPr>
        <w:t>无</w:t>
      </w:r>
    </w:p>
    <w:p w:rsidR="00E448A9" w:rsidRDefault="00973EC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E448A9" w:rsidRDefault="00973EC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73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44</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w:t>
      </w:r>
      <w:r>
        <w:rPr>
          <w:rFonts w:ascii="仿宋_GB2312" w:eastAsia="仿宋_GB2312" w:hAnsi="Times New Roman" w:cs="DengXian-Regular" w:hint="eastAsia"/>
          <w:sz w:val="32"/>
          <w:szCs w:val="32"/>
        </w:rPr>
        <w:t>59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39</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14.05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23.66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机构合并，管理事项增加，造成机关运行经费增长</w:t>
      </w:r>
      <w:r>
        <w:rPr>
          <w:rFonts w:ascii="仿宋_GB2312" w:eastAsia="仿宋_GB2312" w:hAnsi="Times New Roman" w:cs="DengXian-Regular" w:hint="eastAsia"/>
          <w:sz w:val="32"/>
          <w:szCs w:val="32"/>
        </w:rPr>
        <w:t>。</w:t>
      </w:r>
    </w:p>
    <w:p w:rsidR="00E448A9" w:rsidRDefault="00973ECB">
      <w:pPr>
        <w:numPr>
          <w:ilvl w:val="0"/>
          <w:numId w:val="4"/>
        </w:num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政府采购情况</w:t>
      </w:r>
    </w:p>
    <w:p w:rsidR="00E448A9" w:rsidRDefault="00973ECB">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2160.53</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160</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2000.53</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E448A9" w:rsidRDefault="00973EC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E448A9" w:rsidRDefault="00973EC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lastRenderedPageBreak/>
        <w:t>变化</w:t>
      </w:r>
      <w:r>
        <w:rPr>
          <w:rFonts w:ascii="仿宋_GB2312" w:eastAsia="仿宋_GB2312" w:hAnsi="Times New Roman" w:cs="DengXian-Regular" w:hint="eastAsia"/>
          <w:sz w:val="32"/>
          <w:szCs w:val="32"/>
        </w:rPr>
        <w:t>。其中，</w:t>
      </w:r>
      <w:r w:rsidR="00974391" w:rsidRPr="0068583B">
        <w:rPr>
          <w:rFonts w:ascii="仿宋" w:eastAsia="仿宋" w:hAnsi="仿宋" w:cs="DengXian-Regular" w:hint="eastAsia"/>
          <w:sz w:val="32"/>
          <w:szCs w:val="32"/>
        </w:rPr>
        <w:t>副部（省）级及以上领导用车</w:t>
      </w:r>
      <w:r w:rsidR="00974391" w:rsidRPr="0068583B">
        <w:rPr>
          <w:rFonts w:ascii="仿宋" w:eastAsia="仿宋" w:hAnsi="仿宋" w:cs="DengXian-Regular"/>
          <w:sz w:val="32"/>
          <w:szCs w:val="32"/>
        </w:rPr>
        <w:t>0</w:t>
      </w:r>
      <w:r w:rsidR="00974391" w:rsidRPr="0068583B">
        <w:rPr>
          <w:rFonts w:ascii="仿宋" w:eastAsia="仿宋" w:hAnsi="仿宋" w:cs="DengXian-Regular" w:hint="eastAsia"/>
          <w:sz w:val="32"/>
          <w:szCs w:val="32"/>
        </w:rPr>
        <w:t>辆，主要领导干部用车</w:t>
      </w:r>
      <w:r w:rsidR="00974391">
        <w:rPr>
          <w:rFonts w:ascii="仿宋" w:eastAsia="仿宋" w:hAnsi="仿宋" w:cs="DengXian-Regular" w:hint="eastAsia"/>
          <w:sz w:val="32"/>
          <w:szCs w:val="32"/>
        </w:rPr>
        <w:t>0</w:t>
      </w:r>
      <w:r w:rsidR="00974391" w:rsidRPr="0068583B">
        <w:rPr>
          <w:rFonts w:ascii="仿宋" w:eastAsia="仿宋" w:hAnsi="仿宋" w:cs="DengXian-Regular" w:hint="eastAsia"/>
          <w:sz w:val="32"/>
          <w:szCs w:val="32"/>
        </w:rPr>
        <w:t>辆，机要通信用车</w:t>
      </w:r>
      <w:r w:rsidR="00974391" w:rsidRPr="0068583B">
        <w:rPr>
          <w:rFonts w:ascii="仿宋" w:eastAsia="仿宋" w:hAnsi="仿宋" w:cs="DengXian-Regular"/>
          <w:sz w:val="32"/>
          <w:szCs w:val="32"/>
        </w:rPr>
        <w:t>0</w:t>
      </w:r>
      <w:r w:rsidR="00974391" w:rsidRPr="0068583B">
        <w:rPr>
          <w:rFonts w:ascii="仿宋" w:eastAsia="仿宋" w:hAnsi="仿宋" w:cs="DengXian-Regular" w:hint="eastAsia"/>
          <w:sz w:val="32"/>
          <w:szCs w:val="32"/>
        </w:rPr>
        <w:t>辆，</w:t>
      </w:r>
      <w:r>
        <w:rPr>
          <w:rFonts w:ascii="仿宋_GB2312" w:eastAsia="仿宋_GB2312" w:hAnsi="Times New Roman" w:cs="DengXian-Regular" w:hint="eastAsia"/>
          <w:sz w:val="32"/>
          <w:szCs w:val="32"/>
        </w:rPr>
        <w:t>应急通信保障</w:t>
      </w:r>
      <w:r>
        <w:rPr>
          <w:rFonts w:ascii="仿宋_GB2312" w:eastAsia="仿宋_GB2312" w:hAnsi="Times New Roman" w:cs="DengXian-Regular" w:hint="eastAsia"/>
          <w:sz w:val="32"/>
          <w:szCs w:val="32"/>
        </w:rPr>
        <w:t>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w:t>
      </w:r>
      <w:r w:rsidR="00974391" w:rsidRPr="0068583B">
        <w:rPr>
          <w:rFonts w:ascii="仿宋" w:eastAsia="仿宋" w:hAnsi="仿宋" w:cs="DengXian-Regular" w:hint="eastAsia"/>
          <w:sz w:val="32"/>
          <w:szCs w:val="32"/>
        </w:rPr>
        <w:t>特种专业技术用车</w:t>
      </w:r>
      <w:r w:rsidR="00974391" w:rsidRPr="0068583B">
        <w:rPr>
          <w:rFonts w:ascii="仿宋" w:eastAsia="仿宋" w:hAnsi="仿宋" w:cs="DengXian-Regular"/>
          <w:sz w:val="32"/>
          <w:szCs w:val="32"/>
        </w:rPr>
        <w:t>0</w:t>
      </w:r>
      <w:r w:rsidR="00974391" w:rsidRPr="0068583B">
        <w:rPr>
          <w:rFonts w:ascii="仿宋" w:eastAsia="仿宋" w:hAnsi="仿宋" w:cs="DengXian-Regular" w:hint="eastAsia"/>
          <w:sz w:val="32"/>
          <w:szCs w:val="32"/>
        </w:rPr>
        <w:t>辆，离退休干部用车</w:t>
      </w:r>
      <w:r w:rsidR="00974391" w:rsidRPr="0068583B">
        <w:rPr>
          <w:rFonts w:ascii="仿宋" w:eastAsia="仿宋" w:hAnsi="仿宋" w:cs="DengXian-Regular"/>
          <w:sz w:val="32"/>
          <w:szCs w:val="32"/>
        </w:rPr>
        <w:t>0</w:t>
      </w:r>
      <w:r w:rsidR="00974391" w:rsidRPr="0068583B">
        <w:rPr>
          <w:rFonts w:ascii="仿宋" w:eastAsia="仿宋" w:hAnsi="仿宋" w:cs="DengXian-Regular" w:hint="eastAsia"/>
          <w:sz w:val="32"/>
          <w:szCs w:val="32"/>
        </w:rPr>
        <w:t>辆，其他用车</w:t>
      </w:r>
      <w:r w:rsidR="00974391">
        <w:rPr>
          <w:rFonts w:ascii="仿宋" w:eastAsia="仿宋" w:hAnsi="仿宋" w:cs="DengXian-Regular" w:hint="eastAsia"/>
          <w:sz w:val="32"/>
          <w:szCs w:val="32"/>
        </w:rPr>
        <w:t>0</w:t>
      </w:r>
      <w:r w:rsidR="00974391" w:rsidRPr="0068583B">
        <w:rPr>
          <w:rFonts w:ascii="仿宋" w:eastAsia="仿宋" w:hAnsi="仿宋" w:cs="DengXian-Regular" w:hint="eastAsia"/>
          <w:sz w:val="32"/>
          <w:szCs w:val="32"/>
        </w:rPr>
        <w:t>辆，</w:t>
      </w:r>
    </w:p>
    <w:p w:rsidR="00E448A9" w:rsidRDefault="00973ECB">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w:t>
      </w:r>
    </w:p>
    <w:p w:rsidR="00E448A9" w:rsidRDefault="00973EC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E448A9" w:rsidRDefault="00973ECB">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cs="DengXian-Regular" w:hint="eastAsia"/>
          <w:sz w:val="32"/>
          <w:szCs w:val="32"/>
        </w:rPr>
        <w:t>不存在</w:t>
      </w:r>
      <w:r>
        <w:rPr>
          <w:rFonts w:ascii="仿宋_GB2312" w:eastAsia="仿宋_GB2312" w:cs="DengXian-Regular" w:hint="eastAsia"/>
          <w:sz w:val="32"/>
          <w:szCs w:val="32"/>
        </w:rPr>
        <w:t>国有资本经营预算</w:t>
      </w:r>
      <w:r>
        <w:rPr>
          <w:rFonts w:ascii="仿宋_GB2312" w:eastAsia="仿宋_GB2312" w:cs="DengXian-Regular" w:hint="eastAsia"/>
          <w:sz w:val="32"/>
          <w:szCs w:val="32"/>
        </w:rPr>
        <w:t>，故</w:t>
      </w:r>
      <w:r>
        <w:rPr>
          <w:rFonts w:ascii="仿宋_GB2312" w:eastAsia="仿宋_GB2312" w:cs="DengXian-Regular" w:hint="eastAsia"/>
          <w:sz w:val="32"/>
          <w:szCs w:val="32"/>
        </w:rPr>
        <w:t>国有资本经营预算财政拨款收入支出决算表为空。</w:t>
      </w:r>
    </w:p>
    <w:p w:rsidR="00E448A9" w:rsidRDefault="00973ECB">
      <w:pPr>
        <w:adjustRightInd w:val="0"/>
        <w:snapToGrid w:val="0"/>
        <w:spacing w:line="580" w:lineRule="exact"/>
        <w:ind w:firstLineChars="200" w:firstLine="640"/>
        <w:rPr>
          <w:rFonts w:ascii="宋体" w:eastAsia="宋体" w:hAnsi="宋体" w:cs="MS-UIGothic,Bold"/>
          <w:b/>
          <w:bCs/>
          <w:kern w:val="0"/>
          <w:sz w:val="44"/>
          <w:szCs w:val="44"/>
        </w:rPr>
        <w:sectPr w:rsidR="00E448A9">
          <w:headerReference w:type="default" r:id="rId31"/>
          <w:type w:val="continuous"/>
          <w:pgSz w:w="11906" w:h="16838"/>
          <w:pgMar w:top="2098" w:right="1474" w:bottom="1984" w:left="1588" w:header="851" w:footer="992" w:gutter="0"/>
          <w:pgNumType w:fmt="numberInDash"/>
          <w:cols w:space="0"/>
          <w:docGrid w:type="lines" w:linePitch="312"/>
        </w:sect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E448A9" w:rsidRDefault="00973ECB">
      <w:pPr>
        <w:ind w:firstLineChars="200" w:firstLine="640"/>
        <w:jc w:val="left"/>
        <w:rPr>
          <w:rFonts w:ascii="仿宋_GB2312" w:eastAsia="仿宋_GB2312" w:cs="DengXian-Regular"/>
          <w:sz w:val="32"/>
          <w:szCs w:val="32"/>
        </w:rPr>
        <w:sectPr w:rsidR="00E448A9">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仿宋_GB2312" w:eastAsia="仿宋_GB2312" w:hAnsi="Times New Roman" w:cs="DengXian-Regular" w:hint="eastAsia"/>
          <w:sz w:val="32"/>
          <w:szCs w:val="32"/>
        </w:rPr>
        <w:lastRenderedPageBreak/>
        <w:t>3.</w:t>
      </w:r>
      <w:r>
        <w:rPr>
          <w:rFonts w:ascii="仿宋_GB2312" w:eastAsia="仿宋_GB2312" w:cs="DengXian-Regular" w:hint="eastAsia"/>
          <w:sz w:val="32"/>
          <w:szCs w:val="32"/>
        </w:rPr>
        <w:t>由于退休人员已经全部转到社保发放工资，在人员统计中不再对退休人员进行统计，但支出明细表中有退休费，是因为退休员交通补、取暖费和目标奖仍由原单位列支。</w:t>
      </w:r>
    </w:p>
    <w:p w:rsidR="00E448A9" w:rsidRDefault="00E448A9">
      <w:pPr>
        <w:jc w:val="center"/>
      </w:pPr>
    </w:p>
    <w:p w:rsidR="00E448A9" w:rsidRDefault="00E448A9">
      <w:pPr>
        <w:jc w:val="center"/>
      </w:pPr>
    </w:p>
    <w:p w:rsidR="00E448A9" w:rsidRDefault="00E448A9">
      <w:pPr>
        <w:jc w:val="center"/>
      </w:pPr>
    </w:p>
    <w:p w:rsidR="00E448A9" w:rsidRDefault="00E448A9">
      <w:pPr>
        <w:jc w:val="center"/>
      </w:pPr>
    </w:p>
    <w:p w:rsidR="00E448A9" w:rsidRDefault="00E448A9">
      <w:pPr>
        <w:jc w:val="center"/>
      </w:pPr>
    </w:p>
    <w:p w:rsidR="00E448A9" w:rsidRDefault="00E448A9">
      <w:pPr>
        <w:jc w:val="center"/>
      </w:pPr>
      <w:r w:rsidRPr="00E448A9">
        <w:rPr>
          <w:sz w:val="72"/>
        </w:rPr>
        <w:pict>
          <v:shape id="_x0000_s1029" type="#_x0000_t202" style="position:absolute;left:0;text-align:left;margin-left:-80.45pt;margin-top:34.8pt;width:613.65pt;height:263.1pt;z-index:251687936;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2" o:title="image1" color2="white [3212]" type="pattern"/>
            <v:stroke joinstyle="round"/>
            <v:textbox>
              <w:txbxContent>
                <w:p w:rsidR="00E448A9" w:rsidRDefault="00973ECB">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E448A9" w:rsidRDefault="00E448A9"/>
    <w:p w:rsidR="00E448A9" w:rsidRDefault="00E448A9"/>
    <w:p w:rsidR="00E448A9" w:rsidRDefault="00E448A9"/>
    <w:p w:rsidR="00E448A9" w:rsidRDefault="00E448A9"/>
    <w:p w:rsidR="00E448A9" w:rsidRDefault="00E448A9"/>
    <w:p w:rsidR="00E448A9" w:rsidRDefault="00E448A9"/>
    <w:p w:rsidR="00E448A9" w:rsidRDefault="00E448A9"/>
    <w:p w:rsidR="00E448A9" w:rsidRDefault="00E448A9"/>
    <w:p w:rsidR="00E448A9" w:rsidRDefault="00E448A9"/>
    <w:p w:rsidR="00E448A9" w:rsidRDefault="00E448A9"/>
    <w:p w:rsidR="00E448A9" w:rsidRDefault="00E448A9">
      <w:pPr>
        <w:widowControl/>
        <w:spacing w:line="560" w:lineRule="exact"/>
        <w:ind w:firstLineChars="200" w:firstLine="643"/>
        <w:rPr>
          <w:rFonts w:ascii="仿宋_GB2312" w:eastAsia="仿宋_GB2312" w:hAnsi="宋体" w:cs="Times New Roman"/>
          <w:b/>
          <w:bCs/>
          <w:color w:val="000000"/>
          <w:kern w:val="0"/>
          <w:sz w:val="32"/>
          <w:szCs w:val="32"/>
        </w:rPr>
      </w:pPr>
    </w:p>
    <w:p w:rsidR="00E448A9" w:rsidRDefault="00E448A9">
      <w:pPr>
        <w:widowControl/>
        <w:spacing w:line="560" w:lineRule="exact"/>
        <w:ind w:firstLineChars="200" w:firstLine="643"/>
        <w:rPr>
          <w:rFonts w:ascii="仿宋_GB2312" w:eastAsia="仿宋_GB2312" w:hAnsi="宋体" w:cs="Times New Roman"/>
          <w:b/>
          <w:bCs/>
          <w:color w:val="000000"/>
          <w:kern w:val="0"/>
          <w:sz w:val="32"/>
          <w:szCs w:val="32"/>
        </w:rPr>
      </w:pPr>
    </w:p>
    <w:p w:rsidR="00E448A9" w:rsidRDefault="00E448A9">
      <w:pPr>
        <w:widowControl/>
        <w:spacing w:line="560" w:lineRule="exact"/>
        <w:ind w:firstLineChars="200" w:firstLine="643"/>
        <w:rPr>
          <w:rFonts w:ascii="仿宋_GB2312" w:eastAsia="仿宋_GB2312" w:hAnsi="宋体" w:cs="Times New Roman"/>
          <w:b/>
          <w:bCs/>
          <w:color w:val="000000"/>
          <w:kern w:val="0"/>
          <w:sz w:val="32"/>
          <w:szCs w:val="32"/>
        </w:rPr>
      </w:pPr>
    </w:p>
    <w:p w:rsidR="00E448A9" w:rsidRDefault="00E448A9">
      <w:pPr>
        <w:widowControl/>
        <w:spacing w:line="560" w:lineRule="exact"/>
        <w:ind w:firstLineChars="200" w:firstLine="643"/>
        <w:rPr>
          <w:rFonts w:ascii="仿宋_GB2312" w:eastAsia="仿宋_GB2312" w:hAnsi="宋体" w:cs="Times New Roman"/>
          <w:b/>
          <w:bCs/>
          <w:color w:val="000000"/>
          <w:kern w:val="0"/>
          <w:sz w:val="32"/>
          <w:szCs w:val="32"/>
        </w:rPr>
      </w:pP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w:t>
      </w:r>
      <w:r>
        <w:rPr>
          <w:rFonts w:ascii="仿宋_GB2312" w:eastAsia="仿宋_GB2312" w:hAnsi="宋体" w:cs="Times New Roman" w:hint="eastAsia"/>
          <w:color w:val="000000"/>
          <w:kern w:val="0"/>
          <w:sz w:val="32"/>
          <w:szCs w:val="32"/>
        </w:rPr>
        <w:t>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E448A9" w:rsidRDefault="00973EC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w:t>
      </w:r>
      <w:r>
        <w:rPr>
          <w:rFonts w:ascii="仿宋_GB2312" w:eastAsia="仿宋_GB2312" w:hAnsi="宋体" w:cs="Times New Roman" w:hint="eastAsia"/>
          <w:color w:val="000000"/>
          <w:kern w:val="0"/>
          <w:sz w:val="32"/>
          <w:szCs w:val="32"/>
        </w:rPr>
        <w:t>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E448A9" w:rsidRDefault="00973EC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w:t>
      </w:r>
      <w:r>
        <w:rPr>
          <w:rFonts w:ascii="仿宋_GB2312" w:eastAsia="仿宋_GB2312" w:hAnsi="宋体" w:cs="Times New Roman" w:hint="eastAsia"/>
          <w:b/>
          <w:bCs/>
          <w:color w:val="000000"/>
          <w:kern w:val="0"/>
          <w:sz w:val="32"/>
          <w:szCs w:val="32"/>
        </w:rPr>
        <w:t>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E448A9" w:rsidRDefault="00973EC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E448A9" w:rsidRDefault="00973ECB">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E448A9" w:rsidRDefault="00E448A9"/>
    <w:p w:rsidR="00E448A9" w:rsidRDefault="00E448A9"/>
    <w:p w:rsidR="00E448A9" w:rsidRDefault="00E448A9"/>
    <w:p w:rsidR="00E448A9" w:rsidRDefault="00E448A9"/>
    <w:p w:rsidR="00E448A9" w:rsidRDefault="00E448A9">
      <w:pPr>
        <w:tabs>
          <w:tab w:val="left" w:pos="235"/>
        </w:tabs>
        <w:jc w:val="left"/>
      </w:pPr>
    </w:p>
    <w:p w:rsidR="00E448A9" w:rsidRDefault="00E448A9">
      <w:pPr>
        <w:tabs>
          <w:tab w:val="left" w:pos="235"/>
        </w:tabs>
        <w:jc w:val="left"/>
      </w:pPr>
    </w:p>
    <w:p w:rsidR="00E448A9" w:rsidRDefault="00E448A9">
      <w:pPr>
        <w:tabs>
          <w:tab w:val="left" w:pos="235"/>
        </w:tabs>
        <w:jc w:val="left"/>
      </w:pPr>
    </w:p>
    <w:p w:rsidR="00E448A9" w:rsidRDefault="00E448A9">
      <w:pPr>
        <w:tabs>
          <w:tab w:val="left" w:pos="235"/>
        </w:tabs>
        <w:jc w:val="left"/>
      </w:pPr>
    </w:p>
    <w:p w:rsidR="00E448A9" w:rsidRDefault="00E448A9">
      <w:pPr>
        <w:tabs>
          <w:tab w:val="left" w:pos="235"/>
        </w:tabs>
        <w:jc w:val="left"/>
      </w:pPr>
    </w:p>
    <w:p w:rsidR="00E448A9" w:rsidRDefault="00E448A9">
      <w:pPr>
        <w:tabs>
          <w:tab w:val="left" w:pos="235"/>
        </w:tabs>
        <w:jc w:val="left"/>
      </w:pPr>
    </w:p>
    <w:p w:rsidR="00E448A9" w:rsidRDefault="00E448A9">
      <w:pPr>
        <w:tabs>
          <w:tab w:val="left" w:pos="235"/>
        </w:tabs>
        <w:jc w:val="left"/>
        <w:sectPr w:rsidR="00E448A9">
          <w:headerReference w:type="default" r:id="rId36"/>
          <w:pgSz w:w="11906" w:h="16838"/>
          <w:pgMar w:top="2098" w:right="1474" w:bottom="1985" w:left="1588" w:header="851" w:footer="992" w:gutter="0"/>
          <w:pgNumType w:fmt="numberInDash"/>
          <w:cols w:space="425"/>
          <w:docGrid w:type="lines" w:linePitch="312"/>
        </w:sectPr>
      </w:pPr>
      <w:r w:rsidRPr="00E448A9">
        <w:rPr>
          <w:sz w:val="72"/>
        </w:rPr>
        <w:pict>
          <v:shape id="_x0000_s1028" type="#_x0000_t202" style="position:absolute;margin-left:-82.05pt;margin-top:111.85pt;width:613.65pt;height:263.1pt;z-index:251688960;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2" o:title="image1" color2="white [3212]" type="pattern"/>
            <v:stroke joinstyle="round"/>
            <v:textbox>
              <w:txbxContent>
                <w:p w:rsidR="00E448A9" w:rsidRDefault="00973EC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E448A9" w:rsidRDefault="00973ECB">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tbl>
      <w:tblPr>
        <w:tblW w:w="9945" w:type="dxa"/>
        <w:jc w:val="center"/>
        <w:tblLayout w:type="fixed"/>
        <w:tblCellMar>
          <w:left w:w="0" w:type="dxa"/>
          <w:right w:w="0" w:type="dxa"/>
        </w:tblCellMar>
        <w:tblLook w:val="04A0"/>
      </w:tblPr>
      <w:tblGrid>
        <w:gridCol w:w="3320"/>
        <w:gridCol w:w="584"/>
        <w:gridCol w:w="1125"/>
        <w:gridCol w:w="3086"/>
        <w:gridCol w:w="612"/>
        <w:gridCol w:w="1218"/>
      </w:tblGrid>
      <w:tr w:rsidR="00E448A9">
        <w:trPr>
          <w:trHeight w:val="390"/>
          <w:jc w:val="center"/>
        </w:trPr>
        <w:tc>
          <w:tcPr>
            <w:tcW w:w="9945" w:type="dxa"/>
            <w:gridSpan w:val="6"/>
            <w:tcBorders>
              <w:top w:val="nil"/>
              <w:left w:val="nil"/>
              <w:bottom w:val="nil"/>
              <w:right w:val="nil"/>
            </w:tcBorders>
            <w:shd w:val="clear" w:color="auto" w:fill="auto"/>
            <w:tcMar>
              <w:top w:w="15" w:type="dxa"/>
              <w:left w:w="15" w:type="dxa"/>
              <w:right w:w="15" w:type="dxa"/>
            </w:tcMar>
            <w:vAlign w:val="bottom"/>
          </w:tcPr>
          <w:p w:rsidR="00E448A9" w:rsidRDefault="00973ECB">
            <w:pPr>
              <w:jc w:val="center"/>
              <w:rPr>
                <w:rFonts w:ascii="Arial" w:hAnsi="Arial" w:cs="Arial"/>
                <w:color w:val="000000"/>
                <w:sz w:val="20"/>
                <w:szCs w:val="20"/>
              </w:rPr>
            </w:pPr>
            <w:r>
              <w:rPr>
                <w:rFonts w:ascii="宋体" w:eastAsia="宋体" w:hAnsi="宋体" w:cs="宋体" w:hint="eastAsia"/>
                <w:color w:val="000000"/>
                <w:kern w:val="0"/>
                <w:sz w:val="30"/>
                <w:szCs w:val="30"/>
                <w:lang/>
              </w:rPr>
              <w:lastRenderedPageBreak/>
              <w:t>收入支出决算总表</w:t>
            </w:r>
          </w:p>
        </w:tc>
      </w:tr>
      <w:tr w:rsidR="00E448A9">
        <w:trPr>
          <w:trHeight w:val="255"/>
          <w:jc w:val="center"/>
        </w:trPr>
        <w:tc>
          <w:tcPr>
            <w:tcW w:w="332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8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08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61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18"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E448A9">
        <w:trPr>
          <w:trHeight w:val="255"/>
          <w:jc w:val="center"/>
        </w:trPr>
        <w:tc>
          <w:tcPr>
            <w:tcW w:w="3320" w:type="dxa"/>
            <w:tcBorders>
              <w:top w:val="nil"/>
              <w:left w:val="nil"/>
              <w:bottom w:val="nil"/>
              <w:right w:val="nil"/>
            </w:tcBorders>
            <w:shd w:val="clear" w:color="auto" w:fill="FFFFFF" w:themeFill="background1"/>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部门：无极县农业农村局</w:t>
            </w:r>
          </w:p>
        </w:tc>
        <w:tc>
          <w:tcPr>
            <w:tcW w:w="584" w:type="dxa"/>
            <w:tcBorders>
              <w:top w:val="nil"/>
              <w:left w:val="nil"/>
              <w:bottom w:val="nil"/>
              <w:right w:val="nil"/>
            </w:tcBorders>
            <w:shd w:val="clear" w:color="auto" w:fill="FFFFFF" w:themeFill="background1"/>
            <w:tcMar>
              <w:top w:w="15" w:type="dxa"/>
              <w:left w:w="15" w:type="dxa"/>
              <w:right w:w="15" w:type="dxa"/>
            </w:tcMar>
            <w:vAlign w:val="bottom"/>
          </w:tcPr>
          <w:p w:rsidR="00E448A9" w:rsidRDefault="00E448A9">
            <w:pPr>
              <w:rPr>
                <w:rFonts w:ascii="Arial" w:hAnsi="Arial" w:cs="Arial"/>
                <w:color w:val="000000"/>
                <w:sz w:val="20"/>
                <w:szCs w:val="20"/>
              </w:rPr>
            </w:pPr>
          </w:p>
        </w:tc>
        <w:tc>
          <w:tcPr>
            <w:tcW w:w="1125" w:type="dxa"/>
            <w:tcBorders>
              <w:top w:val="nil"/>
              <w:left w:val="nil"/>
              <w:bottom w:val="nil"/>
              <w:right w:val="nil"/>
            </w:tcBorders>
            <w:shd w:val="clear" w:color="auto" w:fill="FFFFFF" w:themeFill="background1"/>
            <w:tcMar>
              <w:top w:w="15" w:type="dxa"/>
              <w:left w:w="15" w:type="dxa"/>
              <w:right w:w="15" w:type="dxa"/>
            </w:tcMar>
            <w:vAlign w:val="bottom"/>
          </w:tcPr>
          <w:p w:rsidR="00E448A9" w:rsidRDefault="00E448A9">
            <w:pPr>
              <w:rPr>
                <w:rFonts w:ascii="Arial" w:hAnsi="Arial" w:cs="Arial"/>
                <w:color w:val="000000"/>
                <w:sz w:val="20"/>
                <w:szCs w:val="20"/>
              </w:rPr>
            </w:pPr>
          </w:p>
        </w:tc>
        <w:tc>
          <w:tcPr>
            <w:tcW w:w="3086" w:type="dxa"/>
            <w:tcBorders>
              <w:top w:val="nil"/>
              <w:left w:val="nil"/>
              <w:bottom w:val="nil"/>
              <w:right w:val="nil"/>
            </w:tcBorders>
            <w:shd w:val="clear" w:color="auto" w:fill="FFFFFF" w:themeFill="background1"/>
            <w:tcMar>
              <w:top w:w="15" w:type="dxa"/>
              <w:left w:w="15" w:type="dxa"/>
              <w:right w:w="15" w:type="dxa"/>
            </w:tcMar>
            <w:vAlign w:val="bottom"/>
          </w:tcPr>
          <w:p w:rsidR="00E448A9" w:rsidRDefault="00E448A9">
            <w:pPr>
              <w:rPr>
                <w:rFonts w:ascii="Arial" w:hAnsi="Arial" w:cs="Arial"/>
                <w:color w:val="000000"/>
                <w:sz w:val="20"/>
                <w:szCs w:val="20"/>
              </w:rPr>
            </w:pPr>
          </w:p>
        </w:tc>
        <w:tc>
          <w:tcPr>
            <w:tcW w:w="1830" w:type="dxa"/>
            <w:gridSpan w:val="2"/>
            <w:tcBorders>
              <w:top w:val="nil"/>
              <w:left w:val="nil"/>
              <w:bottom w:val="nil"/>
              <w:right w:val="nil"/>
            </w:tcBorders>
            <w:shd w:val="clear" w:color="auto" w:fill="FFFFFF" w:themeFill="background1"/>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E448A9">
        <w:trPr>
          <w:trHeight w:val="308"/>
          <w:jc w:val="center"/>
        </w:trPr>
        <w:tc>
          <w:tcPr>
            <w:tcW w:w="5029"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916" w:type="dxa"/>
            <w:gridSpan w:val="3"/>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46,926.03</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686.00</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475.68</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46.85</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19,419.84</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6,960.48</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47,395.60</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28,058.43</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13,464.58</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32,801.75</w:t>
            </w: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22"/>
              </w:rPr>
            </w:pPr>
          </w:p>
        </w:tc>
      </w:tr>
      <w:tr w:rsidR="00E448A9">
        <w:trPr>
          <w:trHeight w:val="308"/>
          <w:jc w:val="center"/>
        </w:trPr>
        <w:tc>
          <w:tcPr>
            <w:tcW w:w="332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84"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11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60,860.18</w:t>
            </w:r>
          </w:p>
        </w:tc>
        <w:tc>
          <w:tcPr>
            <w:tcW w:w="308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61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121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60,860.18</w:t>
            </w:r>
          </w:p>
        </w:tc>
      </w:tr>
      <w:tr w:rsidR="00E448A9">
        <w:trPr>
          <w:trHeight w:val="308"/>
          <w:jc w:val="center"/>
        </w:trPr>
        <w:tc>
          <w:tcPr>
            <w:tcW w:w="9945" w:type="dxa"/>
            <w:gridSpan w:val="6"/>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注：本表反映部门本年度的总收支和年末结转结余情况。</w:t>
            </w:r>
          </w:p>
        </w:tc>
      </w:tr>
    </w:tbl>
    <w:p w:rsidR="00E448A9" w:rsidRDefault="00E448A9">
      <w:pPr>
        <w:tabs>
          <w:tab w:val="left" w:pos="886"/>
        </w:tabs>
        <w:jc w:val="left"/>
      </w:pPr>
    </w:p>
    <w:p w:rsidR="00E448A9" w:rsidRDefault="00E448A9">
      <w:pPr>
        <w:jc w:val="left"/>
      </w:pPr>
    </w:p>
    <w:tbl>
      <w:tblPr>
        <w:tblW w:w="9054" w:type="dxa"/>
        <w:jc w:val="right"/>
        <w:tblLayout w:type="fixed"/>
        <w:tblCellMar>
          <w:left w:w="0" w:type="dxa"/>
          <w:right w:w="0" w:type="dxa"/>
        </w:tblCellMar>
        <w:tblLook w:val="04A0"/>
      </w:tblPr>
      <w:tblGrid>
        <w:gridCol w:w="342"/>
        <w:gridCol w:w="240"/>
        <w:gridCol w:w="260"/>
        <w:gridCol w:w="2425"/>
        <w:gridCol w:w="1037"/>
        <w:gridCol w:w="988"/>
        <w:gridCol w:w="800"/>
        <w:gridCol w:w="825"/>
        <w:gridCol w:w="762"/>
        <w:gridCol w:w="725"/>
        <w:gridCol w:w="650"/>
      </w:tblGrid>
      <w:tr w:rsidR="00E448A9">
        <w:trPr>
          <w:trHeight w:val="390"/>
          <w:jc w:val="right"/>
        </w:trPr>
        <w:tc>
          <w:tcPr>
            <w:tcW w:w="9054" w:type="dxa"/>
            <w:gridSpan w:val="11"/>
            <w:tcBorders>
              <w:top w:val="nil"/>
              <w:left w:val="nil"/>
              <w:bottom w:val="nil"/>
              <w:right w:val="nil"/>
            </w:tcBorders>
            <w:shd w:val="clear" w:color="auto" w:fill="auto"/>
            <w:tcMar>
              <w:top w:w="15" w:type="dxa"/>
              <w:left w:w="15" w:type="dxa"/>
              <w:right w:w="15" w:type="dxa"/>
            </w:tcMar>
            <w:vAlign w:val="bottom"/>
          </w:tcPr>
          <w:p w:rsidR="00E448A9" w:rsidRDefault="00973ECB">
            <w:pPr>
              <w:jc w:val="center"/>
              <w:rPr>
                <w:rFonts w:ascii="Arial" w:hAnsi="Arial" w:cs="Arial"/>
                <w:color w:val="000000"/>
                <w:sz w:val="20"/>
                <w:szCs w:val="20"/>
              </w:rPr>
            </w:pPr>
            <w:r>
              <w:rPr>
                <w:rFonts w:ascii="宋体" w:eastAsia="宋体" w:hAnsi="宋体" w:cs="宋体" w:hint="eastAsia"/>
                <w:color w:val="000000"/>
                <w:kern w:val="0"/>
                <w:sz w:val="30"/>
                <w:szCs w:val="30"/>
                <w:lang/>
              </w:rPr>
              <w:lastRenderedPageBreak/>
              <w:t>收入决算表</w:t>
            </w:r>
          </w:p>
        </w:tc>
      </w:tr>
      <w:tr w:rsidR="00E448A9">
        <w:trPr>
          <w:trHeight w:val="255"/>
          <w:jc w:val="right"/>
        </w:trPr>
        <w:tc>
          <w:tcPr>
            <w:tcW w:w="34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24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26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242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103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98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0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2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76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1375"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02</w:t>
            </w:r>
            <w:r>
              <w:rPr>
                <w:rFonts w:ascii="宋体" w:eastAsia="宋体" w:hAnsi="宋体" w:cs="宋体" w:hint="eastAsia"/>
                <w:color w:val="000000"/>
                <w:kern w:val="0"/>
                <w:sz w:val="18"/>
                <w:szCs w:val="18"/>
                <w:lang/>
              </w:rPr>
              <w:t>表</w:t>
            </w:r>
          </w:p>
        </w:tc>
      </w:tr>
      <w:tr w:rsidR="00E448A9">
        <w:trPr>
          <w:trHeight w:val="255"/>
          <w:jc w:val="right"/>
        </w:trPr>
        <w:tc>
          <w:tcPr>
            <w:tcW w:w="3267" w:type="dxa"/>
            <w:gridSpan w:val="4"/>
            <w:tcBorders>
              <w:top w:val="nil"/>
              <w:left w:val="nil"/>
              <w:bottom w:val="nil"/>
              <w:right w:val="nil"/>
            </w:tcBorders>
            <w:shd w:val="clear" w:color="auto" w:fill="auto"/>
            <w:tcMar>
              <w:top w:w="15" w:type="dxa"/>
              <w:left w:w="15" w:type="dxa"/>
              <w:right w:w="15" w:type="dxa"/>
            </w:tcMar>
            <w:vAlign w:val="bottom"/>
          </w:tcPr>
          <w:p w:rsidR="00E448A9" w:rsidRDefault="00973ECB">
            <w:pPr>
              <w:rPr>
                <w:rFonts w:ascii="Arial" w:hAnsi="Arial" w:cs="Arial"/>
                <w:color w:val="000000"/>
                <w:sz w:val="18"/>
                <w:szCs w:val="18"/>
              </w:rPr>
            </w:pPr>
            <w:r>
              <w:rPr>
                <w:rFonts w:ascii="宋体" w:eastAsia="宋体" w:hAnsi="宋体" w:cs="宋体" w:hint="eastAsia"/>
                <w:color w:val="000000"/>
                <w:kern w:val="0"/>
                <w:sz w:val="18"/>
                <w:szCs w:val="18"/>
                <w:lang/>
              </w:rPr>
              <w:t>部门：无极县农业农村局</w:t>
            </w:r>
          </w:p>
        </w:tc>
        <w:tc>
          <w:tcPr>
            <w:tcW w:w="103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98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0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2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2137" w:type="dxa"/>
            <w:gridSpan w:val="3"/>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E448A9">
        <w:trPr>
          <w:trHeight w:val="308"/>
          <w:jc w:val="right"/>
        </w:trPr>
        <w:tc>
          <w:tcPr>
            <w:tcW w:w="3267"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w:t>
            </w:r>
          </w:p>
        </w:tc>
        <w:tc>
          <w:tcPr>
            <w:tcW w:w="1037"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本年收入合计</w:t>
            </w:r>
          </w:p>
        </w:tc>
        <w:tc>
          <w:tcPr>
            <w:tcW w:w="988"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财政拨款收入</w:t>
            </w:r>
          </w:p>
        </w:tc>
        <w:tc>
          <w:tcPr>
            <w:tcW w:w="800"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上级补助收入</w:t>
            </w:r>
          </w:p>
        </w:tc>
        <w:tc>
          <w:tcPr>
            <w:tcW w:w="825"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事业收入</w:t>
            </w:r>
          </w:p>
        </w:tc>
        <w:tc>
          <w:tcPr>
            <w:tcW w:w="762"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经营收入</w:t>
            </w:r>
          </w:p>
        </w:tc>
        <w:tc>
          <w:tcPr>
            <w:tcW w:w="725"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附属单位上缴收入</w:t>
            </w:r>
          </w:p>
        </w:tc>
        <w:tc>
          <w:tcPr>
            <w:tcW w:w="650"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其他收入</w:t>
            </w:r>
          </w:p>
        </w:tc>
      </w:tr>
      <w:tr w:rsidR="00E448A9">
        <w:trPr>
          <w:trHeight w:val="312"/>
          <w:jc w:val="right"/>
        </w:trPr>
        <w:tc>
          <w:tcPr>
            <w:tcW w:w="842" w:type="dxa"/>
            <w:gridSpan w:val="3"/>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功能分类科目编码</w:t>
            </w:r>
          </w:p>
        </w:tc>
        <w:tc>
          <w:tcPr>
            <w:tcW w:w="2425"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科目名称</w:t>
            </w:r>
          </w:p>
        </w:tc>
        <w:tc>
          <w:tcPr>
            <w:tcW w:w="103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8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6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65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12"/>
          <w:jc w:val="right"/>
        </w:trPr>
        <w:tc>
          <w:tcPr>
            <w:tcW w:w="842" w:type="dxa"/>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242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03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8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6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65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12"/>
          <w:jc w:val="right"/>
        </w:trPr>
        <w:tc>
          <w:tcPr>
            <w:tcW w:w="842" w:type="dxa"/>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242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03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8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6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2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650"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08"/>
          <w:jc w:val="right"/>
        </w:trPr>
        <w:tc>
          <w:tcPr>
            <w:tcW w:w="3267" w:type="dxa"/>
            <w:gridSpan w:val="4"/>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栏次</w:t>
            </w:r>
          </w:p>
        </w:tc>
        <w:tc>
          <w:tcPr>
            <w:tcW w:w="103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w:t>
            </w:r>
          </w:p>
        </w:tc>
        <w:tc>
          <w:tcPr>
            <w:tcW w:w="98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w:t>
            </w:r>
          </w:p>
        </w:tc>
        <w:tc>
          <w:tcPr>
            <w:tcW w:w="80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w:t>
            </w:r>
          </w:p>
        </w:tc>
        <w:tc>
          <w:tcPr>
            <w:tcW w:w="8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w:t>
            </w:r>
          </w:p>
        </w:tc>
        <w:tc>
          <w:tcPr>
            <w:tcW w:w="76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w:t>
            </w:r>
          </w:p>
        </w:tc>
        <w:tc>
          <w:tcPr>
            <w:tcW w:w="7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w:t>
            </w:r>
          </w:p>
        </w:tc>
        <w:tc>
          <w:tcPr>
            <w:tcW w:w="6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w:t>
            </w:r>
          </w:p>
        </w:tc>
      </w:tr>
      <w:tr w:rsidR="00E448A9">
        <w:trPr>
          <w:trHeight w:val="308"/>
          <w:jc w:val="right"/>
        </w:trPr>
        <w:tc>
          <w:tcPr>
            <w:tcW w:w="3267" w:type="dxa"/>
            <w:gridSpan w:val="4"/>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合计</w:t>
            </w:r>
          </w:p>
        </w:tc>
        <w:tc>
          <w:tcPr>
            <w:tcW w:w="103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47,395.60</w:t>
            </w:r>
          </w:p>
        </w:tc>
        <w:tc>
          <w:tcPr>
            <w:tcW w:w="98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47,395.60</w:t>
            </w:r>
          </w:p>
        </w:tc>
        <w:tc>
          <w:tcPr>
            <w:tcW w:w="80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8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76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72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6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科学技术支出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技术研究与开发</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2060404</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科技成果转化与扩散</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546.00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社会保障和就业支出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行政事业单位离退休</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归口管理的行政单位离退休</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2080505</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机关事业单位基本养老保险缴费支出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抚恤</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死亡抚恤</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退役安置</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退役士兵安置</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财政对其他社会保险基金的补助</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2082702</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财政对工伤保险基金的补助</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2082703</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财政对生育保险基金的补助</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卫生健康支出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行政事业单位医疗</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行政单位医疗</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节能环保支出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污染防治</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大气</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31,055.51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城乡社区支出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21208</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国有土地使用权出让收入及对应专项债务收入安排的支出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2120809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支付破产或改制企业职工安置费</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农林水支出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14,801.98</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14,801.98</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12,587.83</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12,587.83</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行政运行</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2130102</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一般行政管理事务</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2130103</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机关服务</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lastRenderedPageBreak/>
              <w:t>2130104</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事业运行</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2130105</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农垦运行</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2130106</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科技转化与推广服务</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1,372.89</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1,372.89</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2130108</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病虫害控制</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705.68</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705.68</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农产品质量安全</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150.27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150.27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2130110</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执法监管</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1.02</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1.02</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统计监测与信息服务</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0.65</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0.65</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2130112</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农业行业业务管理</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27.57</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27.57</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2130121</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农业结构调整补贴</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403.00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403.00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2130122</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农业生产支持补贴</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2,043.63</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2,043.63</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2130124</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农业组织化与产业化经营</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229.00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229.00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2130126</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农村公益事业</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5,900.00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5,900.00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2130135</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农业资源保护修复与利用</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22.00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22.00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2130199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536.74</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536.74</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农业综合开发</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2130699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其他农业综合开发支出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普惠金融发展支出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2130803</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农业保险保费补贴</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其他农林水支出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21.90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21.90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8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2139999</w:t>
            </w:r>
          </w:p>
        </w:tc>
        <w:tc>
          <w:tcPr>
            <w:tcW w:w="2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其他农林水支出</w:t>
            </w:r>
          </w:p>
        </w:tc>
        <w:tc>
          <w:tcPr>
            <w:tcW w:w="10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21.90</w:t>
            </w:r>
          </w:p>
        </w:tc>
        <w:tc>
          <w:tcPr>
            <w:tcW w:w="9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21.90</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right"/>
        </w:trPr>
        <w:tc>
          <w:tcPr>
            <w:tcW w:w="9054" w:type="dxa"/>
            <w:gridSpan w:val="11"/>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注：本表反映部门本年度取得的各项收入情况。</w:t>
            </w:r>
          </w:p>
        </w:tc>
      </w:tr>
    </w:tbl>
    <w:p w:rsidR="00E448A9" w:rsidRDefault="00E448A9">
      <w:pPr>
        <w:jc w:val="left"/>
        <w:rPr>
          <w:sz w:val="20"/>
          <w:szCs w:val="20"/>
        </w:rPr>
      </w:pPr>
    </w:p>
    <w:p w:rsidR="00E448A9" w:rsidRDefault="00973ECB">
      <w:r>
        <w:br w:type="page"/>
      </w:r>
    </w:p>
    <w:tbl>
      <w:tblPr>
        <w:tblW w:w="8900" w:type="dxa"/>
        <w:jc w:val="right"/>
        <w:tblLayout w:type="fixed"/>
        <w:tblCellMar>
          <w:left w:w="0" w:type="dxa"/>
          <w:right w:w="0" w:type="dxa"/>
        </w:tblCellMar>
        <w:tblLook w:val="04A0"/>
      </w:tblPr>
      <w:tblGrid>
        <w:gridCol w:w="763"/>
        <w:gridCol w:w="3044"/>
        <w:gridCol w:w="906"/>
        <w:gridCol w:w="875"/>
        <w:gridCol w:w="898"/>
        <w:gridCol w:w="755"/>
        <w:gridCol w:w="802"/>
        <w:gridCol w:w="857"/>
      </w:tblGrid>
      <w:tr w:rsidR="00E448A9">
        <w:trPr>
          <w:trHeight w:val="621"/>
          <w:jc w:val="right"/>
        </w:trPr>
        <w:tc>
          <w:tcPr>
            <w:tcW w:w="8900" w:type="dxa"/>
            <w:gridSpan w:val="8"/>
            <w:tcBorders>
              <w:top w:val="nil"/>
              <w:left w:val="nil"/>
              <w:bottom w:val="nil"/>
              <w:right w:val="nil"/>
            </w:tcBorders>
            <w:shd w:val="clear" w:color="auto" w:fill="auto"/>
            <w:tcMar>
              <w:top w:w="15" w:type="dxa"/>
              <w:left w:w="15" w:type="dxa"/>
              <w:right w:w="15" w:type="dxa"/>
            </w:tcMar>
            <w:vAlign w:val="bottom"/>
          </w:tcPr>
          <w:p w:rsidR="00E448A9" w:rsidRDefault="00973ECB">
            <w:pPr>
              <w:jc w:val="center"/>
              <w:rPr>
                <w:rFonts w:ascii="Arial" w:hAnsi="Arial" w:cs="Arial"/>
                <w:color w:val="000000"/>
                <w:sz w:val="20"/>
                <w:szCs w:val="20"/>
              </w:rPr>
            </w:pPr>
            <w:r>
              <w:rPr>
                <w:rFonts w:ascii="宋体" w:eastAsia="宋体" w:hAnsi="宋体" w:cs="宋体" w:hint="eastAsia"/>
                <w:color w:val="000000"/>
                <w:kern w:val="0"/>
                <w:sz w:val="30"/>
                <w:szCs w:val="30"/>
                <w:lang/>
              </w:rPr>
              <w:lastRenderedPageBreak/>
              <w:t>支出决算表</w:t>
            </w:r>
          </w:p>
        </w:tc>
      </w:tr>
      <w:tr w:rsidR="00E448A9">
        <w:trPr>
          <w:trHeight w:val="318"/>
          <w:jc w:val="right"/>
        </w:trPr>
        <w:tc>
          <w:tcPr>
            <w:tcW w:w="763"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04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90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7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9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5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0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57"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E448A9">
        <w:trPr>
          <w:trHeight w:val="318"/>
          <w:jc w:val="right"/>
        </w:trPr>
        <w:tc>
          <w:tcPr>
            <w:tcW w:w="3807"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rPr>
                <w:rFonts w:ascii="Arial" w:hAnsi="Arial" w:cs="Arial"/>
                <w:color w:val="000000"/>
                <w:sz w:val="18"/>
                <w:szCs w:val="18"/>
              </w:rPr>
            </w:pPr>
            <w:r>
              <w:rPr>
                <w:rFonts w:ascii="宋体" w:eastAsia="宋体" w:hAnsi="宋体" w:cs="宋体" w:hint="eastAsia"/>
                <w:color w:val="000000"/>
                <w:kern w:val="0"/>
                <w:sz w:val="18"/>
                <w:szCs w:val="18"/>
                <w:lang/>
              </w:rPr>
              <w:t>部门：无极县农业农村局</w:t>
            </w:r>
          </w:p>
        </w:tc>
        <w:tc>
          <w:tcPr>
            <w:tcW w:w="90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7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89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75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1659"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E448A9">
        <w:trPr>
          <w:trHeight w:val="328"/>
          <w:jc w:val="right"/>
        </w:trPr>
        <w:tc>
          <w:tcPr>
            <w:tcW w:w="3807"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w:t>
            </w:r>
          </w:p>
        </w:tc>
        <w:tc>
          <w:tcPr>
            <w:tcW w:w="906"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本年支出合计</w:t>
            </w:r>
          </w:p>
        </w:tc>
        <w:tc>
          <w:tcPr>
            <w:tcW w:w="875"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基本支出</w:t>
            </w:r>
          </w:p>
        </w:tc>
        <w:tc>
          <w:tcPr>
            <w:tcW w:w="898"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项目支出</w:t>
            </w:r>
          </w:p>
        </w:tc>
        <w:tc>
          <w:tcPr>
            <w:tcW w:w="755"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上缴上级支出</w:t>
            </w:r>
          </w:p>
        </w:tc>
        <w:tc>
          <w:tcPr>
            <w:tcW w:w="802"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经营支出</w:t>
            </w:r>
          </w:p>
        </w:tc>
        <w:tc>
          <w:tcPr>
            <w:tcW w:w="857" w:type="dxa"/>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对附属单位补助支出</w:t>
            </w:r>
          </w:p>
        </w:tc>
      </w:tr>
      <w:tr w:rsidR="00E448A9">
        <w:trPr>
          <w:trHeight w:val="328"/>
          <w:jc w:val="right"/>
        </w:trPr>
        <w:tc>
          <w:tcPr>
            <w:tcW w:w="763"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功能分类科目编码</w:t>
            </w:r>
          </w:p>
        </w:tc>
        <w:tc>
          <w:tcPr>
            <w:tcW w:w="3044"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科目名称</w:t>
            </w:r>
          </w:p>
        </w:tc>
        <w:tc>
          <w:tcPr>
            <w:tcW w:w="906"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7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9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5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5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28"/>
          <w:jc w:val="right"/>
        </w:trPr>
        <w:tc>
          <w:tcPr>
            <w:tcW w:w="763"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3044"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06"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7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9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5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5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12"/>
          <w:jc w:val="right"/>
        </w:trPr>
        <w:tc>
          <w:tcPr>
            <w:tcW w:w="763"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3044"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06"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7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98"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55"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02"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57" w:type="dxa"/>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28"/>
          <w:jc w:val="right"/>
        </w:trPr>
        <w:tc>
          <w:tcPr>
            <w:tcW w:w="3807" w:type="dxa"/>
            <w:gridSpan w:val="2"/>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栏次</w:t>
            </w:r>
          </w:p>
        </w:tc>
        <w:tc>
          <w:tcPr>
            <w:tcW w:w="90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w:t>
            </w:r>
          </w:p>
        </w:tc>
        <w:tc>
          <w:tcPr>
            <w:tcW w:w="87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w:t>
            </w:r>
          </w:p>
        </w:tc>
        <w:tc>
          <w:tcPr>
            <w:tcW w:w="89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w:t>
            </w:r>
          </w:p>
        </w:tc>
        <w:tc>
          <w:tcPr>
            <w:tcW w:w="75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w:t>
            </w:r>
          </w:p>
        </w:tc>
        <w:tc>
          <w:tcPr>
            <w:tcW w:w="80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w:t>
            </w:r>
          </w:p>
        </w:tc>
        <w:tc>
          <w:tcPr>
            <w:tcW w:w="85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w:t>
            </w:r>
          </w:p>
        </w:tc>
      </w:tr>
      <w:tr w:rsidR="00E448A9">
        <w:trPr>
          <w:trHeight w:val="328"/>
          <w:jc w:val="right"/>
        </w:trPr>
        <w:tc>
          <w:tcPr>
            <w:tcW w:w="3807" w:type="dxa"/>
            <w:gridSpan w:val="2"/>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合计</w:t>
            </w:r>
          </w:p>
        </w:tc>
        <w:tc>
          <w:tcPr>
            <w:tcW w:w="906"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28,058.43</w:t>
            </w:r>
          </w:p>
        </w:tc>
        <w:tc>
          <w:tcPr>
            <w:tcW w:w="87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1,842.11</w:t>
            </w:r>
          </w:p>
        </w:tc>
        <w:tc>
          <w:tcPr>
            <w:tcW w:w="89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26,216.32</w:t>
            </w:r>
          </w:p>
        </w:tc>
        <w:tc>
          <w:tcPr>
            <w:tcW w:w="75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80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c>
          <w:tcPr>
            <w:tcW w:w="85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b/>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科学技术支出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技术研究与开发</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2060404</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科技成果转化与扩散</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社会保障和就业支出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行政事业单位离退休</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归口管理的行政单位离退休</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2080505</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6"/>
                <w:szCs w:val="16"/>
                <w:lang/>
              </w:rPr>
              <w:t>机关事业单位基本养老保险缴费支出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抚恤</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死亡抚恤</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退役安置</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退役士兵安置</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财政对其他社会保险基金的补助</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2082702</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财政对工伤保险基金的补助</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2082703</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财政对生育保险基金的补助</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卫生健康支出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行政事业单位医疗</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行政单位医疗</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节能环保支出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污染防治</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大气</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城乡社区支出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124.19</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345.38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631"/>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21208</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国有土地使用权出让收入及对应专项债务收入安排的支出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124.19</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345.38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2120809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支付破产或改制企业职工安置费</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124.19</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345.38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农林水支出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6,960.48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1,195.38</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5,765.10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4,736.48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1,195.38</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3,541.10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行政运行</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2130102</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一般行政管理事务</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2130103</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机关服务</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lastRenderedPageBreak/>
              <w:t>2130104</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事业运行</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2130105</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农垦运行</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2130106</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科技转化与推广服务</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616.11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616.11</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2130108</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病虫害控制</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695.98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695.98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农产品质量安全</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141.08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141.08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2130110</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执法监管</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统计监测与信息服务</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4.36</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4.36</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2130112</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农业行业业务管理</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2.57</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2130121</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农业结构调整补贴</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711.23</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711.23</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2130122</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农业生产支持补贴</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721.13</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721.13</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2130124</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农业组织化与产业化经营</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10.00</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10.00</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2130126</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农村公益事业</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198.47</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198.47</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2130135</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农业资源保护修复与利用</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20.18</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20.18</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2130199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418.14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418.14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农业综合开发</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2130699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其他农业综合开发支出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普惠金融发展支出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2130803</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农业保险保费补贴</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其他农林水支出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763"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2139999</w:t>
            </w:r>
          </w:p>
        </w:tc>
        <w:tc>
          <w:tcPr>
            <w:tcW w:w="3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其他农林水支出</w:t>
            </w:r>
          </w:p>
        </w:tc>
        <w:tc>
          <w:tcPr>
            <w:tcW w:w="9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7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28"/>
          <w:jc w:val="right"/>
        </w:trPr>
        <w:tc>
          <w:tcPr>
            <w:tcW w:w="8900" w:type="dxa"/>
            <w:gridSpan w:val="8"/>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注：本表反映部门本年度各项支出情况。</w:t>
            </w:r>
          </w:p>
        </w:tc>
      </w:tr>
    </w:tbl>
    <w:p w:rsidR="00E448A9" w:rsidRDefault="00973ECB">
      <w:r>
        <w:br w:type="page"/>
      </w:r>
    </w:p>
    <w:tbl>
      <w:tblPr>
        <w:tblW w:w="9338" w:type="dxa"/>
        <w:jc w:val="center"/>
        <w:tblLayout w:type="fixed"/>
        <w:tblCellMar>
          <w:left w:w="0" w:type="dxa"/>
          <w:right w:w="0" w:type="dxa"/>
        </w:tblCellMar>
        <w:tblLook w:val="04A0"/>
      </w:tblPr>
      <w:tblGrid>
        <w:gridCol w:w="2290"/>
        <w:gridCol w:w="507"/>
        <w:gridCol w:w="858"/>
        <w:gridCol w:w="2495"/>
        <w:gridCol w:w="550"/>
        <w:gridCol w:w="950"/>
        <w:gridCol w:w="938"/>
        <w:gridCol w:w="750"/>
      </w:tblGrid>
      <w:tr w:rsidR="00E448A9">
        <w:trPr>
          <w:trHeight w:val="90"/>
          <w:jc w:val="center"/>
        </w:trPr>
        <w:tc>
          <w:tcPr>
            <w:tcW w:w="9338" w:type="dxa"/>
            <w:gridSpan w:val="8"/>
            <w:tcBorders>
              <w:top w:val="nil"/>
              <w:left w:val="nil"/>
              <w:bottom w:val="nil"/>
              <w:right w:val="nil"/>
            </w:tcBorders>
            <w:shd w:val="clear" w:color="auto" w:fill="auto"/>
            <w:tcMar>
              <w:top w:w="15" w:type="dxa"/>
              <w:left w:w="15" w:type="dxa"/>
              <w:right w:w="15" w:type="dxa"/>
            </w:tcMar>
            <w:vAlign w:val="bottom"/>
          </w:tcPr>
          <w:p w:rsidR="00E448A9" w:rsidRDefault="00973ECB">
            <w:pPr>
              <w:jc w:val="center"/>
              <w:rPr>
                <w:rFonts w:ascii="Arial" w:hAnsi="Arial" w:cs="Arial"/>
                <w:color w:val="000000"/>
                <w:sz w:val="20"/>
                <w:szCs w:val="20"/>
              </w:rPr>
            </w:pPr>
            <w:r>
              <w:rPr>
                <w:rFonts w:ascii="宋体" w:eastAsia="宋体" w:hAnsi="宋体" w:cs="宋体" w:hint="eastAsia"/>
                <w:color w:val="000000"/>
                <w:kern w:val="0"/>
                <w:sz w:val="30"/>
                <w:szCs w:val="30"/>
                <w:lang/>
              </w:rPr>
              <w:lastRenderedPageBreak/>
              <w:t>财政拨款收入支出决算总表</w:t>
            </w:r>
          </w:p>
        </w:tc>
      </w:tr>
      <w:tr w:rsidR="00E448A9">
        <w:trPr>
          <w:trHeight w:val="90"/>
          <w:jc w:val="center"/>
        </w:trPr>
        <w:tc>
          <w:tcPr>
            <w:tcW w:w="229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49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5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95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88"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E448A9">
        <w:trPr>
          <w:trHeight w:val="90"/>
          <w:jc w:val="center"/>
        </w:trPr>
        <w:tc>
          <w:tcPr>
            <w:tcW w:w="2290"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部门：无极县农业农村局</w:t>
            </w:r>
          </w:p>
        </w:tc>
        <w:tc>
          <w:tcPr>
            <w:tcW w:w="50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49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5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95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88"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E448A9">
        <w:trPr>
          <w:trHeight w:val="90"/>
          <w:jc w:val="center"/>
        </w:trPr>
        <w:tc>
          <w:tcPr>
            <w:tcW w:w="3655"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收</w:t>
            </w: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入</w:t>
            </w:r>
          </w:p>
        </w:tc>
        <w:tc>
          <w:tcPr>
            <w:tcW w:w="5683" w:type="dxa"/>
            <w:gridSpan w:val="5"/>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支</w:t>
            </w: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出</w:t>
            </w:r>
          </w:p>
        </w:tc>
      </w:tr>
      <w:tr w:rsidR="00E448A9">
        <w:trPr>
          <w:trHeight w:val="312"/>
          <w:jc w:val="center"/>
        </w:trPr>
        <w:tc>
          <w:tcPr>
            <w:tcW w:w="2290"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w:t>
            </w:r>
          </w:p>
        </w:tc>
        <w:tc>
          <w:tcPr>
            <w:tcW w:w="507"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行次</w:t>
            </w:r>
          </w:p>
        </w:tc>
        <w:tc>
          <w:tcPr>
            <w:tcW w:w="858"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金额</w:t>
            </w:r>
          </w:p>
        </w:tc>
        <w:tc>
          <w:tcPr>
            <w:tcW w:w="2495"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w:t>
            </w:r>
          </w:p>
        </w:tc>
        <w:tc>
          <w:tcPr>
            <w:tcW w:w="5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行次</w:t>
            </w:r>
          </w:p>
        </w:tc>
        <w:tc>
          <w:tcPr>
            <w:tcW w:w="9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合计</w:t>
            </w:r>
          </w:p>
        </w:tc>
        <w:tc>
          <w:tcPr>
            <w:tcW w:w="938"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E448A9">
        <w:trPr>
          <w:trHeight w:val="312"/>
          <w:jc w:val="center"/>
        </w:trPr>
        <w:tc>
          <w:tcPr>
            <w:tcW w:w="2290"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507"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58"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249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5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38"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7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栏次</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栏次</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w:t>
            </w: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一、一般公共预算财政拨款</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46,926.03</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一、一般公共服务支出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二、政府性基金预算财政拨款</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二、外交支出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三、国防支出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32</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四、公共安全支出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33</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五、教育支出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34</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六、科学技术支出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七、文化旅游体育与传媒支出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36</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八、社会保障和就业支出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九、卫生健康支出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38</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十、节能环保支出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十一、城乡社区支出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十二、农林水支出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41</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6,960.48</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6,960.48</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十三、交通运输支出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42</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十四、资源勘探信息等支出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十五、商业服务业等支出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44</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十六、金融支出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45</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十七、援助其他地区支出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十八、自然资源海洋气象等支出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十九、住房保障支出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48</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二十、粮油物资储备支出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49</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二十一、灾害防治及应急管理支出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22</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二十二、其他支出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51</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23</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二十四、债务付息支出</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52</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本年收入合计</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47,395.60</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本年支出合计</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53</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28,058.43</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27,588.86</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年初财政拨款结转和结余</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13,464.58</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年末财政拨款结转和结余</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54</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32,801.75</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32,801.75</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一、一般公共预算财政拨款</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26</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13,464.58</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55</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二、政府性基金预算财政拨款</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56</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28</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left"/>
              <w:rPr>
                <w:rFonts w:ascii="宋体" w:eastAsia="宋体" w:hAnsi="宋体" w:cs="宋体"/>
                <w:color w:val="000000"/>
                <w:sz w:val="18"/>
                <w:szCs w:val="18"/>
              </w:rPr>
            </w:pP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57</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229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总计</w:t>
            </w:r>
          </w:p>
        </w:tc>
        <w:tc>
          <w:tcPr>
            <w:tcW w:w="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w:t>
            </w:r>
          </w:p>
        </w:tc>
        <w:tc>
          <w:tcPr>
            <w:tcW w:w="85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60,860.18</w:t>
            </w:r>
          </w:p>
        </w:tc>
        <w:tc>
          <w:tcPr>
            <w:tcW w:w="2495"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总计</w:t>
            </w:r>
          </w:p>
        </w:tc>
        <w:tc>
          <w:tcPr>
            <w:tcW w:w="5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58</w:t>
            </w:r>
          </w:p>
        </w:tc>
        <w:tc>
          <w:tcPr>
            <w:tcW w:w="9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60,860.18</w:t>
            </w:r>
          </w:p>
        </w:tc>
        <w:tc>
          <w:tcPr>
            <w:tcW w:w="938"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60,390.61</w:t>
            </w:r>
          </w:p>
        </w:tc>
        <w:tc>
          <w:tcPr>
            <w:tcW w:w="7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469.57</w:t>
            </w:r>
          </w:p>
        </w:tc>
      </w:tr>
      <w:tr w:rsidR="00E448A9">
        <w:trPr>
          <w:trHeight w:val="90"/>
          <w:jc w:val="center"/>
        </w:trPr>
        <w:tc>
          <w:tcPr>
            <w:tcW w:w="9338" w:type="dxa"/>
            <w:gridSpan w:val="8"/>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注：本表反映部门本年度一般公共预算财政拨款和政府性基金预算财政拨款的总收支和年末结转结余情况。</w:t>
            </w:r>
          </w:p>
        </w:tc>
      </w:tr>
    </w:tbl>
    <w:p w:rsidR="00E448A9" w:rsidRDefault="00973ECB">
      <w:r>
        <w:br w:type="page"/>
      </w:r>
    </w:p>
    <w:tbl>
      <w:tblPr>
        <w:tblW w:w="9265" w:type="dxa"/>
        <w:jc w:val="center"/>
        <w:tblLayout w:type="fixed"/>
        <w:tblCellMar>
          <w:left w:w="0" w:type="dxa"/>
          <w:right w:w="0" w:type="dxa"/>
        </w:tblCellMar>
        <w:tblLook w:val="04A0"/>
      </w:tblPr>
      <w:tblGrid>
        <w:gridCol w:w="1121"/>
        <w:gridCol w:w="3425"/>
        <w:gridCol w:w="1562"/>
        <w:gridCol w:w="1507"/>
        <w:gridCol w:w="1650"/>
      </w:tblGrid>
      <w:tr w:rsidR="00E448A9">
        <w:trPr>
          <w:trHeight w:val="390"/>
          <w:jc w:val="center"/>
        </w:trPr>
        <w:tc>
          <w:tcPr>
            <w:tcW w:w="9265" w:type="dxa"/>
            <w:gridSpan w:val="5"/>
            <w:tcBorders>
              <w:top w:val="nil"/>
              <w:left w:val="nil"/>
              <w:bottom w:val="nil"/>
              <w:right w:val="nil"/>
            </w:tcBorders>
            <w:shd w:val="clear" w:color="auto" w:fill="auto"/>
            <w:tcMar>
              <w:top w:w="15" w:type="dxa"/>
              <w:left w:w="15" w:type="dxa"/>
              <w:right w:w="15" w:type="dxa"/>
            </w:tcMar>
            <w:vAlign w:val="bottom"/>
          </w:tcPr>
          <w:p w:rsidR="00E448A9" w:rsidRDefault="00973ECB">
            <w:pPr>
              <w:jc w:val="center"/>
              <w:rPr>
                <w:rFonts w:ascii="Arial" w:hAnsi="Arial" w:cs="Arial"/>
                <w:color w:val="000000"/>
                <w:sz w:val="20"/>
                <w:szCs w:val="20"/>
              </w:rPr>
            </w:pPr>
            <w:r>
              <w:rPr>
                <w:rFonts w:ascii="宋体" w:eastAsia="宋体" w:hAnsi="宋体" w:cs="宋体" w:hint="eastAsia"/>
                <w:color w:val="000000"/>
                <w:kern w:val="0"/>
                <w:sz w:val="30"/>
                <w:szCs w:val="30"/>
                <w:lang/>
              </w:rPr>
              <w:lastRenderedPageBreak/>
              <w:t>一般公共预算财政拨款支出决算表</w:t>
            </w:r>
          </w:p>
        </w:tc>
      </w:tr>
      <w:tr w:rsidR="00E448A9">
        <w:trPr>
          <w:trHeight w:val="255"/>
          <w:jc w:val="center"/>
        </w:trPr>
        <w:tc>
          <w:tcPr>
            <w:tcW w:w="1121"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42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0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50"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E448A9">
        <w:trPr>
          <w:trHeight w:val="255"/>
          <w:jc w:val="center"/>
        </w:trPr>
        <w:tc>
          <w:tcPr>
            <w:tcW w:w="4546"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rPr>
                <w:rFonts w:ascii="Arial" w:hAnsi="Arial" w:cs="Arial"/>
                <w:color w:val="000000"/>
                <w:sz w:val="18"/>
                <w:szCs w:val="18"/>
              </w:rPr>
            </w:pPr>
            <w:r>
              <w:rPr>
                <w:rFonts w:ascii="宋体" w:eastAsia="宋体" w:hAnsi="宋体" w:cs="宋体" w:hint="eastAsia"/>
                <w:color w:val="000000"/>
                <w:kern w:val="0"/>
                <w:sz w:val="18"/>
                <w:szCs w:val="18"/>
                <w:lang/>
              </w:rPr>
              <w:t>部门：无极县农业农村局</w:t>
            </w:r>
          </w:p>
        </w:tc>
        <w:tc>
          <w:tcPr>
            <w:tcW w:w="156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18"/>
                <w:szCs w:val="18"/>
              </w:rPr>
            </w:pPr>
          </w:p>
        </w:tc>
        <w:tc>
          <w:tcPr>
            <w:tcW w:w="3157"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E448A9">
        <w:trPr>
          <w:trHeight w:val="308"/>
          <w:jc w:val="center"/>
        </w:trPr>
        <w:tc>
          <w:tcPr>
            <w:tcW w:w="454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w:t>
            </w:r>
          </w:p>
        </w:tc>
        <w:tc>
          <w:tcPr>
            <w:tcW w:w="4719" w:type="dxa"/>
            <w:gridSpan w:val="3"/>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本年支出</w:t>
            </w:r>
          </w:p>
        </w:tc>
      </w:tr>
      <w:tr w:rsidR="00E448A9">
        <w:trPr>
          <w:trHeight w:val="312"/>
          <w:jc w:val="center"/>
        </w:trPr>
        <w:tc>
          <w:tcPr>
            <w:tcW w:w="1121"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功能分类科目编码</w:t>
            </w:r>
          </w:p>
        </w:tc>
        <w:tc>
          <w:tcPr>
            <w:tcW w:w="3425"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科目名称</w:t>
            </w:r>
          </w:p>
        </w:tc>
        <w:tc>
          <w:tcPr>
            <w:tcW w:w="1562"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小计</w:t>
            </w:r>
          </w:p>
        </w:tc>
        <w:tc>
          <w:tcPr>
            <w:tcW w:w="1507"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基本支出</w:t>
            </w:r>
          </w:p>
        </w:tc>
        <w:tc>
          <w:tcPr>
            <w:tcW w:w="16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项目支出</w:t>
            </w:r>
          </w:p>
        </w:tc>
      </w:tr>
      <w:tr w:rsidR="00E448A9">
        <w:trPr>
          <w:trHeight w:val="312"/>
          <w:jc w:val="center"/>
        </w:trPr>
        <w:tc>
          <w:tcPr>
            <w:tcW w:w="1121"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342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562"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507"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6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12"/>
          <w:jc w:val="center"/>
        </w:trPr>
        <w:tc>
          <w:tcPr>
            <w:tcW w:w="1121"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342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562"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507"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c>
          <w:tcPr>
            <w:tcW w:w="16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E448A9">
            <w:pPr>
              <w:jc w:val="center"/>
              <w:rPr>
                <w:rFonts w:ascii="宋体" w:eastAsia="宋体" w:hAnsi="宋体" w:cs="宋体"/>
                <w:color w:val="000000"/>
                <w:sz w:val="18"/>
                <w:szCs w:val="18"/>
              </w:rPr>
            </w:pPr>
          </w:p>
        </w:tc>
      </w:tr>
      <w:tr w:rsidR="00E448A9">
        <w:trPr>
          <w:trHeight w:val="308"/>
          <w:jc w:val="center"/>
        </w:trPr>
        <w:tc>
          <w:tcPr>
            <w:tcW w:w="4546" w:type="dxa"/>
            <w:gridSpan w:val="2"/>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栏次</w:t>
            </w:r>
          </w:p>
        </w:tc>
        <w:tc>
          <w:tcPr>
            <w:tcW w:w="156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w:t>
            </w:r>
          </w:p>
        </w:tc>
        <w:tc>
          <w:tcPr>
            <w:tcW w:w="1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w:t>
            </w:r>
          </w:p>
        </w:tc>
        <w:tc>
          <w:tcPr>
            <w:tcW w:w="16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w:t>
            </w:r>
          </w:p>
        </w:tc>
      </w:tr>
      <w:tr w:rsidR="00E448A9">
        <w:trPr>
          <w:trHeight w:val="308"/>
          <w:jc w:val="center"/>
        </w:trPr>
        <w:tc>
          <w:tcPr>
            <w:tcW w:w="4546" w:type="dxa"/>
            <w:gridSpan w:val="2"/>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合计</w:t>
            </w:r>
          </w:p>
        </w:tc>
        <w:tc>
          <w:tcPr>
            <w:tcW w:w="1562"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27,588.86</w:t>
            </w:r>
          </w:p>
        </w:tc>
        <w:tc>
          <w:tcPr>
            <w:tcW w:w="1507"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1,717.92</w:t>
            </w:r>
          </w:p>
        </w:tc>
        <w:tc>
          <w:tcPr>
            <w:tcW w:w="1650" w:type="dxa"/>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E448A9" w:rsidRDefault="00973ECB">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25,870.94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科学技术支出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技术研究与开发</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2060404</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科技成果转化与扩散</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686.00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社会保障和就业支出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475.68</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行政事业单位离退休</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351.18</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归口管理的行政单位离退休</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140.41</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2080505</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机关事业单位基本养老保险缴费支出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抚恤</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2080801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死亡抚恤</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退役安置</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2080901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退役士兵安置</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财政对其他社会保险基金的补助</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4.67</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2082702</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财政对工伤保险基金的补助</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2.93</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2082703</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财政对生育保险基金的补助</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1.74</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卫生健康支出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行政事业单位医疗</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2101101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行政单位医疗</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节能环保支出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污染防治</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2110301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大气</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19,419.84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农林水支出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6,960.48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1,195.38</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5,765.10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4,736.48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1,195.38</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3,541.10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行政运行</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920.14</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2130102</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一般行政管理事务</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110.00</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90"/>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2130103</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机关服务</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24.05</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2130104</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事业运行</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16.19</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2130105</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农垦运行</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125.00</w:t>
            </w: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2130106</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科技转化与推广服务</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616.11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616.11</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2130108</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病虫害控制</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695.98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695.98</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2130109</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农产品质量安全</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141.08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141.08</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2130110</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执法监管</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2130111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统计监测与信息服务</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4.36</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4.36</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lastRenderedPageBreak/>
              <w:t>2130112</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农业行业业务管理</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2.57</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2.57</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2130121</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农业结构调整补贴</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711.23</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711.23</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2130122</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农业生产支持补贴</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721.13</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721.13</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2130124</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农业组织化与产业化经营</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10.00</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10.00</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2130126</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农村公益事业</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198.47</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198.47</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2130135</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农业资源保护修复与利用</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20.18</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20.18</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2130199</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418.14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418.14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农业综合开发</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2130699</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其他农业综合开发支出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50.41</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普惠金融发展支出</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r>
      <w:tr w:rsidR="00E448A9">
        <w:trPr>
          <w:trHeight w:val="308"/>
          <w:jc w:val="center"/>
        </w:trPr>
        <w:tc>
          <w:tcPr>
            <w:tcW w:w="112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2130803</w:t>
            </w:r>
          </w:p>
        </w:tc>
        <w:tc>
          <w:tcPr>
            <w:tcW w:w="3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农业保险保费补贴</w:t>
            </w:r>
          </w:p>
        </w:tc>
        <w:tc>
          <w:tcPr>
            <w:tcW w:w="1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c>
          <w:tcPr>
            <w:tcW w:w="1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2,141.84</w:t>
            </w:r>
          </w:p>
        </w:tc>
      </w:tr>
      <w:tr w:rsidR="00E448A9">
        <w:trPr>
          <w:trHeight w:val="308"/>
          <w:jc w:val="center"/>
        </w:trPr>
        <w:tc>
          <w:tcPr>
            <w:tcW w:w="1121" w:type="dxa"/>
            <w:tcBorders>
              <w:top w:val="nil"/>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w:t>
            </w:r>
          </w:p>
        </w:tc>
        <w:tc>
          <w:tcPr>
            <w:tcW w:w="342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其他农林水支出</w:t>
            </w:r>
          </w:p>
        </w:tc>
        <w:tc>
          <w:tcPr>
            <w:tcW w:w="1562"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1507"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r>
      <w:tr w:rsidR="00E448A9">
        <w:trPr>
          <w:trHeight w:val="308"/>
          <w:jc w:val="center"/>
        </w:trPr>
        <w:tc>
          <w:tcPr>
            <w:tcW w:w="112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2139999</w:t>
            </w:r>
          </w:p>
        </w:tc>
        <w:tc>
          <w:tcPr>
            <w:tcW w:w="3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其他农林水支出</w:t>
            </w:r>
          </w:p>
        </w:tc>
        <w:tc>
          <w:tcPr>
            <w:tcW w:w="156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c>
          <w:tcPr>
            <w:tcW w:w="150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165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31.75</w:t>
            </w:r>
          </w:p>
        </w:tc>
      </w:tr>
      <w:tr w:rsidR="00E448A9">
        <w:trPr>
          <w:trHeight w:val="308"/>
          <w:jc w:val="center"/>
        </w:trPr>
        <w:tc>
          <w:tcPr>
            <w:tcW w:w="9265" w:type="dxa"/>
            <w:gridSpan w:val="5"/>
            <w:tcBorders>
              <w:top w:val="single" w:sz="4" w:space="0" w:color="auto"/>
              <w:left w:val="nil"/>
              <w:bottom w:val="nil"/>
              <w:right w:val="nil"/>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kern w:val="0"/>
                <w:sz w:val="18"/>
                <w:szCs w:val="18"/>
                <w:lang/>
              </w:rPr>
            </w:pPr>
            <w:r>
              <w:rPr>
                <w:rFonts w:ascii="宋体" w:eastAsia="宋体" w:hAnsi="宋体" w:cs="宋体" w:hint="eastAsia"/>
                <w:color w:val="000000"/>
                <w:kern w:val="0"/>
                <w:sz w:val="18"/>
                <w:szCs w:val="18"/>
                <w:lang/>
              </w:rPr>
              <w:t>注：本表反映部门本年度一般公共预算财政拨款收入及支出情况。</w:t>
            </w:r>
            <w:r>
              <w:rPr>
                <w:rFonts w:ascii="宋体" w:eastAsia="宋体" w:hAnsi="宋体" w:cs="宋体" w:hint="eastAsia"/>
                <w:color w:val="000000"/>
                <w:kern w:val="0"/>
                <w:sz w:val="18"/>
                <w:szCs w:val="18"/>
                <w:lang/>
              </w:rPr>
              <w:t xml:space="preserve"> </w:t>
            </w:r>
          </w:p>
        </w:tc>
      </w:tr>
    </w:tbl>
    <w:p w:rsidR="00E448A9" w:rsidRDefault="00973ECB">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E448A9">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E448A9">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E448A9">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E448A9">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E448A9">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E448A9">
        <w:trPr>
          <w:trHeight w:val="312"/>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1,384.24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72.44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438.81</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11.88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136.53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6.86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0.99</w:t>
            </w: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280.08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0.99</w:t>
            </w: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210.77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2.38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13"/>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46.85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9.34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47"/>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6"/>
                <w:szCs w:val="16"/>
                <w:lang/>
              </w:rPr>
              <w:t>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255.00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10.05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260.25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14.66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125.74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0.18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6.50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82.01</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97"/>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37.83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9.46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18"/>
                <w:szCs w:val="18"/>
              </w:rPr>
            </w:pPr>
          </w:p>
        </w:tc>
      </w:tr>
      <w:tr w:rsidR="00E448A9">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1,644.48</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73.44</w:t>
            </w:r>
          </w:p>
        </w:tc>
      </w:tr>
    </w:tbl>
    <w:p w:rsidR="00E448A9" w:rsidRDefault="00973ECB">
      <w:r>
        <w:rPr>
          <w:rFonts w:ascii="宋体" w:hAnsi="宋体" w:cs="宋体" w:hint="eastAsia"/>
          <w:color w:val="000000"/>
          <w:kern w:val="0"/>
          <w:sz w:val="20"/>
          <w:szCs w:val="20"/>
          <w:lang/>
        </w:rPr>
        <w:t>注：本表反映部门本年度一般公共预算财政拨款基本支出明细情况。</w:t>
      </w:r>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E448A9">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E448A9">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E448A9">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E448A9">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E448A9">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E448A9">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E448A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4</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1</w:t>
            </w:r>
          </w:p>
        </w:tc>
      </w:tr>
      <w:tr w:rsidR="00E448A9">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E448A9">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E448A9">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E448A9">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3.18</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E448A9" w:rsidRDefault="00973ECB">
            <w:pPr>
              <w:jc w:val="center"/>
              <w:rPr>
                <w:rFonts w:ascii="宋体" w:eastAsia="宋体" w:hAnsi="宋体" w:cs="宋体"/>
                <w:color w:val="000000"/>
                <w:sz w:val="22"/>
              </w:rPr>
            </w:pPr>
            <w:r>
              <w:rPr>
                <w:rFonts w:ascii="宋体" w:eastAsia="宋体" w:hAnsi="宋体" w:cs="宋体" w:hint="eastAsia"/>
                <w:color w:val="000000"/>
                <w:sz w:val="22"/>
              </w:rPr>
              <w:t>0.18</w:t>
            </w:r>
          </w:p>
        </w:tc>
      </w:tr>
    </w:tbl>
    <w:p w:rsidR="00E448A9" w:rsidRDefault="00973ECB">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878" w:type="dxa"/>
        <w:jc w:val="center"/>
        <w:tblLayout w:type="fixed"/>
        <w:tblCellMar>
          <w:left w:w="0" w:type="dxa"/>
          <w:right w:w="0" w:type="dxa"/>
        </w:tblCellMar>
        <w:tblLook w:val="04A0"/>
      </w:tblPr>
      <w:tblGrid>
        <w:gridCol w:w="1020"/>
        <w:gridCol w:w="58"/>
        <w:gridCol w:w="58"/>
        <w:gridCol w:w="1614"/>
        <w:gridCol w:w="1270"/>
        <w:gridCol w:w="1270"/>
        <w:gridCol w:w="1270"/>
        <w:gridCol w:w="1270"/>
        <w:gridCol w:w="1270"/>
        <w:gridCol w:w="778"/>
      </w:tblGrid>
      <w:tr w:rsidR="00E448A9">
        <w:trPr>
          <w:trHeight w:val="780"/>
          <w:jc w:val="center"/>
        </w:trPr>
        <w:tc>
          <w:tcPr>
            <w:tcW w:w="9878" w:type="dxa"/>
            <w:gridSpan w:val="10"/>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E448A9">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1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048"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E448A9">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61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1270"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2048"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E448A9">
        <w:trPr>
          <w:trHeight w:val="308"/>
          <w:jc w:val="center"/>
        </w:trPr>
        <w:tc>
          <w:tcPr>
            <w:tcW w:w="275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2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2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81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77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E448A9">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61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2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2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7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61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61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12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c>
          <w:tcPr>
            <w:tcW w:w="7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center"/>
              <w:rPr>
                <w:rFonts w:ascii="宋体" w:eastAsia="宋体" w:hAnsi="宋体" w:cs="宋体"/>
                <w:color w:val="000000"/>
                <w:sz w:val="22"/>
              </w:rPr>
            </w:pPr>
          </w:p>
        </w:tc>
      </w:tr>
      <w:tr w:rsidR="00E448A9">
        <w:trPr>
          <w:trHeight w:val="308"/>
          <w:jc w:val="center"/>
        </w:trPr>
        <w:tc>
          <w:tcPr>
            <w:tcW w:w="275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E448A9">
        <w:trPr>
          <w:trHeight w:val="308"/>
          <w:jc w:val="center"/>
        </w:trPr>
        <w:tc>
          <w:tcPr>
            <w:tcW w:w="275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b/>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124.19</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345.38</w:t>
            </w: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b/>
                <w:color w:val="000000"/>
                <w:sz w:val="22"/>
              </w:rPr>
            </w:pPr>
          </w:p>
        </w:tc>
      </w:tr>
      <w:tr w:rsidR="00E448A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w:t>
            </w:r>
          </w:p>
        </w:tc>
        <w:tc>
          <w:tcPr>
            <w:tcW w:w="1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城乡社区支出</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124.19</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345.38</w:t>
            </w: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w:t>
            </w:r>
          </w:p>
        </w:tc>
        <w:tc>
          <w:tcPr>
            <w:tcW w:w="1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国有土地使用权出让收入及对应专项债务收入安排的支出</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124.19</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345.38</w:t>
            </w: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2120809</w:t>
            </w:r>
          </w:p>
        </w:tc>
        <w:tc>
          <w:tcPr>
            <w:tcW w:w="1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支付破产或改制企业职工安置费</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469.57</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124.19</w:t>
            </w: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345.38</w:t>
            </w: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1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1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2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7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bl>
    <w:p w:rsidR="00E448A9" w:rsidRDefault="00973ECB">
      <w:r>
        <w:rPr>
          <w:rFonts w:ascii="宋体" w:hAnsi="宋体" w:cs="宋体" w:hint="eastAsia"/>
          <w:color w:val="000000"/>
          <w:kern w:val="0"/>
          <w:sz w:val="20"/>
          <w:szCs w:val="20"/>
          <w:lang/>
        </w:rPr>
        <w:t>注：本表反映部门本年度政府性基金预算财政拨款收入支出明细情况。</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E448A9">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E448A9" w:rsidRDefault="00973EC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E448A9">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E448A9">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E448A9" w:rsidRDefault="00E448A9">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E448A9" w:rsidRDefault="00973EC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E448A9">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E448A9">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E448A9">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E448A9">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973E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b/>
                <w:color w:val="000000"/>
                <w:sz w:val="22"/>
              </w:rPr>
            </w:pPr>
          </w:p>
        </w:tc>
      </w:tr>
      <w:tr w:rsidR="00E448A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r w:rsidR="00E448A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448A9" w:rsidRDefault="00E448A9">
            <w:pPr>
              <w:jc w:val="right"/>
              <w:rPr>
                <w:rFonts w:ascii="宋体" w:eastAsia="宋体" w:hAnsi="宋体" w:cs="宋体"/>
                <w:color w:val="000000"/>
                <w:sz w:val="22"/>
              </w:rPr>
            </w:pPr>
          </w:p>
        </w:tc>
      </w:tr>
    </w:tbl>
    <w:p w:rsidR="00E448A9" w:rsidRDefault="00973ECB">
      <w:r>
        <w:rPr>
          <w:rFonts w:hint="eastAsia"/>
        </w:rPr>
        <w:t>本部门本年度无相关收入（或支出、收支及结转结余等）情况，按要求空表列示。</w:t>
      </w:r>
      <w:r>
        <w:br w:type="page"/>
      </w:r>
    </w:p>
    <w:p w:rsidR="00E448A9" w:rsidRDefault="00E448A9">
      <w:r>
        <w:lastRenderedPageBreak/>
        <w:pict>
          <v:rect id="_x0000_s1027" style="position:absolute;left:0;text-align:left;margin-left:-70.5pt;margin-top:-85.25pt;width:595.1pt;height:841.15pt;z-index:251689984;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E448A9" w:rsidSect="00E448A9">
      <w:headerReference w:type="default" r:id="rId37"/>
      <w:footerReference w:type="default" r:id="rId38"/>
      <w:headerReference w:type="first" r:id="rId39"/>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3ECB" w:rsidRDefault="00973ECB" w:rsidP="00E448A9">
      <w:r>
        <w:separator/>
      </w:r>
    </w:p>
  </w:endnote>
  <w:endnote w:type="continuationSeparator" w:id="1">
    <w:p w:rsidR="00973ECB" w:rsidRDefault="00973ECB" w:rsidP="00E448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r>
      <w:pict>
        <v:shapetype id="_x0000_t202" coordsize="21600,21600" o:spt="202" path="m,l,21600r21600,l21600,xe">
          <v:stroke joinstyle="miter"/>
          <v:path gradientshapeok="t" o:connecttype="rect"/>
        </v:shapetype>
        <v:shape id="_x0000_s2072" type="#_x0000_t202" style="position:absolute;margin-left:205.45pt;margin-top:-18.75pt;width:30.15pt;height:31.45pt;z-index:25168076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E448A9" w:rsidRDefault="00E448A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73ECB">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73ECB">
                  <w:rPr>
                    <w:rFonts w:ascii="Times New Roman" w:hAnsi="Times New Roman" w:cs="Times New Roman"/>
                    <w:sz w:val="24"/>
                    <w:szCs w:val="24"/>
                  </w:rPr>
                  <w:t>- 14 -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384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E448A9" w:rsidRDefault="00E448A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73ECB">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CD51C6">
                  <w:rPr>
                    <w:rFonts w:ascii="Times New Roman" w:hAnsi="Times New Roman" w:cs="Times New Roman"/>
                    <w:noProof/>
                    <w:sz w:val="24"/>
                    <w:szCs w:val="24"/>
                  </w:rPr>
                  <w:t>- 34 -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1C6" w:rsidRDefault="00CD51C6">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1C6" w:rsidRDefault="00CD51C6">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r>
      <w:pict>
        <v:shapetype id="_x0000_t202" coordsize="21600,21600" o:spt="202" path="m,l,21600r21600,l21600,xe">
          <v:stroke joinstyle="miter"/>
          <v:path gradientshapeok="t" o:connecttype="rect"/>
        </v:shapetype>
        <v:shape id="_x0000_s2087" type="#_x0000_t202" style="position:absolute;margin-left:209.65pt;margin-top:-12.95pt;width:30.6pt;height:14.3pt;z-index:25167769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E448A9" w:rsidRDefault="00E448A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973ECB">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74391">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r>
      <w:pict>
        <v:shapetype id="_x0000_t202" coordsize="21600,21600" o:spt="202" path="m,l,21600r21600,l21600,xe">
          <v:stroke joinstyle="miter"/>
          <v:path gradientshapeok="t" o:connecttype="rect"/>
        </v:shapetype>
        <v:shape id="_x0000_s2095" type="#_x0000_t202" style="position:absolute;margin-left:206.55pt;margin-top:-22.45pt;width:34pt;height:35.15pt;z-index:25167872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E448A9" w:rsidRDefault="00E448A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973ECB">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CD51C6">
                  <w:rPr>
                    <w:rFonts w:ascii="Times New Roman" w:hAnsi="Times New Roman" w:cs="Times New Roman"/>
                    <w:noProof/>
                    <w:sz w:val="24"/>
                    <w:szCs w:val="24"/>
                  </w:rPr>
                  <w:t>- 1 -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4"/>
    </w:pPr>
    <w:r>
      <w:pict>
        <v:shapetype id="_x0000_t202" coordsize="21600,21600" o:spt="202" path="m,l,21600r21600,l21600,xe">
          <v:stroke joinstyle="miter"/>
          <v:path gradientshapeok="t" o:connecttype="rect"/>
        </v:shapetype>
        <v:shape id="_x0000_s2064" type="#_x0000_t202" style="position:absolute;margin-left:209.15pt;margin-top:-6pt;width:2in;height:18.7pt;z-index:25167974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E448A9" w:rsidRDefault="00E448A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73ECB">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74391">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3ECB" w:rsidRDefault="00973ECB" w:rsidP="00E448A9">
      <w:r>
        <w:separator/>
      </w:r>
    </w:p>
  </w:footnote>
  <w:footnote w:type="continuationSeparator" w:id="1">
    <w:p w:rsidR="00973ECB" w:rsidRDefault="00973ECB" w:rsidP="00E448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68" style="position:absolute;left:0;text-align:left;margin-left:0;margin-top:0;width:594.8pt;height:37.85pt;z-index:251670528;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1"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0"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69"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65" style="position:absolute;left:0;text-align:left;margin-left:-2.15pt;margin-top:47.15pt;width:235.7pt;height:32pt;z-index:25167155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文本框 6" o:spid="_x0000_s2067"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E448A9" w:rsidRDefault="00973EC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66"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77" style="position:absolute;left:0;text-align:left;margin-left:0;margin-top:29.75pt;width:157.5pt;height:32pt;z-index:251673600;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文本框 6" o:spid="_x0000_s2079"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E448A9" w:rsidRDefault="00973EC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78"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3" style="position:absolute;left:0;text-align:left;margin-left:0;margin-top:0;width:596.5pt;height:58.95pt;z-index:251672576;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76"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75"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53" style="position:absolute;left:0;text-align:left;margin-left:2.5pt;margin-top:28.75pt;width:594.8pt;height:35.25pt;z-index:25168486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588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文本框 6" o:sp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E448A9" w:rsidRDefault="00973EC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E448A9" w:rsidRDefault="00E448A9"/>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60" style="position:absolute;left:0;text-align:left;margin-left:0;margin-top:0;width:596.5pt;height:38.05pt;z-index:25168179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281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文本框 6" o:sp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E448A9" w:rsidRDefault="00973EC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100"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文本框 6" o:spid="_x0000_s2102"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E448A9" w:rsidRDefault="00973EC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1"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96"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099"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098"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1C6" w:rsidRDefault="00CD51C6">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91" style="position:absolute;left:0;text-align:left;margin-left:0;margin-top:53.75pt;width:594.8pt;height:31.5pt;z-index:25167564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4"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3"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2"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88" style="position:absolute;left:0;text-align:left;margin-left:-2.15pt;margin-top:47.15pt;width:235.7pt;height:32pt;z-index:25167667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文本框 6" o:spid="_x0000_s2090"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E448A9" w:rsidRDefault="00973EC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89"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A9" w:rsidRDefault="00E448A9">
    <w:pPr>
      <w:pStyle w:val="a5"/>
    </w:pPr>
    <w:r>
      <w:pict>
        <v:group id="_x0000_s2084" style="position:absolute;left:0;text-align:left;margin-left:2.25pt;margin-top:45.75pt;width:239.85pt;height:32.05pt;z-index:251669504;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文本框 6" o:spid="_x0000_s2086"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E448A9" w:rsidRDefault="00973EC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85"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0" style="position:absolute;left:0;text-align:left;margin-left:2.75pt;margin-top:46.95pt;width:596.85pt;height:32.8pt;z-index:251668480;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3"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2"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1"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5EEB63"/>
    <w:multiLevelType w:val="singleLevel"/>
    <w:tmpl w:val="5F5EEB63"/>
    <w:lvl w:ilvl="0">
      <w:start w:val="2"/>
      <w:numFmt w:val="chineseCounting"/>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1598"/>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677F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73ECB"/>
    <w:rsid w:val="00974391"/>
    <w:rsid w:val="009B4EF0"/>
    <w:rsid w:val="009D271F"/>
    <w:rsid w:val="00A929C2"/>
    <w:rsid w:val="00AD097F"/>
    <w:rsid w:val="00B844F4"/>
    <w:rsid w:val="00BA06A1"/>
    <w:rsid w:val="00BA770A"/>
    <w:rsid w:val="00C054DE"/>
    <w:rsid w:val="00C679A9"/>
    <w:rsid w:val="00C7541C"/>
    <w:rsid w:val="00CC0FAA"/>
    <w:rsid w:val="00CD0736"/>
    <w:rsid w:val="00CD51C6"/>
    <w:rsid w:val="00D1570F"/>
    <w:rsid w:val="00D32830"/>
    <w:rsid w:val="00DB7153"/>
    <w:rsid w:val="00DB7F05"/>
    <w:rsid w:val="00DE2332"/>
    <w:rsid w:val="00E028C3"/>
    <w:rsid w:val="00E14F77"/>
    <w:rsid w:val="00E3076B"/>
    <w:rsid w:val="00E36978"/>
    <w:rsid w:val="00E448A9"/>
    <w:rsid w:val="00E82A1E"/>
    <w:rsid w:val="00EA05EC"/>
    <w:rsid w:val="00EC06F4"/>
    <w:rsid w:val="00EE4E36"/>
    <w:rsid w:val="00F665F4"/>
    <w:rsid w:val="00FD225F"/>
    <w:rsid w:val="00FE7858"/>
    <w:rsid w:val="01C1617A"/>
    <w:rsid w:val="026F0D03"/>
    <w:rsid w:val="030A7903"/>
    <w:rsid w:val="03F7221E"/>
    <w:rsid w:val="04AF4378"/>
    <w:rsid w:val="055A56F2"/>
    <w:rsid w:val="05B00A30"/>
    <w:rsid w:val="09CE57D3"/>
    <w:rsid w:val="0B011416"/>
    <w:rsid w:val="0CDB7826"/>
    <w:rsid w:val="0D5B6917"/>
    <w:rsid w:val="125742EB"/>
    <w:rsid w:val="12C060A4"/>
    <w:rsid w:val="12E767D8"/>
    <w:rsid w:val="137B71D5"/>
    <w:rsid w:val="19DD43FE"/>
    <w:rsid w:val="1BAB6091"/>
    <w:rsid w:val="1BEB2B26"/>
    <w:rsid w:val="1C1D0E2A"/>
    <w:rsid w:val="1E3036BC"/>
    <w:rsid w:val="213071AF"/>
    <w:rsid w:val="21DA1F94"/>
    <w:rsid w:val="24EB57D4"/>
    <w:rsid w:val="26EA174C"/>
    <w:rsid w:val="273349CB"/>
    <w:rsid w:val="2D394169"/>
    <w:rsid w:val="2E7B4D09"/>
    <w:rsid w:val="2E8E48EA"/>
    <w:rsid w:val="2FAE1BC2"/>
    <w:rsid w:val="309D7AC7"/>
    <w:rsid w:val="30F912F0"/>
    <w:rsid w:val="3163224B"/>
    <w:rsid w:val="31761DEA"/>
    <w:rsid w:val="31C2036A"/>
    <w:rsid w:val="320D02A5"/>
    <w:rsid w:val="324740DA"/>
    <w:rsid w:val="32A11761"/>
    <w:rsid w:val="348E566F"/>
    <w:rsid w:val="34C43D53"/>
    <w:rsid w:val="365F69EA"/>
    <w:rsid w:val="387F2713"/>
    <w:rsid w:val="39427D78"/>
    <w:rsid w:val="3A226944"/>
    <w:rsid w:val="3AEE6A48"/>
    <w:rsid w:val="3B6F1FD3"/>
    <w:rsid w:val="3BD0501B"/>
    <w:rsid w:val="3C1620AA"/>
    <w:rsid w:val="3C9A6E27"/>
    <w:rsid w:val="3D8F080F"/>
    <w:rsid w:val="3DBB42F5"/>
    <w:rsid w:val="3DC270CD"/>
    <w:rsid w:val="3DCC6289"/>
    <w:rsid w:val="3EAB3DD8"/>
    <w:rsid w:val="3EF45621"/>
    <w:rsid w:val="3F2A0C8F"/>
    <w:rsid w:val="3F906221"/>
    <w:rsid w:val="3FE57575"/>
    <w:rsid w:val="3FFE6AB9"/>
    <w:rsid w:val="4014345A"/>
    <w:rsid w:val="41AB41E5"/>
    <w:rsid w:val="41E66329"/>
    <w:rsid w:val="42D612B0"/>
    <w:rsid w:val="43DA7932"/>
    <w:rsid w:val="44CE1FA4"/>
    <w:rsid w:val="47310651"/>
    <w:rsid w:val="48375353"/>
    <w:rsid w:val="487F73ED"/>
    <w:rsid w:val="4A347EAE"/>
    <w:rsid w:val="4BB95DC8"/>
    <w:rsid w:val="4DF260B1"/>
    <w:rsid w:val="4E7D4CC5"/>
    <w:rsid w:val="4F291777"/>
    <w:rsid w:val="52600405"/>
    <w:rsid w:val="529B4319"/>
    <w:rsid w:val="53A553C2"/>
    <w:rsid w:val="544D005D"/>
    <w:rsid w:val="54810A26"/>
    <w:rsid w:val="55552CF0"/>
    <w:rsid w:val="56D50334"/>
    <w:rsid w:val="56E74ADE"/>
    <w:rsid w:val="56F51D43"/>
    <w:rsid w:val="57773DD6"/>
    <w:rsid w:val="578B79AB"/>
    <w:rsid w:val="5B6A12ED"/>
    <w:rsid w:val="5C7D271C"/>
    <w:rsid w:val="5CCD3FD5"/>
    <w:rsid w:val="5DD4141B"/>
    <w:rsid w:val="60475F59"/>
    <w:rsid w:val="61F45B41"/>
    <w:rsid w:val="61FA5F9D"/>
    <w:rsid w:val="645B7CBA"/>
    <w:rsid w:val="64CD6910"/>
    <w:rsid w:val="653C0C70"/>
    <w:rsid w:val="65545000"/>
    <w:rsid w:val="6789158D"/>
    <w:rsid w:val="67D81BA4"/>
    <w:rsid w:val="67FA6041"/>
    <w:rsid w:val="6AAF1C96"/>
    <w:rsid w:val="6AB622DF"/>
    <w:rsid w:val="6B1B13E5"/>
    <w:rsid w:val="6BC60B17"/>
    <w:rsid w:val="70611715"/>
    <w:rsid w:val="750521C8"/>
    <w:rsid w:val="75681757"/>
    <w:rsid w:val="75A346A8"/>
    <w:rsid w:val="79B9382C"/>
    <w:rsid w:val="7A463A96"/>
    <w:rsid w:val="7AB76684"/>
    <w:rsid w:val="7B043B76"/>
    <w:rsid w:val="7B2526EC"/>
    <w:rsid w:val="7C041A6A"/>
    <w:rsid w:val="7C6B4F0D"/>
    <w:rsid w:val="7E327570"/>
    <w:rsid w:val="7F89120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8A9"/>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E448A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E448A9"/>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E448A9"/>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E448A9"/>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styleId="a6">
    <w:name w:val="page number"/>
    <w:basedOn w:val="a0"/>
    <w:qFormat/>
    <w:rsid w:val="00E448A9"/>
  </w:style>
  <w:style w:type="table" w:styleId="a7">
    <w:name w:val="Table Grid"/>
    <w:uiPriority w:val="1"/>
    <w:qFormat/>
    <w:rsid w:val="00E448A9"/>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E448A9"/>
    <w:rPr>
      <w:rFonts w:asciiTheme="minorHAnsi" w:eastAsiaTheme="minorEastAsia" w:hAnsiTheme="minorHAnsi"/>
      <w:sz w:val="18"/>
      <w:szCs w:val="18"/>
    </w:rPr>
  </w:style>
  <w:style w:type="character" w:customStyle="1" w:styleId="Char">
    <w:name w:val="页脚 Char"/>
    <w:basedOn w:val="a0"/>
    <w:link w:val="a4"/>
    <w:uiPriority w:val="99"/>
    <w:qFormat/>
    <w:rsid w:val="00E448A9"/>
    <w:rPr>
      <w:sz w:val="18"/>
      <w:szCs w:val="18"/>
    </w:rPr>
  </w:style>
  <w:style w:type="paragraph" w:customStyle="1" w:styleId="10">
    <w:name w:val="列出段落1"/>
    <w:basedOn w:val="a"/>
    <w:uiPriority w:val="1"/>
    <w:qFormat/>
    <w:rsid w:val="00E448A9"/>
    <w:pPr>
      <w:spacing w:before="2"/>
      <w:ind w:left="119" w:right="434" w:firstLine="643"/>
    </w:pPr>
    <w:rPr>
      <w:rFonts w:ascii="仿宋_GB2312" w:eastAsia="仿宋_GB2312" w:hAnsi="仿宋_GB2312" w:cs="仿宋_GB231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chart" Target="charts/chart1.xml"/><Relationship Id="rId39" Type="http://schemas.openxmlformats.org/officeDocument/2006/relationships/header" Target="header14.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footer" Target="footer1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4.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3.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footer" Target="footer10.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20915;&#31639;\&#37096;&#38376;&#20915;&#31639;&#20844;&#24320;&#21046;&#22270;&#27169;&#26495;&#65288;&#20462;&#25913;&#29256;&#65289;(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20915;&#31639;\&#37096;&#38376;&#20915;&#31639;&#20844;&#24320;&#21046;&#22270;&#27169;&#26495;&#65288;&#20462;&#25913;&#29256;&#65289;(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20915;&#31639;\&#37096;&#38376;&#20915;&#31639;&#20844;&#24320;&#21046;&#22270;&#27169;&#26495;&#65288;&#20462;&#25913;&#29256;&#65289;(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20915;&#31639;\&#37096;&#38376;&#20915;&#31639;&#20844;&#24320;&#21046;&#22270;&#27169;&#26495;&#65288;&#20462;&#25913;&#29256;&#65289;(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20915;&#31639;\&#37096;&#38376;&#20915;&#31639;&#20844;&#24320;&#21046;&#22270;&#27169;&#26495;&#65288;&#20462;&#25913;&#29256;&#65289;(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2805295617160391"/>
          <c:y val="0.89523809523809517"/>
        </c:manualLayout>
      </c:layout>
    </c:title>
    <c:plotArea>
      <c:layout>
        <c:manualLayout>
          <c:layoutTarget val="inner"/>
          <c:xMode val="edge"/>
          <c:yMode val="edge"/>
          <c:x val="9.4314880921880534E-2"/>
          <c:y val="5.7524581815332911E-2"/>
          <c:w val="0.81137023815623899"/>
          <c:h val="0.76554785129470826"/>
        </c:manualLayout>
      </c:layout>
      <c:pieChart>
        <c:varyColors val="1"/>
        <c:ser>
          <c:idx val="0"/>
          <c:order val="0"/>
          <c:dPt>
            <c:idx val="0"/>
            <c:explosion val="14"/>
          </c:dPt>
          <c:dLbls>
            <c:dLbl>
              <c:idx val="0"/>
              <c:layout>
                <c:manualLayout>
                  <c:x val="-1.8427252325941908E-3"/>
                  <c:y val="-0.31884075959660213"/>
                </c:manualLayout>
              </c:layout>
              <c:dLblPos val="bestFit"/>
              <c:showCatName val="1"/>
              <c:showPercent val="1"/>
              <c:separator>
</c:separator>
              <c:extLst>
                <c:ext xmlns:c15="http://schemas.microsoft.com/office/drawing/2012/chart" uri="{CE6537A1-D6FC-4f65-9D91-7224C49458BB}">
                  <c15:layout/>
                </c:ext>
              </c:extLst>
            </c:dLbl>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'[部门决算公开制图模板（修改版）(1)(1).xlsx]收入情况说明'!$C$9:$C$12</c:f>
              <c:strCache>
                <c:ptCount val="4"/>
                <c:pt idx="0">
                  <c:v>财政拨款收入</c:v>
                </c:pt>
                <c:pt idx="1">
                  <c:v>事业收入</c:v>
                </c:pt>
                <c:pt idx="2">
                  <c:v>经营收入</c:v>
                </c:pt>
                <c:pt idx="3">
                  <c:v>其他收入</c:v>
                </c:pt>
              </c:strCache>
            </c:strRef>
          </c:cat>
          <c:val>
            <c:numRef>
              <c:f>'[部门决算公开制图模板（修改版）(1)(1).xlsx]收入情况说明'!$D$9:$D$12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176"/>
        </c:manualLayout>
      </c:layout>
    </c:title>
    <c:plotArea>
      <c:layout>
        <c:manualLayout>
          <c:layoutTarget val="inner"/>
          <c:xMode val="edge"/>
          <c:yMode val="edge"/>
          <c:x val="0.101627059597234"/>
          <c:y val="0.10324345820408802"/>
          <c:w val="0.80878500796881325"/>
          <c:h val="0.65515469657202141"/>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'[部门决算公开制图模板（修改版）(1)(1).xlsx]支出情况说明'!$A$5:$A$7</c:f>
              <c:strCache>
                <c:ptCount val="3"/>
                <c:pt idx="0">
                  <c:v>基本支出</c:v>
                </c:pt>
                <c:pt idx="1">
                  <c:v>项目支出</c:v>
                </c:pt>
                <c:pt idx="2">
                  <c:v>经营支出</c:v>
                </c:pt>
              </c:strCache>
            </c:strRef>
          </c:cat>
          <c:val>
            <c:numRef>
              <c:f>'[部门决算公开制图模板（修改版）(1)(1).xlsx]支出情况说明'!$B$5:$B$7</c:f>
              <c:numCache>
                <c:formatCode>General</c:formatCode>
                <c:ptCount val="3"/>
                <c:pt idx="0">
                  <c:v>1842.11</c:v>
                </c:pt>
                <c:pt idx="1">
                  <c:v>26216.32</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0.11902279159839102"/>
          <c:y val="0.10253285605167906"/>
          <c:w val="0.86928937007874119"/>
          <c:h val="0.60199340897084419"/>
        </c:manualLayout>
      </c:layout>
      <c:barChart>
        <c:barDir val="col"/>
        <c:grouping val="clustered"/>
        <c:ser>
          <c:idx val="0"/>
          <c:order val="0"/>
          <c:tx>
            <c:strRef>
              <c:f>'[部门决算公开制图模板（修改版）(1)(1).xlsx]收支与决算对比'!$A$5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'[部门决算公开制图模板（修改版）(1)(1).xlsx]收支与决算对比'!$B$5:$C$5</c:f>
              <c:numCache>
                <c:formatCode>General</c:formatCode>
                <c:ptCount val="2"/>
                <c:pt idx="0">
                  <c:v>47395.6</c:v>
                </c:pt>
                <c:pt idx="1">
                  <c:v>28058.43</c:v>
                </c:pt>
              </c:numCache>
            </c:numRef>
          </c:val>
        </c:ser>
        <c:ser>
          <c:idx val="1"/>
          <c:order val="1"/>
          <c:tx>
            <c:strRef>
              <c:f>'[部门决算公开制图模板（修改版）(1)(1).xlsx]收支与决算对比'!$A$6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'[部门决算公开制图模板（修改版）(1)(1).xlsx]收支与决算对比'!$B$6:$C$6</c:f>
              <c:numCache>
                <c:formatCode>General</c:formatCode>
                <c:ptCount val="2"/>
                <c:pt idx="0">
                  <c:v>42132.75</c:v>
                </c:pt>
                <c:pt idx="1">
                  <c:v>29783.74</c:v>
                </c:pt>
              </c:numCache>
            </c:numRef>
          </c:val>
        </c:ser>
        <c:dLbls>
          <c:showVal val="1"/>
        </c:dLbls>
        <c:gapWidth val="75"/>
        <c:axId val="222735360"/>
        <c:axId val="222749440"/>
      </c:barChart>
      <c:catAx>
        <c:axId val="22273536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2749440"/>
        <c:crosses val="autoZero"/>
        <c:auto val="1"/>
        <c:lblAlgn val="ctr"/>
        <c:lblOffset val="100"/>
      </c:catAx>
      <c:valAx>
        <c:axId val="222749440"/>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2735360"/>
        <c:crosses val="autoZero"/>
        <c:crossBetween val="between"/>
      </c:valAx>
    </c:plotArea>
    <c:legend>
      <c:legendPos val="b"/>
      <c:layout>
        <c:manualLayout>
          <c:xMode val="edge"/>
          <c:yMode val="edge"/>
          <c:x val="0.41125"/>
          <c:y val="0.79275825346112938"/>
          <c:w val="0.20842979002624706"/>
          <c:h val="7.703051495559873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16"/>
          <c:y val="0.9216757741347924"/>
        </c:manualLayout>
      </c:layout>
    </c:title>
    <c:plotArea>
      <c:layout>
        <c:manualLayout>
          <c:layoutTarget val="inner"/>
          <c:xMode val="edge"/>
          <c:yMode val="edge"/>
          <c:x val="0.11242437033910202"/>
          <c:y val="3.4858148229601926E-2"/>
          <c:w val="0.86928380469959243"/>
          <c:h val="0.74719595337585243"/>
        </c:manualLayout>
      </c:layout>
      <c:barChart>
        <c:barDir val="col"/>
        <c:grouping val="clustered"/>
        <c:ser>
          <c:idx val="0"/>
          <c:order val="0"/>
          <c:tx>
            <c:strRef>
              <c:f>'[部门决算公开制图模板（修改版）(1)(1).xlsx]收支与预算对比'!$A$5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'[部门决算公开制图模板（修改版）(1)(1).xlsx]收支与预算对比'!$B$5:$C$5</c:f>
              <c:numCache>
                <c:formatCode>General</c:formatCode>
                <c:ptCount val="2"/>
                <c:pt idx="0">
                  <c:v>9677.6</c:v>
                </c:pt>
                <c:pt idx="1">
                  <c:v>9677.6</c:v>
                </c:pt>
              </c:numCache>
            </c:numRef>
          </c:val>
        </c:ser>
        <c:ser>
          <c:idx val="1"/>
          <c:order val="1"/>
          <c:tx>
            <c:strRef>
              <c:f>'[部门决算公开制图模板（修改版）(1)(1).xlsx]收支与预算对比'!$A$6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'[部门决算公开制图模板（修改版）(1)(1).xlsx]收支与预算对比'!$B$6:$C$6</c:f>
              <c:numCache>
                <c:formatCode>General</c:formatCode>
                <c:ptCount val="2"/>
                <c:pt idx="0">
                  <c:v>47395.6</c:v>
                </c:pt>
                <c:pt idx="1">
                  <c:v>28058.43</c:v>
                </c:pt>
              </c:numCache>
            </c:numRef>
          </c:val>
        </c:ser>
        <c:dLbls>
          <c:showVal val="1"/>
        </c:dLbls>
        <c:gapWidth val="75"/>
        <c:axId val="223583232"/>
        <c:axId val="223741056"/>
      </c:barChart>
      <c:catAx>
        <c:axId val="22358323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3741056"/>
        <c:crosses val="autoZero"/>
        <c:auto val="1"/>
        <c:lblAlgn val="ctr"/>
        <c:lblOffset val="100"/>
      </c:catAx>
      <c:valAx>
        <c:axId val="22374105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3583232"/>
        <c:crosses val="autoZero"/>
        <c:crossBetween val="between"/>
      </c:valAx>
    </c:plotArea>
    <c:legend>
      <c:legendPos val="b"/>
      <c:layout>
        <c:manualLayout>
          <c:xMode val="edge"/>
          <c:yMode val="edge"/>
          <c:x val="0.3448891027182181"/>
          <c:y val="0.85974660190481922"/>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24"/>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0"/>
              <c:delete val="1"/>
            </c:dLbl>
            <c:dLbl>
              <c:idx val="1"/>
              <c:delete val="1"/>
            </c:dLbl>
            <c:dLbl>
              <c:idx val="2"/>
              <c:delete val="1"/>
            </c:dLbl>
            <c:dLbl>
              <c:idx val="3"/>
              <c:layout>
                <c:manualLayout>
                  <c:x val="-0.18510033101749715"/>
                  <c:y val="0"/>
                </c:manualLayout>
              </c:layout>
              <c:dLblPos val="bestFit"/>
              <c:showCatName val="1"/>
              <c:showPercent val="1"/>
              <c:separator>
</c:separator>
              <c:extLst>
                <c:ext xmlns:c15="http://schemas.microsoft.com/office/drawing/2012/chart" uri="{CE6537A1-D6FC-4f65-9D91-7224C49458BB}">
                  <c15:layout/>
                </c:ext>
              </c:extLst>
            </c:dLbl>
            <c:dLbl>
              <c:idx val="4"/>
              <c:delete val="1"/>
            </c:dLbl>
            <c:dLbl>
              <c:idx val="5"/>
              <c:layout>
                <c:manualLayout>
                  <c:x val="-8.6942021468873282E-2"/>
                  <c:y val="0"/>
                </c:manualLayout>
              </c:layout>
              <c:dLblPos val="bestFit"/>
              <c:showCatName val="1"/>
              <c:showPercent val="1"/>
              <c:separator>
</c:separator>
              <c:extLst>
                <c:ext xmlns:c15="http://schemas.microsoft.com/office/drawing/2012/chart" uri="{CE6537A1-D6FC-4f65-9D91-7224C49458BB}">
                  <c15:layout/>
                </c:ext>
              </c:extLst>
            </c:dLbl>
            <c:dLbl>
              <c:idx val="6"/>
              <c:layout>
                <c:manualLayout>
                  <c:x val="6.6704927233412939E-2"/>
                  <c:y val="0"/>
                </c:manualLayout>
              </c:layout>
              <c:dLblPos val="bestFit"/>
              <c:showCatName val="1"/>
              <c:showPercent val="1"/>
              <c:separator>
</c:separator>
              <c:extLst>
                <c:ext xmlns:c15="http://schemas.microsoft.com/office/drawing/2012/chart" uri="{CE6537A1-D6FC-4f65-9D91-7224C49458BB}">
                  <c15:layout/>
                </c:ext>
              </c:extLst>
            </c:dLbl>
            <c:dLbl>
              <c:idx val="7"/>
              <c:layout>
                <c:manualLayout>
                  <c:x val="-0.29129555048898381"/>
                  <c:y val="-0.15639849990921906"/>
                </c:manualLayout>
              </c:layout>
              <c:dLblPos val="bestFit"/>
              <c:showCatName val="1"/>
              <c:showPercent val="1"/>
              <c:separator>
</c:separator>
              <c:extLst>
                <c:ext xmlns:c15="http://schemas.microsoft.com/office/drawing/2012/chart" uri="{CE6537A1-D6FC-4f65-9D91-7224C49458BB}">
                  <c15:layout/>
                </c:ext>
              </c:extLst>
            </c:dLbl>
            <c:dLbl>
              <c:idx val="9"/>
              <c:layout>
                <c:manualLayout>
                  <c:x val="-6.7420653743588424E-2"/>
                  <c:y val="0.11556277056193806"/>
                </c:manualLayout>
              </c:layout>
              <c:dLblPos val="bestFit"/>
              <c:showCatName val="1"/>
              <c:showPercent val="1"/>
              <c:separator>
</c:separator>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'[部门决算公开制图模板（修改版）(1)(1).xlsx]支出决算结构'!$B$5:$B$23</c:f>
              <c:numCache>
                <c:formatCode>General</c:formatCode>
                <c:ptCount val="19"/>
                <c:pt idx="3" formatCode="#,##0.00">
                  <c:v>686</c:v>
                </c:pt>
                <c:pt idx="5" formatCode="#,##0.00">
                  <c:v>475.68</c:v>
                </c:pt>
                <c:pt idx="6" formatCode="#,##0.00">
                  <c:v>46.85</c:v>
                </c:pt>
                <c:pt idx="7" formatCode="#,##0.00">
                  <c:v>19419.84</c:v>
                </c:pt>
                <c:pt idx="8" formatCode="#,##0.00">
                  <c:v>469.57</c:v>
                </c:pt>
                <c:pt idx="9" formatCode="#,##0.00">
                  <c:v>6960.48</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6</TotalTime>
  <Pages>37</Pages>
  <Words>2564</Words>
  <Characters>14620</Characters>
  <Application>Microsoft Office Word</Application>
  <DocSecurity>0</DocSecurity>
  <Lines>121</Lines>
  <Paragraphs>34</Paragraphs>
  <ScaleCrop>false</ScaleCrop>
  <Company>Microsoft</Company>
  <LinksUpToDate>false</LinksUpToDate>
  <CharactersWithSpaces>17150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9</cp:revision>
  <cp:lastPrinted>2020-07-30T02:37:00Z</cp:lastPrinted>
  <dcterms:created xsi:type="dcterms:W3CDTF">2020-07-29T09:42:00Z</dcterms:created>
  <dcterms:modified xsi:type="dcterms:W3CDTF">2021-05-22T00:25:00Z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689014F687204003B1A2B62C990BBA33</vt:lpwstr>
  </property>
</Properties>
</file>