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4384;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6950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848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0pt;height:308.5pt;width:600.25pt;z-index:-251645952;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w:t>
      </w:r>
      <w:bookmarkStart w:id="1" w:name="_GoBack"/>
      <w:bookmarkEnd w:id="1"/>
      <w:r>
        <w:rPr>
          <w:rFonts w:hint="eastAsia" w:ascii="黑体" w:hAnsi="黑体" w:eastAsia="黑体" w:cs="黑体"/>
          <w:b/>
          <w:bCs/>
          <w:sz w:val="72"/>
          <w:szCs w:val="96"/>
        </w:rPr>
        <w:t>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无极县里城道乡人民政府</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pStyle w:val="13"/>
        <w:widowControl/>
        <w:numPr>
          <w:ilvl w:val="0"/>
          <w:numId w:val="1"/>
        </w:numPr>
        <w:spacing w:after="160" w:line="580" w:lineRule="exact"/>
        <w:ind w:firstLineChars="0"/>
        <w:rPr>
          <w:rFonts w:ascii="Times New Roman" w:hAnsi="Times New Roman" w:eastAsia="仿宋_GB2312" w:cs="Times New Roman"/>
          <w:sz w:val="32"/>
          <w:szCs w:val="32"/>
        </w:rPr>
      </w:pPr>
      <w:r>
        <w:rPr>
          <w:rFonts w:ascii="Times New Roman" w:hAnsi="Times New Roman" w:eastAsia="仿宋_GB2312" w:cs="Times New Roman"/>
          <w:sz w:val="32"/>
          <w:szCs w:val="32"/>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155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left="640" w:firstLine="640" w:firstLineChars="200"/>
        <w:rPr>
          <w:rFonts w:ascii="Times New Roman" w:hAnsi="Times New Roman" w:eastAsia="仿宋_GB2312" w:cs="Times New Roman"/>
          <w:sz w:val="32"/>
          <w:szCs w:val="32"/>
        </w:rPr>
      </w:pPr>
      <w:r>
        <w:rPr>
          <w:rFonts w:hint="eastAsia" w:eastAsia="仿宋_GB2312"/>
          <w:sz w:val="32"/>
          <w:szCs w:val="32"/>
        </w:rPr>
        <w:t>宣传、贯彻、执行党的路线方针政策和国家的法律、法规</w:t>
      </w:r>
      <w:r>
        <w:rPr>
          <w:rFonts w:eastAsia="仿宋_GB2312"/>
          <w:sz w:val="32"/>
          <w:szCs w:val="32"/>
        </w:rPr>
        <w:t>,</w:t>
      </w:r>
      <w:r>
        <w:rPr>
          <w:rFonts w:hint="eastAsia" w:eastAsia="仿宋_GB2312"/>
          <w:sz w:val="32"/>
          <w:szCs w:val="32"/>
        </w:rPr>
        <w:t>执行本级人民代表大会的决议和上级国家行政机关的决定和命令</w:t>
      </w:r>
      <w:r>
        <w:rPr>
          <w:rFonts w:eastAsia="仿宋_GB2312"/>
          <w:sz w:val="32"/>
          <w:szCs w:val="32"/>
        </w:rPr>
        <w:t>,</w:t>
      </w:r>
      <w:r>
        <w:rPr>
          <w:rFonts w:hint="eastAsia" w:eastAsia="仿宋_GB2312"/>
          <w:sz w:val="32"/>
          <w:szCs w:val="32"/>
        </w:rPr>
        <w:t>其主要职能为</w:t>
      </w:r>
      <w:r>
        <w:rPr>
          <w:rFonts w:eastAsia="仿宋_GB2312"/>
          <w:sz w:val="32"/>
          <w:szCs w:val="32"/>
        </w:rPr>
        <w:t>:</w:t>
      </w:r>
    </w:p>
    <w:p>
      <w:pPr>
        <w:widowControl/>
        <w:spacing w:line="580" w:lineRule="exact"/>
        <w:ind w:left="640" w:firstLine="640" w:firstLineChars="200"/>
        <w:rPr>
          <w:rFonts w:eastAsia="仿宋_GB2312"/>
          <w:sz w:val="32"/>
          <w:szCs w:val="32"/>
        </w:rPr>
      </w:pPr>
      <w:r>
        <w:rPr>
          <w:rFonts w:eastAsia="仿宋_GB2312"/>
          <w:sz w:val="32"/>
          <w:szCs w:val="32"/>
        </w:rPr>
        <w:t>1.</w:t>
      </w:r>
      <w:r>
        <w:rPr>
          <w:rFonts w:hint="eastAsia" w:eastAsia="仿宋_GB2312"/>
          <w:sz w:val="32"/>
          <w:szCs w:val="32"/>
        </w:rPr>
        <w:t>促进经济发展</w:t>
      </w:r>
    </w:p>
    <w:p>
      <w:pPr>
        <w:widowControl/>
        <w:spacing w:line="580" w:lineRule="exact"/>
        <w:ind w:left="640" w:firstLine="640" w:firstLineChars="200"/>
        <w:rPr>
          <w:rFonts w:eastAsia="仿宋_GB2312"/>
          <w:sz w:val="32"/>
          <w:szCs w:val="32"/>
        </w:rPr>
      </w:pPr>
      <w:r>
        <w:rPr>
          <w:rFonts w:hint="eastAsia" w:eastAsia="仿宋_GB2312"/>
          <w:sz w:val="32"/>
          <w:szCs w:val="32"/>
        </w:rPr>
        <w:t>主要包括</w:t>
      </w:r>
      <w:r>
        <w:rPr>
          <w:rFonts w:eastAsia="仿宋_GB2312"/>
          <w:sz w:val="32"/>
          <w:szCs w:val="32"/>
        </w:rPr>
        <w:t>:</w:t>
      </w:r>
      <w:r>
        <w:rPr>
          <w:rFonts w:hint="eastAsia" w:eastAsia="仿宋_GB2312"/>
          <w:sz w:val="32"/>
          <w:szCs w:val="32"/>
        </w:rPr>
        <w:t>（</w:t>
      </w:r>
      <w:r>
        <w:rPr>
          <w:rFonts w:eastAsia="仿宋_GB2312"/>
          <w:sz w:val="32"/>
          <w:szCs w:val="32"/>
        </w:rPr>
        <w:t>1</w:t>
      </w:r>
      <w:r>
        <w:rPr>
          <w:rFonts w:hint="eastAsia" w:eastAsia="仿宋_GB2312"/>
          <w:sz w:val="32"/>
          <w:szCs w:val="32"/>
        </w:rPr>
        <w:t>）搞好本乡镇产业发展规划</w:t>
      </w:r>
      <w:r>
        <w:rPr>
          <w:rFonts w:eastAsia="仿宋_GB2312"/>
          <w:sz w:val="32"/>
          <w:szCs w:val="32"/>
        </w:rPr>
        <w:t>,</w:t>
      </w:r>
      <w:r>
        <w:rPr>
          <w:rFonts w:hint="eastAsia" w:eastAsia="仿宋_GB2312"/>
          <w:sz w:val="32"/>
          <w:szCs w:val="32"/>
        </w:rPr>
        <w:t>引导农民立足自身资源和区位条件</w:t>
      </w:r>
      <w:r>
        <w:rPr>
          <w:rFonts w:eastAsia="仿宋_GB2312"/>
          <w:sz w:val="32"/>
          <w:szCs w:val="32"/>
        </w:rPr>
        <w:t>,</w:t>
      </w:r>
      <w:r>
        <w:rPr>
          <w:rFonts w:hint="eastAsia" w:eastAsia="仿宋_GB2312"/>
          <w:sz w:val="32"/>
          <w:szCs w:val="32"/>
        </w:rPr>
        <w:t>发展优势</w:t>
      </w:r>
      <w:r>
        <w:rPr>
          <w:rFonts w:eastAsia="仿宋_GB2312"/>
          <w:sz w:val="32"/>
          <w:szCs w:val="32"/>
        </w:rPr>
        <w:t>,</w:t>
      </w:r>
      <w:r>
        <w:rPr>
          <w:rFonts w:hint="eastAsia" w:eastAsia="仿宋_GB2312"/>
          <w:sz w:val="32"/>
          <w:szCs w:val="32"/>
        </w:rPr>
        <w:t>大力发展区域特色经济。为农民提供政策、信息等服务</w:t>
      </w:r>
      <w:r>
        <w:rPr>
          <w:rFonts w:eastAsia="仿宋_GB2312"/>
          <w:sz w:val="32"/>
          <w:szCs w:val="32"/>
        </w:rPr>
        <w:t>,</w:t>
      </w:r>
      <w:r>
        <w:rPr>
          <w:rFonts w:hint="eastAsia" w:eastAsia="仿宋_GB2312"/>
          <w:sz w:val="32"/>
          <w:szCs w:val="32"/>
        </w:rPr>
        <w:t>促进农民脱贫致富。（</w:t>
      </w:r>
      <w:r>
        <w:rPr>
          <w:rFonts w:eastAsia="仿宋_GB2312"/>
          <w:sz w:val="32"/>
          <w:szCs w:val="32"/>
        </w:rPr>
        <w:t>2</w:t>
      </w:r>
      <w:r>
        <w:rPr>
          <w:rFonts w:hint="eastAsia" w:eastAsia="仿宋_GB2312"/>
          <w:sz w:val="32"/>
          <w:szCs w:val="32"/>
        </w:rPr>
        <w:t>）加强工业经济管理</w:t>
      </w:r>
      <w:r>
        <w:rPr>
          <w:rFonts w:eastAsia="仿宋_GB2312"/>
          <w:sz w:val="32"/>
          <w:szCs w:val="32"/>
        </w:rPr>
        <w:t>,</w:t>
      </w:r>
      <w:r>
        <w:rPr>
          <w:rFonts w:hint="eastAsia" w:eastAsia="仿宋_GB2312"/>
          <w:sz w:val="32"/>
          <w:szCs w:val="32"/>
        </w:rPr>
        <w:t>为招商引资营造良好环境</w:t>
      </w:r>
      <w:r>
        <w:rPr>
          <w:rFonts w:eastAsia="仿宋_GB2312"/>
          <w:sz w:val="32"/>
          <w:szCs w:val="32"/>
        </w:rPr>
        <w:t>(</w:t>
      </w:r>
      <w:r>
        <w:rPr>
          <w:rFonts w:hint="eastAsia" w:eastAsia="仿宋_GB2312"/>
          <w:sz w:val="32"/>
          <w:szCs w:val="32"/>
        </w:rPr>
        <w:t>投资环境、社会环境</w:t>
      </w:r>
      <w:r>
        <w:rPr>
          <w:rFonts w:eastAsia="仿宋_GB2312"/>
          <w:sz w:val="32"/>
          <w:szCs w:val="32"/>
        </w:rPr>
        <w:t>)</w:t>
      </w:r>
      <w:r>
        <w:rPr>
          <w:rFonts w:hint="eastAsia" w:eastAsia="仿宋_GB2312"/>
          <w:sz w:val="32"/>
          <w:szCs w:val="32"/>
        </w:rPr>
        <w:t>大力发展第二、第三产业</w:t>
      </w:r>
      <w:r>
        <w:rPr>
          <w:rFonts w:eastAsia="仿宋_GB2312"/>
          <w:sz w:val="32"/>
          <w:szCs w:val="32"/>
        </w:rPr>
        <w:t>,</w:t>
      </w:r>
      <w:r>
        <w:rPr>
          <w:rFonts w:hint="eastAsia" w:eastAsia="仿宋_GB2312"/>
          <w:sz w:val="32"/>
          <w:szCs w:val="32"/>
        </w:rPr>
        <w:t>加快城镇化进程</w:t>
      </w:r>
      <w:r>
        <w:rPr>
          <w:rFonts w:eastAsia="仿宋_GB2312"/>
          <w:sz w:val="32"/>
          <w:szCs w:val="32"/>
        </w:rPr>
        <w:t>;</w:t>
      </w:r>
      <w:r>
        <w:rPr>
          <w:rFonts w:hint="eastAsia" w:eastAsia="仿宋_GB2312"/>
          <w:sz w:val="32"/>
          <w:szCs w:val="32"/>
        </w:rPr>
        <w:t>（</w:t>
      </w:r>
      <w:r>
        <w:rPr>
          <w:rFonts w:eastAsia="仿宋_GB2312"/>
          <w:sz w:val="32"/>
          <w:szCs w:val="32"/>
        </w:rPr>
        <w:t>3</w:t>
      </w:r>
      <w:r>
        <w:rPr>
          <w:rFonts w:hint="eastAsia" w:eastAsia="仿宋_GB2312"/>
          <w:sz w:val="32"/>
          <w:szCs w:val="32"/>
        </w:rPr>
        <w:t>）配合民政、商务和供销社等部门</w:t>
      </w:r>
      <w:r>
        <w:rPr>
          <w:rFonts w:eastAsia="仿宋_GB2312"/>
          <w:sz w:val="32"/>
          <w:szCs w:val="32"/>
        </w:rPr>
        <w:t>,</w:t>
      </w:r>
      <w:r>
        <w:rPr>
          <w:rFonts w:hint="eastAsia" w:eastAsia="仿宋_GB2312"/>
          <w:sz w:val="32"/>
          <w:szCs w:val="32"/>
        </w:rPr>
        <w:t>培育和发展农村经济合作组织</w:t>
      </w:r>
      <w:r>
        <w:rPr>
          <w:rFonts w:eastAsia="仿宋_GB2312"/>
          <w:sz w:val="32"/>
          <w:szCs w:val="32"/>
        </w:rPr>
        <w:t>(</w:t>
      </w:r>
      <w:r>
        <w:rPr>
          <w:rFonts w:hint="eastAsia" w:eastAsia="仿宋_GB2312"/>
          <w:sz w:val="32"/>
          <w:szCs w:val="32"/>
        </w:rPr>
        <w:t>各种协会及中介组织</w:t>
      </w:r>
      <w:r>
        <w:rPr>
          <w:rFonts w:eastAsia="仿宋_GB2312"/>
          <w:sz w:val="32"/>
          <w:szCs w:val="32"/>
        </w:rPr>
        <w:t>);</w:t>
      </w:r>
      <w:r>
        <w:rPr>
          <w:rFonts w:hint="eastAsia" w:eastAsia="仿宋_GB2312"/>
          <w:sz w:val="32"/>
          <w:szCs w:val="32"/>
        </w:rPr>
        <w:t>配合农口部门做好农业技术推广和服务工作</w:t>
      </w:r>
    </w:p>
    <w:p>
      <w:pPr>
        <w:widowControl/>
        <w:spacing w:line="580" w:lineRule="exact"/>
        <w:ind w:left="640" w:firstLine="640" w:firstLineChars="200"/>
        <w:rPr>
          <w:rFonts w:eastAsia="仿宋_GB2312"/>
          <w:sz w:val="32"/>
          <w:szCs w:val="32"/>
        </w:rPr>
      </w:pPr>
      <w:r>
        <w:rPr>
          <w:rFonts w:eastAsia="仿宋_GB2312"/>
          <w:sz w:val="32"/>
          <w:szCs w:val="32"/>
        </w:rPr>
        <w:t>2.</w:t>
      </w:r>
      <w:r>
        <w:rPr>
          <w:rFonts w:hint="eastAsia" w:eastAsia="仿宋_GB2312"/>
          <w:sz w:val="32"/>
          <w:szCs w:val="32"/>
        </w:rPr>
        <w:t>加强社会管理</w:t>
      </w:r>
    </w:p>
    <w:p>
      <w:pPr>
        <w:widowControl/>
        <w:spacing w:line="580" w:lineRule="exact"/>
        <w:ind w:left="640" w:firstLine="640" w:firstLineChars="200"/>
        <w:rPr>
          <w:rFonts w:eastAsia="仿宋_GB2312"/>
          <w:sz w:val="32"/>
          <w:szCs w:val="32"/>
        </w:rPr>
      </w:pPr>
      <w:r>
        <w:rPr>
          <w:rFonts w:hint="eastAsia" w:eastAsia="仿宋_GB2312"/>
          <w:sz w:val="32"/>
          <w:szCs w:val="32"/>
        </w:rPr>
        <w:t>主要包括</w:t>
      </w:r>
      <w:r>
        <w:rPr>
          <w:rFonts w:eastAsia="仿宋_GB2312"/>
          <w:sz w:val="32"/>
          <w:szCs w:val="32"/>
        </w:rPr>
        <w:t>:</w:t>
      </w:r>
      <w:r>
        <w:rPr>
          <w:rFonts w:hint="eastAsia" w:eastAsia="仿宋_GB2312"/>
          <w:sz w:val="32"/>
          <w:szCs w:val="32"/>
        </w:rPr>
        <w:t>（</w:t>
      </w:r>
      <w:r>
        <w:rPr>
          <w:rFonts w:eastAsia="仿宋_GB2312"/>
          <w:sz w:val="32"/>
          <w:szCs w:val="32"/>
        </w:rPr>
        <w:t>1</w:t>
      </w:r>
      <w:r>
        <w:rPr>
          <w:rFonts w:hint="eastAsia" w:eastAsia="仿宋_GB2312"/>
          <w:sz w:val="32"/>
          <w:szCs w:val="32"/>
        </w:rPr>
        <w:t>）加强乡村财政资金监督管理、农村合同管理及农民减负工作</w:t>
      </w:r>
      <w:r>
        <w:rPr>
          <w:rFonts w:eastAsia="仿宋_GB2312"/>
          <w:sz w:val="32"/>
          <w:szCs w:val="32"/>
        </w:rPr>
        <w:t>;</w:t>
      </w:r>
      <w:r>
        <w:rPr>
          <w:rFonts w:hint="eastAsia" w:eastAsia="仿宋_GB2312"/>
          <w:sz w:val="32"/>
          <w:szCs w:val="32"/>
        </w:rPr>
        <w:t>做好乡镇统计、审计等工作。（</w:t>
      </w:r>
      <w:r>
        <w:rPr>
          <w:rFonts w:eastAsia="仿宋_GB2312"/>
          <w:sz w:val="32"/>
          <w:szCs w:val="32"/>
        </w:rPr>
        <w:t>2</w:t>
      </w:r>
      <w:r>
        <w:rPr>
          <w:rFonts w:hint="eastAsia" w:eastAsia="仿宋_GB2312"/>
          <w:sz w:val="32"/>
          <w:szCs w:val="32"/>
        </w:rPr>
        <w:t>）做好人口和计划生育管理工作及计划生育协会工作。加强流动人口生育管理和计划生育技术服务站等工作。（</w:t>
      </w:r>
      <w:r>
        <w:rPr>
          <w:rFonts w:eastAsia="仿宋_GB2312"/>
          <w:sz w:val="32"/>
          <w:szCs w:val="32"/>
        </w:rPr>
        <w:t>3</w:t>
      </w:r>
      <w:r>
        <w:rPr>
          <w:rFonts w:hint="eastAsia" w:eastAsia="仿宋_GB2312"/>
          <w:sz w:val="32"/>
          <w:szCs w:val="32"/>
        </w:rPr>
        <w:t>）推进农村民主政治建设和村民自治</w:t>
      </w:r>
      <w:r>
        <w:rPr>
          <w:rFonts w:eastAsia="仿宋_GB2312"/>
          <w:sz w:val="32"/>
          <w:szCs w:val="32"/>
        </w:rPr>
        <w:t>,</w:t>
      </w:r>
      <w:r>
        <w:rPr>
          <w:rFonts w:hint="eastAsia" w:eastAsia="仿宋_GB2312"/>
          <w:sz w:val="32"/>
          <w:szCs w:val="32"/>
        </w:rPr>
        <w:t>加强农村基层组织建设</w:t>
      </w:r>
      <w:r>
        <w:rPr>
          <w:rFonts w:eastAsia="仿宋_GB2312"/>
          <w:sz w:val="32"/>
          <w:szCs w:val="32"/>
        </w:rPr>
        <w:t>,</w:t>
      </w:r>
      <w:r>
        <w:rPr>
          <w:rFonts w:hint="eastAsia" w:eastAsia="仿宋_GB2312"/>
          <w:sz w:val="32"/>
          <w:szCs w:val="32"/>
        </w:rPr>
        <w:t>为实现公民在选举、决策、管理等方面的民主权利创造条件。（</w:t>
      </w:r>
      <w:r>
        <w:rPr>
          <w:rFonts w:eastAsia="仿宋_GB2312"/>
          <w:sz w:val="32"/>
          <w:szCs w:val="32"/>
        </w:rPr>
        <w:t>4</w:t>
      </w:r>
      <w:r>
        <w:rPr>
          <w:rFonts w:hint="eastAsia" w:eastAsia="仿宋_GB2312"/>
          <w:sz w:val="32"/>
          <w:szCs w:val="32"/>
        </w:rPr>
        <w:t>）加强农村精神文明建设和生态文明村建设</w:t>
      </w:r>
      <w:r>
        <w:rPr>
          <w:rFonts w:eastAsia="仿宋_GB2312"/>
          <w:sz w:val="32"/>
          <w:szCs w:val="32"/>
        </w:rPr>
        <w:t>,</w:t>
      </w:r>
      <w:r>
        <w:rPr>
          <w:rFonts w:hint="eastAsia" w:eastAsia="仿宋_GB2312"/>
          <w:sz w:val="32"/>
          <w:szCs w:val="32"/>
        </w:rPr>
        <w:t>制定构建和谐社会的具体措施</w:t>
      </w:r>
      <w:r>
        <w:rPr>
          <w:rFonts w:eastAsia="仿宋_GB2312"/>
          <w:sz w:val="32"/>
          <w:szCs w:val="32"/>
        </w:rPr>
        <w:t>,</w:t>
      </w:r>
      <w:r>
        <w:rPr>
          <w:rFonts w:hint="eastAsia" w:eastAsia="仿宋_GB2312"/>
          <w:sz w:val="32"/>
          <w:szCs w:val="32"/>
        </w:rPr>
        <w:t>并抓好组织实施。（</w:t>
      </w:r>
      <w:r>
        <w:rPr>
          <w:rFonts w:eastAsia="仿宋_GB2312"/>
          <w:sz w:val="32"/>
          <w:szCs w:val="32"/>
        </w:rPr>
        <w:t>5</w:t>
      </w:r>
      <w:r>
        <w:rPr>
          <w:rFonts w:hint="eastAsia" w:eastAsia="仿宋_GB2312"/>
          <w:sz w:val="32"/>
          <w:szCs w:val="32"/>
        </w:rPr>
        <w:t>）配合城建、国土资源部门做好镇村建设规划、保护耕地工作。（</w:t>
      </w:r>
      <w:r>
        <w:rPr>
          <w:rFonts w:eastAsia="仿宋_GB2312"/>
          <w:sz w:val="32"/>
          <w:szCs w:val="32"/>
        </w:rPr>
        <w:t>6</w:t>
      </w:r>
      <w:r>
        <w:rPr>
          <w:rFonts w:hint="eastAsia" w:eastAsia="仿宋_GB2312"/>
          <w:sz w:val="32"/>
          <w:szCs w:val="32"/>
        </w:rPr>
        <w:t>）配合安全生产监督管理部门做好安全生产监督管理工作。（</w:t>
      </w:r>
      <w:r>
        <w:rPr>
          <w:rFonts w:eastAsia="仿宋_GB2312"/>
          <w:sz w:val="32"/>
          <w:szCs w:val="32"/>
        </w:rPr>
        <w:t>7</w:t>
      </w:r>
      <w:r>
        <w:rPr>
          <w:rFonts w:hint="eastAsia" w:eastAsia="仿宋_GB2312"/>
          <w:sz w:val="32"/>
          <w:szCs w:val="32"/>
        </w:rPr>
        <w:t>）配合武装部做好征兵工作及民兵工作。（</w:t>
      </w:r>
      <w:r>
        <w:rPr>
          <w:rFonts w:eastAsia="仿宋_GB2312"/>
          <w:sz w:val="32"/>
          <w:szCs w:val="32"/>
        </w:rPr>
        <w:t>8</w:t>
      </w:r>
      <w:r>
        <w:rPr>
          <w:rFonts w:hint="eastAsia" w:eastAsia="仿宋_GB2312"/>
          <w:sz w:val="32"/>
          <w:szCs w:val="32"/>
        </w:rPr>
        <w:t>）配合环保部门做好保护环境</w:t>
      </w:r>
      <w:r>
        <w:rPr>
          <w:rFonts w:eastAsia="仿宋_GB2312"/>
          <w:sz w:val="32"/>
          <w:szCs w:val="32"/>
        </w:rPr>
        <w:t>,</w:t>
      </w:r>
      <w:r>
        <w:rPr>
          <w:rFonts w:hint="eastAsia" w:eastAsia="仿宋_GB2312"/>
          <w:sz w:val="32"/>
          <w:szCs w:val="32"/>
        </w:rPr>
        <w:t>改善生态环境工作</w:t>
      </w:r>
      <w:r>
        <w:rPr>
          <w:rFonts w:eastAsia="仿宋_GB2312"/>
          <w:sz w:val="32"/>
          <w:szCs w:val="32"/>
        </w:rPr>
        <w:t>,</w:t>
      </w:r>
      <w:r>
        <w:rPr>
          <w:rFonts w:hint="eastAsia" w:eastAsia="仿宋_GB2312"/>
          <w:sz w:val="32"/>
          <w:szCs w:val="32"/>
        </w:rPr>
        <w:t>提高资源利用率</w:t>
      </w:r>
    </w:p>
    <w:p>
      <w:pPr>
        <w:widowControl/>
        <w:spacing w:line="580" w:lineRule="exact"/>
        <w:ind w:left="640" w:firstLine="640" w:firstLineChars="200"/>
        <w:rPr>
          <w:rFonts w:eastAsia="仿宋_GB2312"/>
          <w:sz w:val="32"/>
          <w:szCs w:val="32"/>
        </w:rPr>
      </w:pPr>
      <w:r>
        <w:rPr>
          <w:rFonts w:eastAsia="仿宋_GB2312"/>
          <w:sz w:val="32"/>
          <w:szCs w:val="32"/>
        </w:rPr>
        <w:t>3.</w:t>
      </w:r>
      <w:r>
        <w:rPr>
          <w:rFonts w:hint="eastAsia" w:eastAsia="仿宋_GB2312"/>
          <w:sz w:val="32"/>
          <w:szCs w:val="32"/>
        </w:rPr>
        <w:t>提供公共服务</w:t>
      </w:r>
    </w:p>
    <w:p>
      <w:pPr>
        <w:widowControl/>
        <w:spacing w:line="580" w:lineRule="exact"/>
        <w:ind w:left="640" w:firstLine="640" w:firstLineChars="200"/>
        <w:rPr>
          <w:rFonts w:eastAsia="仿宋_GB2312"/>
          <w:sz w:val="32"/>
          <w:szCs w:val="32"/>
        </w:rPr>
      </w:pPr>
      <w:r>
        <w:rPr>
          <w:rFonts w:hint="eastAsia" w:eastAsia="仿宋_GB2312"/>
          <w:sz w:val="32"/>
          <w:szCs w:val="32"/>
        </w:rPr>
        <w:t>主要包括</w:t>
      </w:r>
      <w:r>
        <w:rPr>
          <w:rFonts w:eastAsia="仿宋_GB2312"/>
          <w:sz w:val="32"/>
          <w:szCs w:val="32"/>
        </w:rPr>
        <w:t>:</w:t>
      </w:r>
      <w:r>
        <w:rPr>
          <w:rFonts w:hint="eastAsia" w:eastAsia="仿宋_GB2312"/>
          <w:sz w:val="32"/>
          <w:szCs w:val="32"/>
        </w:rPr>
        <w:t>（</w:t>
      </w:r>
      <w:r>
        <w:rPr>
          <w:rFonts w:eastAsia="仿宋_GB2312"/>
          <w:sz w:val="32"/>
          <w:szCs w:val="32"/>
        </w:rPr>
        <w:t>1</w:t>
      </w:r>
      <w:r>
        <w:rPr>
          <w:rFonts w:hint="eastAsia" w:eastAsia="仿宋_GB2312"/>
          <w:sz w:val="32"/>
          <w:szCs w:val="32"/>
        </w:rPr>
        <w:t>）量力组织乡村公共基础设施建设。（</w:t>
      </w:r>
      <w:r>
        <w:rPr>
          <w:rFonts w:eastAsia="仿宋_GB2312"/>
          <w:sz w:val="32"/>
          <w:szCs w:val="32"/>
        </w:rPr>
        <w:t>2</w:t>
      </w:r>
      <w:r>
        <w:rPr>
          <w:rFonts w:hint="eastAsia" w:eastAsia="仿宋_GB2312"/>
          <w:sz w:val="32"/>
          <w:szCs w:val="32"/>
        </w:rPr>
        <w:t>）配合教育、科技、文体、卫生等部门搞好九年义务教育</w:t>
      </w:r>
      <w:r>
        <w:rPr>
          <w:rFonts w:eastAsia="仿宋_GB2312"/>
          <w:sz w:val="32"/>
          <w:szCs w:val="32"/>
        </w:rPr>
        <w:t>,</w:t>
      </w:r>
      <w:r>
        <w:rPr>
          <w:rFonts w:hint="eastAsia" w:eastAsia="仿宋_GB2312"/>
          <w:sz w:val="32"/>
          <w:szCs w:val="32"/>
        </w:rPr>
        <w:t>普及推广科学技术</w:t>
      </w:r>
      <w:r>
        <w:rPr>
          <w:rFonts w:eastAsia="仿宋_GB2312"/>
          <w:sz w:val="32"/>
          <w:szCs w:val="32"/>
        </w:rPr>
        <w:t>,</w:t>
      </w:r>
      <w:r>
        <w:rPr>
          <w:rFonts w:hint="eastAsia" w:eastAsia="仿宋_GB2312"/>
          <w:sz w:val="32"/>
          <w:szCs w:val="32"/>
        </w:rPr>
        <w:t>丰富农村文化生活</w:t>
      </w:r>
      <w:r>
        <w:rPr>
          <w:rFonts w:eastAsia="仿宋_GB2312"/>
          <w:sz w:val="32"/>
          <w:szCs w:val="32"/>
        </w:rPr>
        <w:t>,</w:t>
      </w:r>
      <w:r>
        <w:rPr>
          <w:rFonts w:hint="eastAsia" w:eastAsia="仿宋_GB2312"/>
          <w:sz w:val="32"/>
          <w:szCs w:val="32"/>
        </w:rPr>
        <w:t>开展全民健身运动</w:t>
      </w:r>
      <w:r>
        <w:rPr>
          <w:rFonts w:eastAsia="仿宋_GB2312"/>
          <w:sz w:val="32"/>
          <w:szCs w:val="32"/>
        </w:rPr>
        <w:t>,</w:t>
      </w:r>
      <w:r>
        <w:rPr>
          <w:rFonts w:hint="eastAsia" w:eastAsia="仿宋_GB2312"/>
          <w:sz w:val="32"/>
          <w:szCs w:val="32"/>
        </w:rPr>
        <w:t>推行和完善新型合作医疗制度</w:t>
      </w:r>
      <w:r>
        <w:rPr>
          <w:rFonts w:eastAsia="仿宋_GB2312"/>
          <w:sz w:val="32"/>
          <w:szCs w:val="32"/>
        </w:rPr>
        <w:t>,</w:t>
      </w:r>
      <w:r>
        <w:rPr>
          <w:rFonts w:hint="eastAsia" w:eastAsia="仿宋_GB2312"/>
          <w:sz w:val="32"/>
          <w:szCs w:val="32"/>
        </w:rPr>
        <w:t>提高参保率</w:t>
      </w:r>
      <w:r>
        <w:rPr>
          <w:rFonts w:eastAsia="仿宋_GB2312"/>
          <w:sz w:val="32"/>
          <w:szCs w:val="32"/>
        </w:rPr>
        <w:t>;</w:t>
      </w:r>
      <w:r>
        <w:rPr>
          <w:rFonts w:hint="eastAsia" w:eastAsia="仿宋_GB2312"/>
          <w:sz w:val="32"/>
          <w:szCs w:val="32"/>
        </w:rPr>
        <w:t>（</w:t>
      </w:r>
      <w:r>
        <w:rPr>
          <w:rFonts w:eastAsia="仿宋_GB2312"/>
          <w:sz w:val="32"/>
          <w:szCs w:val="32"/>
        </w:rPr>
        <w:t>3</w:t>
      </w:r>
      <w:r>
        <w:rPr>
          <w:rFonts w:hint="eastAsia" w:eastAsia="仿宋_GB2312"/>
          <w:sz w:val="32"/>
          <w:szCs w:val="32"/>
        </w:rPr>
        <w:t>）配合农口部门</w:t>
      </w:r>
      <w:r>
        <w:rPr>
          <w:rFonts w:eastAsia="仿宋_GB2312"/>
          <w:sz w:val="32"/>
          <w:szCs w:val="32"/>
        </w:rPr>
        <w:t>(</w:t>
      </w:r>
      <w:r>
        <w:rPr>
          <w:rFonts w:hint="eastAsia" w:eastAsia="仿宋_GB2312"/>
          <w:sz w:val="32"/>
          <w:szCs w:val="32"/>
        </w:rPr>
        <w:t>农、林、牧、水</w:t>
      </w:r>
      <w:r>
        <w:rPr>
          <w:rFonts w:eastAsia="仿宋_GB2312"/>
          <w:sz w:val="32"/>
          <w:szCs w:val="32"/>
        </w:rPr>
        <w:t>)</w:t>
      </w:r>
      <w:r>
        <w:rPr>
          <w:rFonts w:hint="eastAsia" w:eastAsia="仿宋_GB2312"/>
          <w:sz w:val="32"/>
          <w:szCs w:val="32"/>
        </w:rPr>
        <w:t>做好农业技术服务和技术推广工作</w:t>
      </w:r>
      <w:r>
        <w:rPr>
          <w:rFonts w:eastAsia="仿宋_GB2312"/>
          <w:sz w:val="32"/>
          <w:szCs w:val="32"/>
        </w:rPr>
        <w:t>,</w:t>
      </w:r>
      <w:r>
        <w:rPr>
          <w:rFonts w:hint="eastAsia" w:eastAsia="仿宋_GB2312"/>
          <w:sz w:val="32"/>
          <w:szCs w:val="32"/>
        </w:rPr>
        <w:t>动物防疫工作</w:t>
      </w:r>
      <w:r>
        <w:rPr>
          <w:rFonts w:eastAsia="仿宋_GB2312"/>
          <w:sz w:val="32"/>
          <w:szCs w:val="32"/>
        </w:rPr>
        <w:t>;</w:t>
      </w:r>
      <w:r>
        <w:rPr>
          <w:rFonts w:hint="eastAsia" w:eastAsia="仿宋_GB2312"/>
          <w:sz w:val="32"/>
          <w:szCs w:val="32"/>
        </w:rPr>
        <w:t>加强农田水利基本建设</w:t>
      </w:r>
      <w:r>
        <w:rPr>
          <w:rFonts w:eastAsia="仿宋_GB2312"/>
          <w:sz w:val="32"/>
          <w:szCs w:val="32"/>
        </w:rPr>
        <w:t>,</w:t>
      </w:r>
      <w:r>
        <w:rPr>
          <w:rFonts w:hint="eastAsia" w:eastAsia="仿宋_GB2312"/>
          <w:sz w:val="32"/>
          <w:szCs w:val="32"/>
        </w:rPr>
        <w:t>增强农业抗御自然灾害的能力。（</w:t>
      </w:r>
      <w:r>
        <w:rPr>
          <w:rFonts w:eastAsia="仿宋_GB2312"/>
          <w:sz w:val="32"/>
          <w:szCs w:val="32"/>
        </w:rPr>
        <w:t>4</w:t>
      </w:r>
      <w:r>
        <w:rPr>
          <w:rFonts w:hint="eastAsia" w:eastAsia="仿宋_GB2312"/>
          <w:sz w:val="32"/>
          <w:szCs w:val="32"/>
        </w:rPr>
        <w:t>）配合广播电视、电力、电信等部门</w:t>
      </w:r>
      <w:r>
        <w:rPr>
          <w:rFonts w:eastAsia="仿宋_GB2312"/>
          <w:sz w:val="32"/>
          <w:szCs w:val="32"/>
        </w:rPr>
        <w:t>,</w:t>
      </w:r>
      <w:r>
        <w:rPr>
          <w:rFonts w:hint="eastAsia" w:eastAsia="仿宋_GB2312"/>
          <w:sz w:val="32"/>
          <w:szCs w:val="32"/>
        </w:rPr>
        <w:t>做好普及有线电视、电网改造工作</w:t>
      </w:r>
      <w:r>
        <w:rPr>
          <w:rFonts w:eastAsia="仿宋_GB2312"/>
          <w:sz w:val="32"/>
          <w:szCs w:val="32"/>
        </w:rPr>
        <w:t>,</w:t>
      </w:r>
      <w:r>
        <w:rPr>
          <w:rFonts w:hint="eastAsia" w:eastAsia="仿宋_GB2312"/>
          <w:sz w:val="32"/>
          <w:szCs w:val="32"/>
        </w:rPr>
        <w:t>扩大通讯网络在农村的覆盖面。（</w:t>
      </w:r>
      <w:r>
        <w:rPr>
          <w:rFonts w:eastAsia="仿宋_GB2312"/>
          <w:sz w:val="32"/>
          <w:szCs w:val="32"/>
        </w:rPr>
        <w:t>5</w:t>
      </w:r>
      <w:r>
        <w:rPr>
          <w:rFonts w:hint="eastAsia" w:eastAsia="仿宋_GB2312"/>
          <w:sz w:val="32"/>
          <w:szCs w:val="32"/>
        </w:rPr>
        <w:t>）配合民政、残联部门做好农村扶贫和低保工作以及特困户救助和残疾人服务工作。配合劳动部门做好农村劳动力职业培训、劳动就业和社会保障工作。</w:t>
      </w:r>
    </w:p>
    <w:p>
      <w:pPr>
        <w:widowControl/>
        <w:spacing w:line="580" w:lineRule="exact"/>
        <w:ind w:left="640" w:firstLine="640" w:firstLineChars="200"/>
        <w:rPr>
          <w:rFonts w:eastAsia="仿宋_GB2312"/>
          <w:sz w:val="32"/>
          <w:szCs w:val="32"/>
        </w:rPr>
      </w:pPr>
      <w:r>
        <w:rPr>
          <w:rFonts w:eastAsia="仿宋_GB2312"/>
          <w:sz w:val="32"/>
          <w:szCs w:val="32"/>
        </w:rPr>
        <w:t>4.</w:t>
      </w:r>
      <w:r>
        <w:rPr>
          <w:rFonts w:hint="eastAsia" w:eastAsia="仿宋_GB2312"/>
          <w:sz w:val="32"/>
          <w:szCs w:val="32"/>
        </w:rPr>
        <w:t>维护农村稳定</w:t>
      </w:r>
    </w:p>
    <w:p>
      <w:pPr>
        <w:widowControl/>
        <w:spacing w:line="580" w:lineRule="exact"/>
        <w:ind w:left="640" w:firstLine="640" w:firstLineChars="200"/>
        <w:rPr>
          <w:rFonts w:eastAsia="仿宋_GB2312"/>
          <w:sz w:val="32"/>
          <w:szCs w:val="32"/>
        </w:rPr>
      </w:pPr>
      <w:r>
        <w:rPr>
          <w:rFonts w:hint="eastAsia" w:eastAsia="仿宋_GB2312"/>
          <w:sz w:val="32"/>
          <w:szCs w:val="32"/>
        </w:rPr>
        <w:t>主要包括</w:t>
      </w:r>
      <w:r>
        <w:rPr>
          <w:rFonts w:eastAsia="仿宋_GB2312"/>
          <w:sz w:val="32"/>
          <w:szCs w:val="32"/>
        </w:rPr>
        <w:t>:</w:t>
      </w:r>
      <w:r>
        <w:rPr>
          <w:rFonts w:hint="eastAsia" w:eastAsia="仿宋_GB2312"/>
          <w:sz w:val="32"/>
          <w:szCs w:val="32"/>
        </w:rPr>
        <w:t>（</w:t>
      </w:r>
      <w:r>
        <w:rPr>
          <w:rFonts w:eastAsia="仿宋_GB2312"/>
          <w:sz w:val="32"/>
          <w:szCs w:val="32"/>
        </w:rPr>
        <w:t>1</w:t>
      </w:r>
      <w:r>
        <w:rPr>
          <w:rFonts w:hint="eastAsia" w:eastAsia="仿宋_GB2312"/>
          <w:sz w:val="32"/>
          <w:szCs w:val="32"/>
        </w:rPr>
        <w:t>）做好社会治安</w:t>
      </w:r>
      <w:r>
        <w:rPr>
          <w:rFonts w:hint="eastAsia" w:eastAsia="仿宋_GB2312"/>
          <w:sz w:val="32"/>
          <w:szCs w:val="32"/>
          <w:lang w:eastAsia="zh-CN"/>
        </w:rPr>
        <w:t>综合治理</w:t>
      </w:r>
      <w:r>
        <w:rPr>
          <w:rFonts w:hint="eastAsia" w:eastAsia="仿宋_GB2312"/>
          <w:sz w:val="32"/>
          <w:szCs w:val="32"/>
        </w:rPr>
        <w:t>工作</w:t>
      </w:r>
      <w:r>
        <w:rPr>
          <w:rFonts w:eastAsia="仿宋_GB2312"/>
          <w:sz w:val="32"/>
          <w:szCs w:val="32"/>
        </w:rPr>
        <w:t>;</w:t>
      </w:r>
      <w:r>
        <w:rPr>
          <w:rFonts w:hint="eastAsia" w:eastAsia="仿宋_GB2312"/>
          <w:sz w:val="32"/>
          <w:szCs w:val="32"/>
        </w:rPr>
        <w:t>（</w:t>
      </w:r>
      <w:r>
        <w:rPr>
          <w:rFonts w:eastAsia="仿宋_GB2312"/>
          <w:sz w:val="32"/>
          <w:szCs w:val="32"/>
        </w:rPr>
        <w:t>2</w:t>
      </w:r>
      <w:r>
        <w:rPr>
          <w:rFonts w:hint="eastAsia" w:eastAsia="仿宋_GB2312"/>
          <w:sz w:val="32"/>
          <w:szCs w:val="32"/>
        </w:rPr>
        <w:t>）宣传贯彻国家法律法规和政策</w:t>
      </w:r>
      <w:r>
        <w:rPr>
          <w:rFonts w:eastAsia="仿宋_GB2312"/>
          <w:sz w:val="32"/>
          <w:szCs w:val="32"/>
        </w:rPr>
        <w:t>,</w:t>
      </w:r>
      <w:r>
        <w:rPr>
          <w:rFonts w:hint="eastAsia" w:eastAsia="仿宋_GB2312"/>
          <w:sz w:val="32"/>
          <w:szCs w:val="32"/>
        </w:rPr>
        <w:t>增强农民法律意识</w:t>
      </w:r>
      <w:r>
        <w:rPr>
          <w:rFonts w:eastAsia="仿宋_GB2312"/>
          <w:sz w:val="32"/>
          <w:szCs w:val="32"/>
        </w:rPr>
        <w:t>,</w:t>
      </w:r>
      <w:r>
        <w:rPr>
          <w:rFonts w:hint="eastAsia" w:eastAsia="仿宋_GB2312"/>
          <w:sz w:val="32"/>
          <w:szCs w:val="32"/>
        </w:rPr>
        <w:t>教育农民知法、懂法、守法</w:t>
      </w:r>
      <w:r>
        <w:rPr>
          <w:rFonts w:eastAsia="仿宋_GB2312"/>
          <w:sz w:val="32"/>
          <w:szCs w:val="32"/>
        </w:rPr>
        <w:t>;</w:t>
      </w:r>
      <w:r>
        <w:rPr>
          <w:rFonts w:hint="eastAsia" w:eastAsia="仿宋_GB2312"/>
          <w:sz w:val="32"/>
          <w:szCs w:val="32"/>
        </w:rPr>
        <w:t>（</w:t>
      </w:r>
      <w:r>
        <w:rPr>
          <w:rFonts w:eastAsia="仿宋_GB2312"/>
          <w:sz w:val="32"/>
          <w:szCs w:val="32"/>
        </w:rPr>
        <w:t>3</w:t>
      </w:r>
      <w:r>
        <w:rPr>
          <w:rFonts w:hint="eastAsia" w:eastAsia="仿宋_GB2312"/>
          <w:sz w:val="32"/>
          <w:szCs w:val="32"/>
        </w:rPr>
        <w:t>）做好司法、宗教工作</w:t>
      </w:r>
      <w:r>
        <w:rPr>
          <w:rFonts w:eastAsia="仿宋_GB2312"/>
          <w:sz w:val="32"/>
          <w:szCs w:val="32"/>
        </w:rPr>
        <w:t>,</w:t>
      </w:r>
      <w:r>
        <w:rPr>
          <w:rFonts w:hint="eastAsia" w:eastAsia="仿宋_GB2312"/>
          <w:sz w:val="32"/>
          <w:szCs w:val="32"/>
        </w:rPr>
        <w:t>打击邪教</w:t>
      </w:r>
      <w:r>
        <w:rPr>
          <w:rFonts w:eastAsia="仿宋_GB2312"/>
          <w:sz w:val="32"/>
          <w:szCs w:val="32"/>
        </w:rPr>
        <w:t>;</w:t>
      </w:r>
      <w:r>
        <w:rPr>
          <w:rFonts w:hint="eastAsia" w:eastAsia="仿宋_GB2312"/>
          <w:sz w:val="32"/>
          <w:szCs w:val="32"/>
        </w:rPr>
        <w:t>（</w:t>
      </w:r>
      <w:r>
        <w:rPr>
          <w:rFonts w:eastAsia="仿宋_GB2312"/>
          <w:sz w:val="32"/>
          <w:szCs w:val="32"/>
        </w:rPr>
        <w:t>4</w:t>
      </w:r>
      <w:r>
        <w:rPr>
          <w:rFonts w:hint="eastAsia" w:eastAsia="仿宋_GB2312"/>
          <w:sz w:val="32"/>
          <w:szCs w:val="32"/>
        </w:rPr>
        <w:t>）做好群众来信来访、法律咨询、搞好农村矛盾纠纷排查调处</w:t>
      </w:r>
      <w:r>
        <w:rPr>
          <w:rFonts w:eastAsia="仿宋_GB2312"/>
          <w:sz w:val="32"/>
          <w:szCs w:val="32"/>
        </w:rPr>
        <w:t>;</w:t>
      </w:r>
      <w:r>
        <w:rPr>
          <w:rFonts w:hint="eastAsia" w:eastAsia="仿宋_GB2312"/>
          <w:sz w:val="32"/>
          <w:szCs w:val="32"/>
        </w:rPr>
        <w:t>（</w:t>
      </w:r>
      <w:r>
        <w:rPr>
          <w:rFonts w:eastAsia="仿宋_GB2312"/>
          <w:sz w:val="32"/>
          <w:szCs w:val="32"/>
        </w:rPr>
        <w:t>5</w:t>
      </w:r>
      <w:r>
        <w:rPr>
          <w:rFonts w:hint="eastAsia" w:eastAsia="仿宋_GB2312"/>
          <w:sz w:val="32"/>
          <w:szCs w:val="32"/>
        </w:rPr>
        <w:t>）妥善处理突发性、群体性事件</w:t>
      </w:r>
      <w:r>
        <w:rPr>
          <w:rFonts w:eastAsia="仿宋_GB2312"/>
          <w:sz w:val="32"/>
          <w:szCs w:val="32"/>
        </w:rPr>
        <w:t>,</w:t>
      </w:r>
      <w:r>
        <w:rPr>
          <w:rFonts w:hint="eastAsia" w:eastAsia="仿宋_GB2312"/>
          <w:sz w:val="32"/>
          <w:szCs w:val="32"/>
        </w:rPr>
        <w:t>维护社会稳定</w:t>
      </w:r>
      <w:r>
        <w:rPr>
          <w:rFonts w:eastAsia="仿宋_GB2312"/>
          <w:sz w:val="32"/>
          <w:szCs w:val="32"/>
        </w:rPr>
        <w:t>;</w:t>
      </w:r>
      <w:r>
        <w:rPr>
          <w:rFonts w:hint="eastAsia" w:eastAsia="仿宋_GB2312"/>
          <w:sz w:val="32"/>
          <w:szCs w:val="32"/>
        </w:rPr>
        <w:t>（</w:t>
      </w:r>
      <w:r>
        <w:rPr>
          <w:rFonts w:eastAsia="仿宋_GB2312"/>
          <w:sz w:val="32"/>
          <w:szCs w:val="32"/>
        </w:rPr>
        <w:t>6</w:t>
      </w:r>
      <w:r>
        <w:rPr>
          <w:rFonts w:hint="eastAsia" w:eastAsia="仿宋_GB2312"/>
          <w:sz w:val="32"/>
          <w:szCs w:val="32"/>
        </w:rPr>
        <w:t>）协助司法机关打击各类刑事犯罪活动。</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ascii="仿宋_GB2312" w:hAnsi="Calibri" w:eastAsia="仿宋_GB2312" w:cs="ArialUnicodeMS"/>
          <w:kern w:val="0"/>
          <w:sz w:val="32"/>
          <w:szCs w:val="32"/>
        </w:rPr>
        <w:t>1</w:t>
      </w:r>
      <w:r>
        <w:rPr>
          <w:rFonts w:hint="eastAsia" w:ascii="仿宋_GB2312" w:hAnsi="Calibri" w:eastAsia="仿宋_GB2312" w:cs="ArialUnicodeMS"/>
          <w:kern w:val="0"/>
          <w:sz w:val="32"/>
          <w:szCs w:val="32"/>
        </w:rPr>
        <w:t xml:space="preserve">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tbl>
            <w:tblPr>
              <w:tblStyle w:val="8"/>
              <w:tblpPr w:leftFromText="180" w:rightFromText="180" w:vertAnchor="text" w:horzAnchor="page" w:tblpXSpec="center" w:tblpY="398"/>
              <w:tblOverlap w:val="never"/>
              <w:tblW w:w="95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2727"/>
              <w:gridCol w:w="29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3485" w:type="dxa"/>
                  <w:tcBorders>
                    <w:top w:val="single" w:color="auto" w:sz="4" w:space="0"/>
                    <w:left w:val="single" w:color="auto" w:sz="4" w:space="0"/>
                    <w:bottom w:val="single" w:color="auto" w:sz="4" w:space="0"/>
                    <w:right w:val="single" w:color="auto" w:sz="4" w:space="0"/>
                  </w:tcBorders>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无极县里城道乡人民政府</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bl>
          <w:p>
            <w:pPr>
              <w:spacing w:line="560" w:lineRule="exact"/>
              <w:rPr>
                <w:rFonts w:ascii="仿宋_GB2312" w:hAnsi="Calibri" w:eastAsia="仿宋_GB2312" w:cs="ArialUnicodeMS"/>
                <w:kern w:val="0"/>
                <w:sz w:val="28"/>
                <w:szCs w:val="28"/>
              </w:rPr>
            </w:pPr>
          </w:p>
        </w:tc>
        <w:tc>
          <w:tcPr>
            <w:tcW w:w="2445" w:type="dxa"/>
          </w:tcPr>
          <w:tbl>
            <w:tblPr>
              <w:tblStyle w:val="8"/>
              <w:tblpPr w:leftFromText="180" w:rightFromText="180" w:vertAnchor="text" w:horzAnchor="page" w:tblpXSpec="center" w:tblpY="398"/>
              <w:tblOverlap w:val="never"/>
              <w:tblW w:w="95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2727"/>
              <w:gridCol w:w="29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3485" w:type="dxa"/>
                  <w:tcBorders>
                    <w:top w:val="single" w:color="auto" w:sz="4" w:space="0"/>
                    <w:left w:val="single" w:color="auto" w:sz="4" w:space="0"/>
                    <w:bottom w:val="single" w:color="auto" w:sz="4" w:space="0"/>
                    <w:right w:val="single" w:color="auto" w:sz="4" w:space="0"/>
                  </w:tcBorders>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无极县里城道乡人民政府</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bl>
          <w:p>
            <w:pPr>
              <w:spacing w:line="560" w:lineRule="exact"/>
              <w:jc w:val="center"/>
              <w:rPr>
                <w:rFonts w:ascii="仿宋_GB2312" w:hAnsi="Calibri" w:eastAsia="仿宋_GB2312" w:cs="ArialUnicodeMS"/>
                <w:kern w:val="0"/>
                <w:sz w:val="28"/>
                <w:szCs w:val="28"/>
              </w:rPr>
            </w:pPr>
          </w:p>
        </w:tc>
        <w:tc>
          <w:tcPr>
            <w:tcW w:w="2665" w:type="dxa"/>
          </w:tcPr>
          <w:tbl>
            <w:tblPr>
              <w:tblStyle w:val="8"/>
              <w:tblpPr w:leftFromText="180" w:rightFromText="180" w:vertAnchor="text" w:horzAnchor="page" w:tblpXSpec="center" w:tblpY="398"/>
              <w:tblOverlap w:val="never"/>
              <w:tblW w:w="95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2727"/>
              <w:gridCol w:w="29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3485" w:type="dxa"/>
                  <w:tcBorders>
                    <w:top w:val="single" w:color="auto" w:sz="4" w:space="0"/>
                    <w:left w:val="single" w:color="auto" w:sz="4" w:space="0"/>
                    <w:bottom w:val="single" w:color="auto" w:sz="4" w:space="0"/>
                    <w:right w:val="single" w:color="auto" w:sz="4" w:space="0"/>
                  </w:tcBorders>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无极县里城道乡人民政府</w:t>
                  </w:r>
                </w:p>
              </w:tc>
              <w:tc>
                <w:tcPr>
                  <w:tcW w:w="244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bl>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257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7360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ascii="仿宋_GB2312" w:hAnsi="Times New Roman" w:eastAsia="仿宋_GB2312" w:cs="DengXian-Regular"/>
          <w:sz w:val="32"/>
          <w:szCs w:val="32"/>
        </w:rPr>
        <w:t>7015.96</w:t>
      </w:r>
      <w:r>
        <w:rPr>
          <w:rFonts w:hint="eastAsia" w:ascii="仿宋_GB2312" w:hAnsi="Times New Roman" w:eastAsia="仿宋_GB2312" w:cs="DengXian-Regular"/>
          <w:sz w:val="32"/>
          <w:szCs w:val="32"/>
        </w:rPr>
        <w:t>万元。与2018年度决算相比，收支各增加5</w:t>
      </w:r>
      <w:r>
        <w:rPr>
          <w:rFonts w:ascii="仿宋_GB2312" w:hAnsi="Times New Roman" w:eastAsia="仿宋_GB2312" w:cs="DengXian-Regular"/>
          <w:sz w:val="32"/>
          <w:szCs w:val="32"/>
        </w:rPr>
        <w:t>914.01</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536.69</w:t>
      </w:r>
      <w:r>
        <w:rPr>
          <w:rFonts w:hint="eastAsia" w:ascii="仿宋_GB2312" w:hAnsi="Times New Roman" w:eastAsia="仿宋_GB2312" w:cs="DengXian-Regular"/>
          <w:sz w:val="32"/>
          <w:szCs w:val="32"/>
        </w:rPr>
        <w:t>%，主要原因是项目增加。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ascii="仿宋_GB2312" w:hAnsi="Times New Roman" w:eastAsia="仿宋_GB2312" w:cs="DengXian-Regular"/>
          <w:sz w:val="32"/>
          <w:szCs w:val="32"/>
        </w:rPr>
        <w:t>7015.96</w:t>
      </w:r>
      <w:r>
        <w:rPr>
          <w:rFonts w:hint="eastAsia" w:ascii="仿宋_GB2312" w:hAnsi="Times New Roman" w:eastAsia="仿宋_GB2312" w:cs="DengXian-Regular"/>
          <w:sz w:val="32"/>
          <w:szCs w:val="32"/>
        </w:rPr>
        <w:t>万元，其中：财政拨款收入7</w:t>
      </w:r>
      <w:r>
        <w:rPr>
          <w:rFonts w:ascii="仿宋_GB2312" w:hAnsi="Times New Roman" w:eastAsia="仿宋_GB2312" w:cs="DengXian-Regular"/>
          <w:sz w:val="32"/>
          <w:szCs w:val="32"/>
        </w:rPr>
        <w:t>013.82</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99.97</w:t>
      </w:r>
      <w:r>
        <w:rPr>
          <w:rFonts w:hint="eastAsia" w:ascii="仿宋_GB2312" w:hAnsi="Times New Roman" w:eastAsia="仿宋_GB2312" w:cs="DengXian-Regular"/>
          <w:sz w:val="32"/>
          <w:szCs w:val="32"/>
        </w:rPr>
        <w:t>%；事业收入0万元，占0%；经营收入0万元，占0%；其他收入2</w:t>
      </w:r>
      <w:r>
        <w:rPr>
          <w:rFonts w:ascii="仿宋_GB2312" w:hAnsi="Times New Roman" w:eastAsia="仿宋_GB2312" w:cs="DengXian-Regular"/>
          <w:sz w:val="32"/>
          <w:szCs w:val="32"/>
        </w:rPr>
        <w:t>.14</w:t>
      </w:r>
      <w:r>
        <w:rPr>
          <w:rFonts w:hint="eastAsia" w:ascii="仿宋_GB2312" w:hAnsi="Times New Roman" w:eastAsia="仿宋_GB2312" w:cs="DengXian-Regular"/>
          <w:sz w:val="32"/>
          <w:szCs w:val="32"/>
        </w:rPr>
        <w:t>万元，占0</w:t>
      </w:r>
      <w:r>
        <w:rPr>
          <w:rFonts w:ascii="仿宋_GB2312" w:hAnsi="Times New Roman" w:eastAsia="仿宋_GB2312" w:cs="DengXian-Regular"/>
          <w:sz w:val="32"/>
          <w:szCs w:val="32"/>
        </w:rPr>
        <w:t>.03</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59264" behindDoc="0" locked="0" layoutInCell="1" allowOverlap="1">
            <wp:simplePos x="0" y="0"/>
            <wp:positionH relativeFrom="column">
              <wp:posOffset>998220</wp:posOffset>
            </wp:positionH>
            <wp:positionV relativeFrom="paragraph">
              <wp:posOffset>7620</wp:posOffset>
            </wp:positionV>
            <wp:extent cx="4006850" cy="2647950"/>
            <wp:effectExtent l="0" t="0" r="12700" b="0"/>
            <wp:wrapNone/>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6941.49</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1008.14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14.52</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5933.35</w:t>
      </w:r>
      <w:r>
        <w:rPr>
          <w:rFonts w:hint="eastAsia" w:ascii="仿宋_GB2312" w:hAnsi="Times New Roman" w:eastAsia="仿宋_GB2312" w:cs="DengXian-Regular"/>
          <w:sz w:val="32"/>
          <w:szCs w:val="32"/>
        </w:rPr>
        <w:t>万元，占</w:t>
      </w:r>
      <w:r>
        <w:drawing>
          <wp:anchor distT="0" distB="0" distL="114300" distR="114300" simplePos="0" relativeHeight="251660288" behindDoc="1" locked="0" layoutInCell="1" allowOverlap="1">
            <wp:simplePos x="0" y="0"/>
            <wp:positionH relativeFrom="column">
              <wp:posOffset>1188720</wp:posOffset>
            </wp:positionH>
            <wp:positionV relativeFrom="paragraph">
              <wp:posOffset>1061720</wp:posOffset>
            </wp:positionV>
            <wp:extent cx="3819525" cy="2609850"/>
            <wp:effectExtent l="57150" t="0" r="47625" b="114300"/>
            <wp:wrapTopAndBottom/>
            <wp:docPr id="227" name="图表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ascii="仿宋_GB2312" w:hAnsi="Times New Roman" w:eastAsia="仿宋_GB2312" w:cs="DengXian-Regular"/>
          <w:sz w:val="32"/>
          <w:szCs w:val="32"/>
        </w:rPr>
        <w:t>85.48</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inline distT="0" distB="0" distL="0" distR="0">
            <wp:extent cx="3819525" cy="2609850"/>
            <wp:effectExtent l="57150" t="0" r="47625" b="114300"/>
            <wp:docPr id="226" name="图表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ascii="仿宋_GB2312" w:hAnsi="Times New Roman" w:eastAsia="仿宋_GB2312" w:cs="DengXian-Regular"/>
          <w:sz w:val="32"/>
          <w:szCs w:val="32"/>
        </w:rPr>
        <w:t>7015.96</w:t>
      </w:r>
      <w:r>
        <w:rPr>
          <w:rFonts w:hint="eastAsia" w:ascii="仿宋_GB2312" w:hAnsi="Times New Roman" w:eastAsia="仿宋_GB2312" w:cs="DengXian-Regular"/>
          <w:sz w:val="32"/>
          <w:szCs w:val="32"/>
        </w:rPr>
        <w:t>万元,比2018年度增加5</w:t>
      </w:r>
      <w:r>
        <w:rPr>
          <w:rFonts w:ascii="仿宋_GB2312" w:hAnsi="Times New Roman" w:eastAsia="仿宋_GB2312" w:cs="DengXian-Regular"/>
          <w:sz w:val="32"/>
          <w:szCs w:val="32"/>
        </w:rPr>
        <w:t>930.30</w:t>
      </w:r>
      <w:r>
        <w:rPr>
          <w:rFonts w:hint="eastAsia" w:ascii="仿宋_GB2312" w:hAnsi="Times New Roman" w:eastAsia="仿宋_GB2312" w:cs="DengXian-Regular"/>
          <w:sz w:val="32"/>
          <w:szCs w:val="32"/>
        </w:rPr>
        <w:t>万元，增长5</w:t>
      </w:r>
      <w:r>
        <w:rPr>
          <w:rFonts w:ascii="仿宋_GB2312" w:hAnsi="Times New Roman" w:eastAsia="仿宋_GB2312" w:cs="DengXian-Regular"/>
          <w:sz w:val="32"/>
          <w:szCs w:val="32"/>
        </w:rPr>
        <w:t>46.23</w:t>
      </w:r>
      <w:r>
        <w:rPr>
          <w:rFonts w:hint="eastAsia" w:ascii="仿宋_GB2312" w:hAnsi="Times New Roman" w:eastAsia="仿宋_GB2312" w:cs="DengXian-Regular"/>
          <w:sz w:val="32"/>
          <w:szCs w:val="32"/>
        </w:rPr>
        <w:t>%，主要是</w:t>
      </w:r>
      <w:bookmarkStart w:id="0" w:name="_Hlk50969574"/>
      <w:r>
        <w:rPr>
          <w:rFonts w:hint="eastAsia" w:ascii="仿宋_GB2312" w:hAnsi="Times New Roman" w:eastAsia="仿宋_GB2312" w:cs="DengXian-Regular"/>
          <w:sz w:val="32"/>
          <w:szCs w:val="32"/>
        </w:rPr>
        <w:t>今年我乡建设项目增加</w:t>
      </w:r>
      <w:bookmarkEnd w:id="0"/>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6941.49</w:t>
      </w:r>
      <w:r>
        <w:rPr>
          <w:rFonts w:hint="eastAsia" w:ascii="仿宋_GB2312" w:hAnsi="Times New Roman" w:eastAsia="仿宋_GB2312" w:cs="DengXian-Regular"/>
          <w:sz w:val="32"/>
          <w:szCs w:val="32"/>
        </w:rPr>
        <w:t>万元，增加5</w:t>
      </w:r>
      <w:r>
        <w:rPr>
          <w:rFonts w:ascii="仿宋_GB2312" w:hAnsi="Times New Roman" w:eastAsia="仿宋_GB2312" w:cs="DengXian-Regular"/>
          <w:sz w:val="32"/>
          <w:szCs w:val="32"/>
        </w:rPr>
        <w:t>839.54</w:t>
      </w:r>
      <w:r>
        <w:rPr>
          <w:rFonts w:hint="eastAsia" w:ascii="仿宋_GB2312" w:hAnsi="Times New Roman" w:eastAsia="仿宋_GB2312" w:cs="DengXian-Regular"/>
          <w:sz w:val="32"/>
          <w:szCs w:val="32"/>
        </w:rPr>
        <w:t>万元，增长5</w:t>
      </w:r>
      <w:r>
        <w:rPr>
          <w:rFonts w:ascii="仿宋_GB2312" w:hAnsi="Times New Roman" w:eastAsia="仿宋_GB2312" w:cs="DengXian-Regular"/>
          <w:sz w:val="32"/>
          <w:szCs w:val="32"/>
        </w:rPr>
        <w:t>29.93</w:t>
      </w:r>
      <w:r>
        <w:rPr>
          <w:rFonts w:hint="eastAsia" w:ascii="仿宋_GB2312" w:hAnsi="Times New Roman" w:eastAsia="仿宋_GB2312" w:cs="DengXian-Regular"/>
          <w:sz w:val="32"/>
          <w:szCs w:val="32"/>
        </w:rPr>
        <w:t>%，主要是今年我乡建设项目增加。具体情况如下：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6864.70</w:t>
      </w:r>
      <w:r>
        <w:rPr>
          <w:rFonts w:hint="eastAsia" w:ascii="仿宋_GB2312" w:hAnsi="Times New Roman" w:eastAsia="仿宋_GB2312" w:cs="DengXian-Regular"/>
          <w:sz w:val="32"/>
          <w:szCs w:val="32"/>
        </w:rPr>
        <w:t>万元，比上年增加6</w:t>
      </w:r>
      <w:r>
        <w:rPr>
          <w:rFonts w:ascii="仿宋_GB2312" w:hAnsi="Times New Roman" w:eastAsia="仿宋_GB2312" w:cs="DengXian-Regular"/>
          <w:sz w:val="32"/>
          <w:szCs w:val="32"/>
        </w:rPr>
        <w:t>000.87</w:t>
      </w:r>
      <w:r>
        <w:rPr>
          <w:rFonts w:hint="eastAsia" w:ascii="仿宋_GB2312" w:hAnsi="Times New Roman" w:eastAsia="仿宋_GB2312" w:cs="DengXian-Regular"/>
          <w:sz w:val="32"/>
          <w:szCs w:val="32"/>
        </w:rPr>
        <w:t>万元，主要是今年我乡建设项目增加；本年支出</w:t>
      </w:r>
      <w:r>
        <w:rPr>
          <w:rFonts w:ascii="仿宋_GB2312" w:hAnsi="Times New Roman" w:eastAsia="仿宋_GB2312" w:cs="DengXian-Regular"/>
          <w:sz w:val="32"/>
          <w:szCs w:val="32"/>
        </w:rPr>
        <w:t>6790.22</w:t>
      </w:r>
      <w:r>
        <w:rPr>
          <w:rFonts w:hint="eastAsia" w:ascii="仿宋_GB2312" w:hAnsi="Times New Roman" w:eastAsia="仿宋_GB2312" w:cs="DengXian-Regular"/>
          <w:sz w:val="32"/>
          <w:szCs w:val="32"/>
        </w:rPr>
        <w:t>万元，比上年增加5</w:t>
      </w:r>
      <w:r>
        <w:rPr>
          <w:rFonts w:ascii="仿宋_GB2312" w:hAnsi="Times New Roman" w:eastAsia="仿宋_GB2312" w:cs="DengXian-Regular"/>
          <w:sz w:val="32"/>
          <w:szCs w:val="32"/>
        </w:rPr>
        <w:t>910.11</w:t>
      </w:r>
      <w:r>
        <w:rPr>
          <w:rFonts w:hint="eastAsia" w:ascii="仿宋_GB2312" w:hAnsi="Times New Roman" w:eastAsia="仿宋_GB2312" w:cs="DengXian-Regular"/>
          <w:sz w:val="32"/>
          <w:szCs w:val="32"/>
        </w:rPr>
        <w:t>万元，增长6</w:t>
      </w:r>
      <w:r>
        <w:rPr>
          <w:rFonts w:ascii="仿宋_GB2312" w:hAnsi="Times New Roman" w:eastAsia="仿宋_GB2312" w:cs="DengXian-Regular"/>
          <w:sz w:val="32"/>
          <w:szCs w:val="32"/>
        </w:rPr>
        <w:t>71.52</w:t>
      </w:r>
      <w:r>
        <w:rPr>
          <w:rFonts w:hint="eastAsia" w:ascii="仿宋_GB2312" w:hAnsi="Times New Roman" w:eastAsia="仿宋_GB2312" w:cs="DengXian-Regular"/>
          <w:sz w:val="32"/>
          <w:szCs w:val="32"/>
        </w:rPr>
        <w:t>%，主要是今年我乡工作任务增加。</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政府性基金预算财政拨款本年收入1</w:t>
      </w:r>
      <w:r>
        <w:rPr>
          <w:rFonts w:ascii="仿宋_GB2312" w:hAnsi="Times New Roman" w:eastAsia="仿宋_GB2312" w:cs="DengXian-Regular"/>
          <w:sz w:val="32"/>
          <w:szCs w:val="32"/>
        </w:rPr>
        <w:t>49.13</w:t>
      </w:r>
      <w:r>
        <w:rPr>
          <w:rFonts w:hint="eastAsia" w:ascii="仿宋_GB2312" w:hAnsi="Times New Roman" w:eastAsia="仿宋_GB2312" w:cs="DengXian-Regular"/>
          <w:sz w:val="32"/>
          <w:szCs w:val="32"/>
        </w:rPr>
        <w:t>万元，比上年减少7</w:t>
      </w:r>
      <w:r>
        <w:rPr>
          <w:rFonts w:ascii="仿宋_GB2312" w:hAnsi="Times New Roman" w:eastAsia="仿宋_GB2312" w:cs="DengXian-Regular"/>
          <w:sz w:val="32"/>
          <w:szCs w:val="32"/>
        </w:rPr>
        <w:t>2.71</w:t>
      </w:r>
      <w:r>
        <w:rPr>
          <w:rFonts w:hint="eastAsia" w:ascii="仿宋_GB2312" w:hAnsi="Times New Roman" w:eastAsia="仿宋_GB2312" w:cs="DengXian-Regular"/>
          <w:sz w:val="32"/>
          <w:szCs w:val="32"/>
        </w:rPr>
        <w:t>万元，降低3</w:t>
      </w:r>
      <w:r>
        <w:rPr>
          <w:rFonts w:ascii="仿宋_GB2312" w:hAnsi="Times New Roman" w:eastAsia="仿宋_GB2312" w:cs="DengXian-Regular"/>
          <w:sz w:val="32"/>
          <w:szCs w:val="32"/>
        </w:rPr>
        <w:t>2.78</w:t>
      </w:r>
      <w:r>
        <w:rPr>
          <w:rFonts w:hint="eastAsia" w:ascii="仿宋_GB2312" w:hAnsi="Times New Roman" w:eastAsia="仿宋_GB2312" w:cs="DengXian-Regular"/>
          <w:sz w:val="32"/>
          <w:szCs w:val="32"/>
        </w:rPr>
        <w:t>%，主要原因是今年我乡基金项目支出减少；本年支出</w:t>
      </w:r>
      <w:r>
        <w:rPr>
          <w:rFonts w:ascii="仿宋_GB2312" w:hAnsi="Times New Roman" w:eastAsia="仿宋_GB2312" w:cs="DengXian-Regular"/>
          <w:sz w:val="32"/>
          <w:szCs w:val="32"/>
        </w:rPr>
        <w:t>149.13</w:t>
      </w:r>
      <w:r>
        <w:rPr>
          <w:rFonts w:hint="eastAsia" w:ascii="仿宋_GB2312" w:hAnsi="Times New Roman" w:eastAsia="仿宋_GB2312" w:cs="DengXian-Regular"/>
          <w:sz w:val="32"/>
          <w:szCs w:val="32"/>
        </w:rPr>
        <w:t>万元，比上年减少7</w:t>
      </w:r>
      <w:r>
        <w:rPr>
          <w:rFonts w:ascii="仿宋_GB2312" w:hAnsi="Times New Roman" w:eastAsia="仿宋_GB2312" w:cs="DengXian-Regular"/>
          <w:sz w:val="32"/>
          <w:szCs w:val="32"/>
        </w:rPr>
        <w:t>2.71</w:t>
      </w:r>
      <w:r>
        <w:rPr>
          <w:rFonts w:hint="eastAsia" w:ascii="仿宋_GB2312" w:hAnsi="Times New Roman" w:eastAsia="仿宋_GB2312" w:cs="DengXian-Regular"/>
          <w:sz w:val="32"/>
          <w:szCs w:val="32"/>
        </w:rPr>
        <w:t>万元，降低3</w:t>
      </w:r>
      <w:r>
        <w:rPr>
          <w:rFonts w:ascii="仿宋_GB2312" w:hAnsi="Times New Roman" w:eastAsia="仿宋_GB2312" w:cs="DengXian-Regular"/>
          <w:sz w:val="32"/>
          <w:szCs w:val="32"/>
        </w:rPr>
        <w:t>2.78</w:t>
      </w:r>
      <w:r>
        <w:rPr>
          <w:rFonts w:hint="eastAsia" w:ascii="仿宋_GB2312" w:hAnsi="Times New Roman" w:eastAsia="仿宋_GB2312" w:cs="DengXian-Regular"/>
          <w:sz w:val="32"/>
          <w:szCs w:val="32"/>
        </w:rPr>
        <w:t>%，主要是今年我乡基金项目支出减少。</w:t>
      </w:r>
    </w:p>
    <w:p>
      <w:pPr>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61312" behindDoc="0" locked="0" layoutInCell="1" allowOverlap="1">
            <wp:simplePos x="0" y="0"/>
            <wp:positionH relativeFrom="column">
              <wp:posOffset>826770</wp:posOffset>
            </wp:positionH>
            <wp:positionV relativeFrom="paragraph">
              <wp:posOffset>655320</wp:posOffset>
            </wp:positionV>
            <wp:extent cx="4171950" cy="3178175"/>
            <wp:effectExtent l="57150" t="0" r="57150" b="117475"/>
            <wp:wrapTopAndBottom/>
            <wp:docPr id="228" name="图表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ascii="仿宋_GB2312" w:hAnsi="Times New Roman" w:eastAsia="仿宋_GB2312" w:cs="DengXian-Regular"/>
          <w:sz w:val="32"/>
          <w:szCs w:val="32"/>
        </w:rPr>
        <w:t>7015.96</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566.89</w:t>
      </w:r>
      <w:r>
        <w:rPr>
          <w:rFonts w:hint="eastAsia" w:ascii="仿宋_GB2312" w:hAnsi="Times New Roman" w:eastAsia="仿宋_GB2312" w:cs="DengXian-Regular"/>
          <w:sz w:val="32"/>
          <w:szCs w:val="32"/>
        </w:rPr>
        <w:t>%（如图4）,决算数大于预算数主要原因是项目增加；本年支出6</w:t>
      </w:r>
      <w:r>
        <w:rPr>
          <w:rFonts w:ascii="仿宋_GB2312" w:hAnsi="Times New Roman" w:eastAsia="仿宋_GB2312" w:cs="DengXian-Regular"/>
          <w:sz w:val="32"/>
          <w:szCs w:val="32"/>
        </w:rPr>
        <w:t>941.49</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560.87</w:t>
      </w:r>
      <w:r>
        <w:rPr>
          <w:rFonts w:hint="eastAsia" w:ascii="仿宋_GB2312" w:hAnsi="Times New Roman" w:eastAsia="仿宋_GB2312" w:cs="DengXian-Regular"/>
          <w:sz w:val="32"/>
          <w:szCs w:val="32"/>
        </w:rPr>
        <w:t>%,比年初预算增加5</w:t>
      </w:r>
      <w:r>
        <w:rPr>
          <w:rFonts w:ascii="仿宋_GB2312" w:hAnsi="Times New Roman" w:eastAsia="仿宋_GB2312" w:cs="DengXian-Regular"/>
          <w:sz w:val="32"/>
          <w:szCs w:val="32"/>
        </w:rPr>
        <w:t>703.87</w:t>
      </w:r>
      <w:r>
        <w:rPr>
          <w:rFonts w:hint="eastAsia" w:ascii="仿宋_GB2312" w:hAnsi="Times New Roman" w:eastAsia="仿宋_GB2312" w:cs="DengXian-Regular"/>
          <w:sz w:val="32"/>
          <w:szCs w:val="32"/>
        </w:rPr>
        <w:t>万元，决算数大于预算数主要原因是主要是项目增加。具体情况如下：</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ascii="仿宋_GB2312" w:hAnsi="Times New Roman" w:eastAsia="仿宋_GB2312" w:cs="DengXian-Regular"/>
          <w:sz w:val="32"/>
          <w:szCs w:val="32"/>
        </w:rPr>
        <w:t>554.67</w:t>
      </w:r>
      <w:r>
        <w:rPr>
          <w:rFonts w:hint="eastAsia" w:ascii="仿宋_GB2312" w:hAnsi="Times New Roman" w:eastAsia="仿宋_GB2312" w:cs="DengXian-Regular"/>
          <w:sz w:val="32"/>
          <w:szCs w:val="32"/>
        </w:rPr>
        <w:t>%，比年初预算增加5</w:t>
      </w:r>
      <w:r>
        <w:rPr>
          <w:rFonts w:ascii="仿宋_GB2312" w:hAnsi="Times New Roman" w:eastAsia="仿宋_GB2312" w:cs="DengXian-Regular"/>
          <w:sz w:val="32"/>
          <w:szCs w:val="32"/>
        </w:rPr>
        <w:t>627.08</w:t>
      </w:r>
      <w:r>
        <w:rPr>
          <w:rFonts w:hint="eastAsia" w:ascii="仿宋_GB2312" w:hAnsi="Times New Roman" w:eastAsia="仿宋_GB2312" w:cs="DengXian-Regular"/>
          <w:sz w:val="32"/>
          <w:szCs w:val="32"/>
        </w:rPr>
        <w:t>万元，主要是项目增加；支出完成年初预算</w:t>
      </w:r>
      <w:r>
        <w:rPr>
          <w:rFonts w:ascii="仿宋_GB2312" w:hAnsi="Times New Roman" w:eastAsia="仿宋_GB2312" w:cs="DengXian-Regular"/>
          <w:sz w:val="32"/>
          <w:szCs w:val="32"/>
        </w:rPr>
        <w:t>548.82</w:t>
      </w:r>
      <w:r>
        <w:rPr>
          <w:rFonts w:hint="eastAsia" w:ascii="仿宋_GB2312" w:hAnsi="Times New Roman" w:eastAsia="仿宋_GB2312" w:cs="DengXian-Regular"/>
          <w:sz w:val="32"/>
          <w:szCs w:val="32"/>
        </w:rPr>
        <w:t>%，比年初预算增加5</w:t>
      </w:r>
      <w:r>
        <w:rPr>
          <w:rFonts w:ascii="仿宋_GB2312" w:hAnsi="Times New Roman" w:eastAsia="仿宋_GB2312" w:cs="DengXian-Regular"/>
          <w:sz w:val="32"/>
          <w:szCs w:val="32"/>
        </w:rPr>
        <w:t>554.74</w:t>
      </w:r>
      <w:r>
        <w:rPr>
          <w:rFonts w:hint="eastAsia" w:ascii="仿宋_GB2312" w:hAnsi="Times New Roman" w:eastAsia="仿宋_GB2312" w:cs="DengXian-Regular"/>
          <w:sz w:val="32"/>
          <w:szCs w:val="32"/>
        </w:rPr>
        <w:t>万元，主要是项目增加。</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%，比年初预算增加1</w:t>
      </w:r>
      <w:r>
        <w:rPr>
          <w:rFonts w:ascii="仿宋_GB2312" w:hAnsi="Times New Roman" w:eastAsia="仿宋_GB2312" w:cs="DengXian-Regular"/>
          <w:sz w:val="32"/>
          <w:szCs w:val="32"/>
        </w:rPr>
        <w:t>49.13</w:t>
      </w:r>
      <w:r>
        <w:rPr>
          <w:rFonts w:hint="eastAsia" w:ascii="仿宋_GB2312" w:hAnsi="Times New Roman" w:eastAsia="仿宋_GB2312" w:cs="DengXian-Regular"/>
          <w:sz w:val="32"/>
          <w:szCs w:val="32"/>
        </w:rPr>
        <w:t>万元，主要是砖窑复垦费；支出完成年初预算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%，比年初预算增加1</w:t>
      </w:r>
      <w:r>
        <w:rPr>
          <w:rFonts w:ascii="仿宋_GB2312" w:hAnsi="Times New Roman" w:eastAsia="仿宋_GB2312" w:cs="DengXian-Regular"/>
          <w:sz w:val="32"/>
          <w:szCs w:val="32"/>
        </w:rPr>
        <w:t>49.13</w:t>
      </w:r>
      <w:r>
        <w:rPr>
          <w:rFonts w:hint="eastAsia" w:ascii="仿宋_GB2312" w:hAnsi="Times New Roman" w:eastAsia="仿宋_GB2312" w:cs="DengXian-Regular"/>
          <w:sz w:val="32"/>
          <w:szCs w:val="32"/>
        </w:rPr>
        <w:t>万元，主要是砖窑复垦费。</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62336" behindDoc="0" locked="0" layoutInCell="1" allowOverlap="1">
            <wp:simplePos x="0" y="0"/>
            <wp:positionH relativeFrom="column">
              <wp:posOffset>927100</wp:posOffset>
            </wp:positionH>
            <wp:positionV relativeFrom="paragraph">
              <wp:posOffset>420370</wp:posOffset>
            </wp:positionV>
            <wp:extent cx="4171950" cy="3613150"/>
            <wp:effectExtent l="57150" t="0" r="57150" b="120650"/>
            <wp:wrapTopAndBottom/>
            <wp:docPr id="230" name="图表 2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63360" behindDoc="0" locked="0" layoutInCell="1" allowOverlap="1">
            <wp:simplePos x="0" y="0"/>
            <wp:positionH relativeFrom="column">
              <wp:posOffset>1163320</wp:posOffset>
            </wp:positionH>
            <wp:positionV relativeFrom="paragraph">
              <wp:posOffset>2871470</wp:posOffset>
            </wp:positionV>
            <wp:extent cx="2895600" cy="2533650"/>
            <wp:effectExtent l="57150" t="0" r="57150" b="76200"/>
            <wp:wrapTopAndBottom/>
            <wp:docPr id="231" name="图表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Pr>
          <w:rFonts w:hint="eastAsia" w:ascii="仿宋_GB2312" w:hAnsi="Times New Roman" w:eastAsia="仿宋_GB2312" w:cs="DengXian-Regular"/>
          <w:sz w:val="32"/>
          <w:szCs w:val="32"/>
        </w:rPr>
        <w:t>2019 年度财政拨款支出</w:t>
      </w:r>
      <w:r>
        <w:rPr>
          <w:rFonts w:ascii="仿宋_GB2312" w:hAnsi="Times New Roman" w:eastAsia="仿宋_GB2312" w:cs="DengXian-Regular"/>
          <w:sz w:val="32"/>
          <w:szCs w:val="32"/>
        </w:rPr>
        <w:t>6941.49</w:t>
      </w:r>
      <w:r>
        <w:rPr>
          <w:rFonts w:hint="eastAsia" w:ascii="仿宋_GB2312" w:hAnsi="Times New Roman" w:eastAsia="仿宋_GB2312" w:cs="DengXian-Regular"/>
          <w:sz w:val="32"/>
          <w:szCs w:val="32"/>
        </w:rPr>
        <w:t>万元，主要用于以下方面一般公共服务（类）支出</w:t>
      </w:r>
      <w:r>
        <w:rPr>
          <w:rFonts w:ascii="仿宋_GB2312" w:hAnsi="Times New Roman" w:eastAsia="仿宋_GB2312" w:cs="DengXian-Regular"/>
          <w:sz w:val="32"/>
          <w:szCs w:val="32"/>
        </w:rPr>
        <w:t>6522.62</w:t>
      </w:r>
      <w:r>
        <w:rPr>
          <w:rFonts w:hint="eastAsia" w:ascii="仿宋_GB2312" w:hAnsi="Times New Roman" w:eastAsia="仿宋_GB2312" w:cs="DengXian-Regular"/>
          <w:sz w:val="32"/>
          <w:szCs w:val="32"/>
        </w:rPr>
        <w:t>万元，占9</w:t>
      </w:r>
      <w:r>
        <w:rPr>
          <w:rFonts w:ascii="仿宋_GB2312" w:hAnsi="Times New Roman" w:eastAsia="仿宋_GB2312" w:cs="DengXian-Regular"/>
          <w:sz w:val="32"/>
          <w:szCs w:val="32"/>
        </w:rPr>
        <w:t>6.84</w:t>
      </w:r>
      <w:r>
        <w:rPr>
          <w:rFonts w:hint="eastAsia" w:ascii="仿宋_GB2312" w:hAnsi="Times New Roman" w:eastAsia="仿宋_GB2312" w:cs="DengXian-Regular"/>
          <w:sz w:val="32"/>
          <w:szCs w:val="32"/>
        </w:rPr>
        <w:t>%，；公共安全类（类）支出0万元，占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%；教育（类）支出0万元，占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 xml:space="preserve">%；科学技术（类）支0万元，占 </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 xml:space="preserve">%；社会保障和就业（类）支出 </w:t>
      </w:r>
      <w:r>
        <w:rPr>
          <w:rFonts w:ascii="仿宋_GB2312" w:hAnsi="Times New Roman" w:eastAsia="仿宋_GB2312" w:cs="DengXian-Regular"/>
          <w:sz w:val="32"/>
          <w:szCs w:val="32"/>
        </w:rPr>
        <w:t>88.77</w:t>
      </w:r>
      <w:r>
        <w:rPr>
          <w:rFonts w:hint="eastAsia" w:ascii="仿宋_GB2312" w:hAnsi="Times New Roman" w:eastAsia="仿宋_GB2312" w:cs="DengXian-Regular"/>
          <w:sz w:val="32"/>
          <w:szCs w:val="32"/>
        </w:rPr>
        <w:t>万元，占1</w:t>
      </w:r>
      <w:r>
        <w:rPr>
          <w:rFonts w:ascii="仿宋_GB2312" w:hAnsi="Times New Roman" w:eastAsia="仿宋_GB2312" w:cs="DengXian-Regular"/>
          <w:sz w:val="32"/>
          <w:szCs w:val="32"/>
        </w:rPr>
        <w:t>.32</w:t>
      </w:r>
      <w:r>
        <w:rPr>
          <w:rFonts w:hint="eastAsia" w:ascii="仿宋_GB2312" w:hAnsi="Times New Roman" w:eastAsia="仿宋_GB2312" w:cs="DengXian-Regular"/>
          <w:sz w:val="32"/>
          <w:szCs w:val="32"/>
        </w:rPr>
        <w:t xml:space="preserve">%；住房保障（类）支出0万元，占 </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%;卫生健康支出2</w:t>
      </w:r>
      <w:r>
        <w:rPr>
          <w:rFonts w:ascii="仿宋_GB2312" w:hAnsi="Times New Roman" w:eastAsia="仿宋_GB2312" w:cs="DengXian-Regular"/>
          <w:sz w:val="32"/>
          <w:szCs w:val="32"/>
        </w:rPr>
        <w:t>1.19</w:t>
      </w:r>
      <w:r>
        <w:rPr>
          <w:rFonts w:hint="eastAsia" w:ascii="仿宋_GB2312" w:hAnsi="Times New Roman" w:eastAsia="仿宋_GB2312" w:cs="DengXian-Regular"/>
          <w:sz w:val="32"/>
          <w:szCs w:val="32"/>
        </w:rPr>
        <w:t>万元，占0</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 xml:space="preserve"> %；城乡社区支出2</w:t>
      </w:r>
      <w:r>
        <w:rPr>
          <w:rFonts w:ascii="仿宋_GB2312" w:hAnsi="Times New Roman" w:eastAsia="仿宋_GB2312" w:cs="DengXian-Regular"/>
          <w:sz w:val="32"/>
          <w:szCs w:val="32"/>
        </w:rPr>
        <w:t>2.89</w:t>
      </w:r>
      <w:r>
        <w:rPr>
          <w:rFonts w:hint="eastAsia" w:ascii="仿宋_GB2312" w:hAnsi="Times New Roman" w:eastAsia="仿宋_GB2312" w:cs="DengXian-Regular"/>
          <w:sz w:val="32"/>
          <w:szCs w:val="32"/>
        </w:rPr>
        <w:t xml:space="preserve">万元，占 </w:t>
      </w:r>
      <w:r>
        <w:rPr>
          <w:rFonts w:ascii="仿宋_GB2312" w:hAnsi="Times New Roman" w:eastAsia="仿宋_GB2312" w:cs="DengXian-Regular"/>
          <w:sz w:val="32"/>
          <w:szCs w:val="32"/>
        </w:rPr>
        <w:t xml:space="preserve">0.34 </w:t>
      </w:r>
      <w:r>
        <w:rPr>
          <w:rFonts w:hint="eastAsia" w:ascii="仿宋_GB2312" w:hAnsi="Times New Roman" w:eastAsia="仿宋_GB2312" w:cs="DengXian-Regular"/>
          <w:sz w:val="32"/>
          <w:szCs w:val="32"/>
        </w:rPr>
        <w:t>%；其他支出8</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万元，占1</w:t>
      </w:r>
      <w:r>
        <w:rPr>
          <w:rFonts w:ascii="仿宋_GB2312" w:hAnsi="Times New Roman" w:eastAsia="仿宋_GB2312" w:cs="DengXian-Regular"/>
          <w:sz w:val="32"/>
          <w:szCs w:val="32"/>
        </w:rPr>
        <w:t>.19</w:t>
      </w:r>
      <w:r>
        <w:rPr>
          <w:rFonts w:hint="eastAsia" w:ascii="仿宋_GB2312" w:hAnsi="Times New Roman" w:eastAsia="仿宋_GB2312" w:cs="DengXian-Regular"/>
          <w:sz w:val="32"/>
          <w:szCs w:val="32"/>
        </w:rPr>
        <w:t xml:space="preserve"> %。</w: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ascii="仿宋_GB2312" w:hAnsi="Times New Roman" w:eastAsia="仿宋_GB2312" w:cs="DengXian-Regular"/>
          <w:sz w:val="32"/>
          <w:szCs w:val="32"/>
        </w:rPr>
        <w:t>1008.14</w:t>
      </w:r>
      <w:r>
        <w:rPr>
          <w:rFonts w:hint="eastAsia" w:ascii="仿宋_GB2312" w:hAnsi="Times New Roman" w:eastAsia="仿宋_GB2312" w:cs="DengXian-Regular"/>
          <w:sz w:val="32"/>
          <w:szCs w:val="32"/>
        </w:rPr>
        <w:t xml:space="preserve">万元，其中：人员经费 </w:t>
      </w:r>
      <w:r>
        <w:rPr>
          <w:rFonts w:ascii="仿宋_GB2312" w:hAnsi="Times New Roman" w:eastAsia="仿宋_GB2312" w:cs="DengXian-Regular"/>
          <w:sz w:val="32"/>
          <w:szCs w:val="32"/>
        </w:rPr>
        <w:t>569.80</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438.34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万元，完成预算的1</w:t>
      </w:r>
      <w:r>
        <w:rPr>
          <w:rFonts w:ascii="仿宋_GB2312" w:hAnsi="Times New Roman" w:eastAsia="仿宋_GB2312" w:cs="DengXian-Regular"/>
          <w:sz w:val="32"/>
          <w:szCs w:val="32"/>
        </w:rPr>
        <w:t>0.33</w:t>
      </w:r>
      <w:r>
        <w:rPr>
          <w:rFonts w:hint="eastAsia" w:ascii="仿宋_GB2312" w:hAnsi="Times New Roman" w:eastAsia="仿宋_GB2312" w:cs="DengXian-Regular"/>
          <w:sz w:val="32"/>
          <w:szCs w:val="32"/>
        </w:rPr>
        <w:t>%,较预算减少2</w:t>
      </w:r>
      <w:r>
        <w:rPr>
          <w:rFonts w:ascii="仿宋_GB2312" w:hAnsi="Times New Roman" w:eastAsia="仿宋_GB2312" w:cs="DengXian-Regular"/>
          <w:sz w:val="32"/>
          <w:szCs w:val="32"/>
        </w:rPr>
        <w:t>.69</w:t>
      </w:r>
      <w:r>
        <w:rPr>
          <w:rFonts w:hint="eastAsia" w:ascii="仿宋_GB2312" w:hAnsi="Times New Roman" w:eastAsia="仿宋_GB2312" w:cs="DengXian-Regular"/>
          <w:sz w:val="32"/>
          <w:szCs w:val="32"/>
        </w:rPr>
        <w:t>万元，降低8</w:t>
      </w:r>
      <w:r>
        <w:rPr>
          <w:rFonts w:ascii="仿宋_GB2312" w:hAnsi="Times New Roman" w:eastAsia="仿宋_GB2312" w:cs="DengXian-Regular"/>
          <w:sz w:val="32"/>
          <w:szCs w:val="32"/>
        </w:rPr>
        <w:t>9.67</w:t>
      </w:r>
      <w:r>
        <w:rPr>
          <w:rFonts w:hint="eastAsia" w:ascii="仿宋_GB2312" w:hAnsi="Times New Roman" w:eastAsia="仿宋_GB2312" w:cs="DengXian-Regular"/>
          <w:sz w:val="32"/>
          <w:szCs w:val="32"/>
        </w:rPr>
        <w:t>%，主要是响应政策；较2018年度减少0</w:t>
      </w:r>
      <w:r>
        <w:rPr>
          <w:rFonts w:ascii="仿宋_GB2312" w:hAnsi="Times New Roman" w:eastAsia="仿宋_GB2312" w:cs="DengXian-Regular"/>
          <w:sz w:val="32"/>
          <w:szCs w:val="32"/>
        </w:rPr>
        <w:t>.19</w:t>
      </w:r>
      <w:r>
        <w:rPr>
          <w:rFonts w:hint="eastAsia" w:ascii="仿宋_GB2312" w:hAnsi="Times New Roman" w:eastAsia="仿宋_GB2312" w:cs="DengXian-Regular"/>
          <w:sz w:val="32"/>
          <w:szCs w:val="32"/>
        </w:rPr>
        <w:t>万元，降低3</w:t>
      </w:r>
      <w:r>
        <w:rPr>
          <w:rFonts w:ascii="仿宋_GB2312" w:hAnsi="Times New Roman" w:eastAsia="仿宋_GB2312" w:cs="DengXian-Regular"/>
          <w:sz w:val="32"/>
          <w:szCs w:val="32"/>
        </w:rPr>
        <w:t>8.02</w:t>
      </w:r>
      <w:r>
        <w:rPr>
          <w:rFonts w:hint="eastAsia" w:ascii="仿宋_GB2312" w:hAnsi="Times New Roman" w:eastAsia="仿宋_GB2312" w:cs="DengXian-Regular"/>
          <w:sz w:val="32"/>
          <w:szCs w:val="32"/>
        </w:rPr>
        <w:t>%，主要是响应政策。具体情况如下：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w:t>
      </w:r>
      <w:r>
        <w:rPr>
          <w:rFonts w:hint="eastAsia" w:ascii="仿宋_GB2312" w:eastAsia="仿宋_GB2312" w:cs="DengXian-Regular"/>
          <w:sz w:val="32"/>
          <w:szCs w:val="32"/>
        </w:rPr>
        <w:t>因公出国（境）费支出较年初预算持平，本部门2019年度未发生“因公出国（境）费支出”经费支出，“较2018年度决算支出持平。”。</w:t>
      </w:r>
    </w:p>
    <w:p>
      <w:pPr>
        <w:adjustRightInd w:val="0"/>
        <w:snapToGrid w:val="0"/>
        <w:spacing w:line="580" w:lineRule="exact"/>
        <w:ind w:firstLine="640" w:firstLineChars="200"/>
        <w:rPr>
          <w:rFonts w:ascii="仿宋_GB2312" w:hAnsi="Times New Roman" w:eastAsia="仿宋_GB2312" w:cs="DengXian-Bold"/>
          <w:b/>
          <w:bCs/>
          <w:sz w:val="32"/>
          <w:szCs w:val="32"/>
        </w:rPr>
      </w:pPr>
      <w:r>
        <w:rPr>
          <w:rFonts w:ascii="仿宋_GB2312" w:eastAsia="仿宋_GB2312" w:cs="DengXian-Regular"/>
          <w:sz w:val="32"/>
          <w:szCs w:val="32"/>
        </w:rPr>
        <w:t>1</w:t>
      </w: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0.31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ascii="仿宋_GB2312" w:hAnsi="Times New Roman" w:eastAsia="仿宋_GB2312" w:cs="DengXian-Regular"/>
          <w:sz w:val="32"/>
          <w:szCs w:val="32"/>
        </w:rPr>
        <w:t>2.69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89.67</w:t>
      </w:r>
      <w:r>
        <w:rPr>
          <w:rFonts w:hint="eastAsia" w:ascii="仿宋_GB2312" w:hAnsi="Times New Roman" w:eastAsia="仿宋_GB2312" w:cs="DengXian-Regular"/>
          <w:sz w:val="32"/>
          <w:szCs w:val="32"/>
        </w:rPr>
        <w:t>%,主要是响应政策；较上年减少0</w:t>
      </w:r>
      <w:r>
        <w:rPr>
          <w:rFonts w:ascii="仿宋_GB2312" w:hAnsi="Times New Roman" w:eastAsia="仿宋_GB2312" w:cs="DengXian-Regular"/>
          <w:sz w:val="32"/>
          <w:szCs w:val="32"/>
        </w:rPr>
        <w:t>.19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38.02</w:t>
      </w:r>
      <w:r>
        <w:rPr>
          <w:rFonts w:hint="eastAsia" w:ascii="仿宋_GB2312" w:hAnsi="Times New Roman" w:eastAsia="仿宋_GB2312" w:cs="DengXian-Regular"/>
          <w:sz w:val="32"/>
          <w:szCs w:val="32"/>
        </w:rPr>
        <w:t>%,主要是响应政策。</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本部门2019年度公务用车购置量0辆，发生“公务用车购置”经费支出0万元。公务用车购置费支出较年初预算持平，本部门2019年度未发生“公务用车购置”经费支出；与2018年度决算支出持平。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ascii="仿宋_GB2312" w:hAnsi="Times New Roman" w:eastAsia="仿宋_GB2312" w:cs="DengXian-Regular"/>
          <w:sz w:val="32"/>
          <w:szCs w:val="32"/>
        </w:rPr>
        <w:t>1</w:t>
      </w:r>
      <w:r>
        <w:rPr>
          <w:rFonts w:hint="eastAsia" w:ascii="仿宋_GB2312" w:hAnsi="Times New Roman" w:eastAsia="仿宋_GB2312" w:cs="DengXian-Regular"/>
          <w:sz w:val="32"/>
          <w:szCs w:val="32"/>
        </w:rPr>
        <w:t>辆。公车运行维护费支出较预算减少</w:t>
      </w:r>
      <w:r>
        <w:rPr>
          <w:rFonts w:ascii="仿宋_GB2312" w:hAnsi="Times New Roman" w:eastAsia="仿宋_GB2312" w:cs="DengXian-Regular"/>
          <w:sz w:val="32"/>
          <w:szCs w:val="32"/>
        </w:rPr>
        <w:t>2.69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89.67</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；较上年减少0</w:t>
      </w:r>
      <w:r>
        <w:rPr>
          <w:rFonts w:ascii="仿宋_GB2312" w:hAnsi="Times New Roman" w:eastAsia="仿宋_GB2312" w:cs="DengXian-Regular"/>
          <w:sz w:val="32"/>
          <w:szCs w:val="32"/>
        </w:rPr>
        <w:t>.19</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38.02</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精神和厉行节约要求，从严控制“三公”经费开支，全年实际支出比上年有所节约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人次。公务接待费支出较预算减少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；较上年度减少0</w:t>
      </w:r>
      <w:r>
        <w:rPr>
          <w:rFonts w:ascii="仿宋_GB2312" w:hAnsi="Times New Roman" w:eastAsia="仿宋_GB2312" w:cs="DengXian-Regular"/>
          <w:sz w:val="32"/>
          <w:szCs w:val="32"/>
        </w:rPr>
        <w:t>.13</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精神和厉行节约要求，从严控制“三公”经费开支，全年实际支出比上年有所节约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500" w:lineRule="exact"/>
        <w:ind w:firstLine="640" w:firstLineChars="200"/>
        <w:rPr>
          <w:rFonts w:ascii="宋体" w:hAnsi="宋体" w:cs="宋体"/>
          <w:kern w:val="0"/>
          <w:sz w:val="18"/>
          <w:szCs w:val="18"/>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个，共涉及资金5</w:t>
      </w:r>
      <w:r>
        <w:rPr>
          <w:rFonts w:ascii="仿宋_GB2312" w:hAnsi="仿宋_GB2312" w:eastAsia="仿宋_GB2312" w:cs="仿宋_GB2312"/>
          <w:sz w:val="32"/>
          <w:szCs w:val="32"/>
        </w:rPr>
        <w:t>784.22</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%。组织对2019年度砖窑取缔和土地复垦专项资金政府性基金预算项目支出开展绩效自评，共涉及资金1</w:t>
      </w:r>
      <w:r>
        <w:rPr>
          <w:rFonts w:ascii="仿宋_GB2312" w:hAnsi="仿宋_GB2312" w:eastAsia="仿宋_GB2312" w:cs="仿宋_GB2312"/>
          <w:sz w:val="32"/>
          <w:szCs w:val="32"/>
        </w:rPr>
        <w:t>49.13</w:t>
      </w:r>
      <w:r>
        <w:rPr>
          <w:rFonts w:hint="eastAsia" w:ascii="仿宋_GB2312" w:hAnsi="仿宋_GB2312" w:eastAsia="仿宋_GB2312" w:cs="仿宋_GB2312"/>
          <w:sz w:val="32"/>
          <w:szCs w:val="32"/>
        </w:rPr>
        <w:t>万元，占政府性基金预算项目支出总额的1</w:t>
      </w:r>
      <w:r>
        <w:rPr>
          <w:rFonts w:ascii="仿宋_GB2312" w:hAnsi="仿宋_GB2312" w:eastAsia="仿宋_GB2312" w:cs="仿宋_GB2312"/>
          <w:sz w:val="32"/>
          <w:szCs w:val="32"/>
        </w:rPr>
        <w:t>00</w:t>
      </w:r>
      <w:r>
        <w:rPr>
          <w:rFonts w:hint="eastAsia" w:ascii="仿宋_GB2312" w:hAnsi="仿宋_GB2312" w:eastAsia="仿宋_GB2312" w:cs="仿宋_GB2312"/>
          <w:sz w:val="32"/>
          <w:szCs w:val="32"/>
        </w:rPr>
        <w:t>%。组织对“里城道乡北合庄村村内新建道路工程”“里城道乡定魏线无繁线和羊曲线战备路占地补偿款”等</w:t>
      </w:r>
      <w:r>
        <w:rPr>
          <w:rFonts w:ascii="仿宋_GB2312" w:hAnsi="仿宋_GB2312" w:eastAsia="仿宋_GB2312" w:cs="仿宋_GB2312"/>
          <w:sz w:val="32"/>
          <w:szCs w:val="32"/>
        </w:rPr>
        <w:t>16</w:t>
      </w:r>
      <w:r>
        <w:rPr>
          <w:rFonts w:hint="eastAsia" w:ascii="仿宋_GB2312" w:hAnsi="仿宋_GB2312" w:eastAsia="仿宋_GB2312" w:cs="仿宋_GB2312"/>
          <w:sz w:val="32"/>
          <w:szCs w:val="32"/>
        </w:rPr>
        <w:t>个项目开展了部门评价，涉及一般公共预算支出</w:t>
      </w:r>
      <w:r>
        <w:rPr>
          <w:rFonts w:ascii="仿宋_GB2312" w:hAnsi="仿宋_GB2312" w:eastAsia="仿宋_GB2312" w:cs="仿宋_GB2312"/>
          <w:sz w:val="32"/>
          <w:szCs w:val="32"/>
        </w:rPr>
        <w:t>5784.22</w:t>
      </w:r>
      <w:r>
        <w:rPr>
          <w:rFonts w:hint="eastAsia" w:ascii="仿宋_GB2312" w:hAnsi="仿宋_GB2312" w:eastAsia="仿宋_GB2312" w:cs="仿宋_GB2312"/>
          <w:sz w:val="32"/>
          <w:szCs w:val="32"/>
        </w:rPr>
        <w:t>万元，政府性基金预算支出1</w:t>
      </w:r>
      <w:r>
        <w:rPr>
          <w:rFonts w:ascii="仿宋_GB2312" w:hAnsi="仿宋_GB2312" w:eastAsia="仿宋_GB2312" w:cs="仿宋_GB2312"/>
          <w:sz w:val="32"/>
          <w:szCs w:val="32"/>
        </w:rPr>
        <w:t>49.13</w:t>
      </w:r>
      <w:r>
        <w:rPr>
          <w:rFonts w:hint="eastAsia" w:ascii="仿宋_GB2312" w:hAnsi="仿宋_GB2312" w:eastAsia="仿宋_GB2312" w:cs="仿宋_GB2312"/>
          <w:sz w:val="32"/>
          <w:szCs w:val="32"/>
        </w:rPr>
        <w:t>万元。我部门对以上1</w:t>
      </w:r>
      <w:r>
        <w:rPr>
          <w:rFonts w:ascii="仿宋_GB2312" w:hAnsi="仿宋_GB2312" w:eastAsia="仿宋_GB2312" w:cs="仿宋_GB2312"/>
          <w:sz w:val="32"/>
          <w:szCs w:val="32"/>
        </w:rPr>
        <w:t>6</w:t>
      </w:r>
      <w:r>
        <w:rPr>
          <w:rFonts w:hint="eastAsia" w:ascii="仿宋_GB2312" w:hAnsi="仿宋_GB2312" w:eastAsia="仿宋_GB2312" w:cs="仿宋_GB2312"/>
          <w:sz w:val="32"/>
          <w:szCs w:val="32"/>
        </w:rPr>
        <w:t>个项目展开了绩效评价。从评价情况来看，里城道乡北合庄村村内新建道路工程自评得分84分，自评结果为优；里城道乡定魏线无繁线和羊曲线战备路占地补偿款自评得分81分，自评结果为优；里城道垃圾处理绿化占地资金自评得分82分，自评结果为优；里城道乡鸿瑞装饰材料园区道路建设和交通局西大户治超站项目自评得分92分，自评结果为优；追加里城道乡鸿瑞装饰板材园区道路建设占地补偿资金的请示自评得分93分，自评结果为优，里城道乡战备路租占土地及设施有关资金自评得分84分，自评结果为优；里城道乡关于拨付木刀沟综合整治一期工程开挖土地补偿资金自评得分85分，自评结果为优；里城道乡科技街北延占地补偿自评得分79分，自评结果为良；里城道河道违法占地拆违经费自评得分70分，自评结果为良；里城道乡津石高速征地不方便耕种部分土地补偿款自评得分79分，自评结果为良；里城道乡人民政府关于购置环保执法巡查车辆的请示自评得分89分，自评结果为优；里城道乡填埋玉米皮资金自评得分89分自评结果为优；里城道乡大外环公路占地补偿款自评得分89，自评结果为优；里城道至东丈东池阳道路改建工程自评得分89分，自评结果为优；砖窑取缔和土地复垦专项资金自评得分90分，自评结果为优。</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本部门在今年部门决算公开中反映里城道乡北合庄村村内新建道路工程项目及 里城道乡定魏线无繁线和羊曲线战备路占地补偿款项目等1</w:t>
      </w:r>
      <w:r>
        <w:rPr>
          <w:rFonts w:ascii="仿宋_GB2312" w:hAnsi="仿宋_GB2312" w:eastAsia="仿宋_GB2312" w:cs="仿宋_GB2312"/>
          <w:sz w:val="32"/>
          <w:szCs w:val="32"/>
        </w:rPr>
        <w:t>6</w:t>
      </w:r>
      <w:r>
        <w:rPr>
          <w:rFonts w:hint="eastAsia" w:ascii="仿宋_GB2312" w:hAnsi="仿宋_GB2312" w:eastAsia="仿宋_GB2312" w:cs="仿宋_GB2312"/>
          <w:sz w:val="32"/>
          <w:szCs w:val="32"/>
        </w:rPr>
        <w:t>个项目绩效自评结果。</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（一）项目自评组织情况。</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通过多方收集资料，然后进行了严格的自评过程得出评价结果。绩效评价结果分为优、良、合格、不合格四个等级。即：分值≥80分为优，80＞分值≥70分为良，70＞分值≥60分为合格，分值＜60为不合格。</w:t>
      </w:r>
      <w:r>
        <w:rPr>
          <w:rFonts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（二）评价结果。</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里城道乡北合庄村村内新建道路工程自评得分84分，自评结果为优；里城道乡定魏线无繁线和羊曲线战备路占地补偿款自评得分81分，自评结果为优；里城道垃圾处理绿化占地资金自评得分82分，自评结果为优；里城道乡鸿瑞装饰材料园区道路建设和交通局西大户治超站项目自评得分92分，自评结果为优；追加里城道乡鸿瑞装饰板材园区道路建设占地补偿资金的请示自评得分93分，自评结果为优，里城道乡战备路租占土地及设施有关资金自评得分84分，自评结果为优；里城道乡关于拨付木刀沟综合整治一期工程开挖土地补偿资金自评得分85分，自评结果为优；里城道乡科技街北延占地补偿自评得分79分，自评结果为良；里城道河道违法占地拆违经费自评得分70分，自评结果为良；里城道乡津石高速征地不方便耕种部分土地补偿款自评得分79分，自评结果为良；里城道乡人民政府关于购置环保执法巡查车辆的请示自评得分89分，自评结果为优；里城道乡填埋玉米皮资金自评得分89分自评结果为优；里城道乡大外环公路占地补偿款自评得分89，自评结果为优；里城道至东丈东池阳道路改建工程自评得分89分，自评结果为优；砖窑取缔和土地复垦专项资金自评得分90分，自评结果为优。</w:t>
      </w:r>
    </w:p>
    <w:p>
      <w:pPr>
        <w:adjustRightInd w:val="0"/>
        <w:snapToGrid w:val="0"/>
        <w:spacing w:line="580" w:lineRule="exact"/>
        <w:ind w:left="640"/>
        <w:rPr>
          <w:rFonts w:ascii="仿宋_GB2312" w:hAnsi="仿宋_GB2312" w:eastAsia="仿宋_GB2312" w:cs="仿宋_GB2312"/>
          <w:sz w:val="32"/>
          <w:szCs w:val="32"/>
        </w:rPr>
      </w:pPr>
    </w:p>
    <w:p>
      <w:pPr>
        <w:pStyle w:val="13"/>
        <w:keepNext/>
        <w:keepLines/>
        <w:numPr>
          <w:ilvl w:val="0"/>
          <w:numId w:val="3"/>
        </w:numPr>
        <w:snapToGrid w:val="0"/>
        <w:spacing w:line="580" w:lineRule="exact"/>
        <w:ind w:firstLineChars="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本部门无财政评价项目绩效评价情况。无</w:t>
      </w:r>
    </w:p>
    <w:p>
      <w:pPr>
        <w:keepNext/>
        <w:keepLines/>
        <w:numPr>
          <w:ilvl w:val="0"/>
          <w:numId w:val="3"/>
        </w:numPr>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ascii="仿宋_GB2312" w:hAnsi="Times New Roman" w:eastAsia="仿宋_GB2312" w:cs="DengXian-Regular"/>
          <w:sz w:val="32"/>
          <w:szCs w:val="32"/>
        </w:rPr>
        <w:t>438.34</w:t>
      </w:r>
      <w:r>
        <w:rPr>
          <w:rFonts w:hint="eastAsia" w:ascii="仿宋_GB2312" w:hAnsi="Times New Roman" w:eastAsia="仿宋_GB2312" w:cs="DengXian-Regular"/>
          <w:sz w:val="32"/>
          <w:szCs w:val="32"/>
        </w:rPr>
        <w:t>万元，比2018年度增加</w:t>
      </w:r>
      <w:r>
        <w:rPr>
          <w:rFonts w:ascii="仿宋_GB2312" w:hAnsi="Times New Roman" w:eastAsia="仿宋_GB2312" w:cs="DengXian-Regular"/>
          <w:sz w:val="32"/>
          <w:szCs w:val="32"/>
        </w:rPr>
        <w:t>224.75</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143.07</w:t>
      </w:r>
      <w:r>
        <w:rPr>
          <w:rFonts w:hint="eastAsia" w:ascii="仿宋_GB2312" w:hAnsi="Times New Roman" w:eastAsia="仿宋_GB2312" w:cs="DengXian-Regular"/>
          <w:sz w:val="32"/>
          <w:szCs w:val="32"/>
        </w:rPr>
        <w:t>%。主要原因是今年我乡工作任务增加。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本部门2019年度政府采购支出总额4</w:t>
      </w:r>
      <w:r>
        <w:rPr>
          <w:rFonts w:ascii="仿宋_GB2312" w:hAnsi="Times New Roman" w:eastAsia="仿宋_GB2312" w:cs="DengXian-Regular"/>
          <w:sz w:val="32"/>
          <w:szCs w:val="32"/>
        </w:rPr>
        <w:t>780.89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政府采购货物支出0万元、政府采购工程支出</w:t>
      </w:r>
      <w:r>
        <w:rPr>
          <w:rFonts w:hint="eastAsia" w:ascii="仿宋_GB2312" w:hAnsi="仿宋_GB2312" w:eastAsia="仿宋_GB2312" w:cs="仿宋_GB2312"/>
          <w:color w:val="000000"/>
          <w:kern w:val="0"/>
          <w:sz w:val="32"/>
          <w:szCs w:val="32"/>
        </w:rPr>
        <w:t>4</w:t>
      </w:r>
      <w:r>
        <w:rPr>
          <w:rFonts w:ascii="仿宋_GB2312" w:hAnsi="仿宋_GB2312" w:eastAsia="仿宋_GB2312" w:cs="仿宋_GB2312"/>
          <w:color w:val="000000"/>
          <w:kern w:val="0"/>
          <w:sz w:val="32"/>
          <w:szCs w:val="32"/>
        </w:rPr>
        <w:t>741.73万元、政府采购服务支出 39.16万元。授予中小企业合同金0万元，占政府采购支出总额的0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 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辆，比上年增加3辆，主要是环保用车。其中，副部（省）级及以上领导用车0辆，主要领导干部用车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辆，机要通信用车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辆，应急保障用车0辆，执法执勤用车0辆，特种专业技术用车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辆，离退休干部用车辆，其他用车4辆，其他用车主要是公务车和环保用车；</w:t>
      </w:r>
    </w:p>
    <w:p>
      <w:pPr>
        <w:adjustRightInd w:val="0"/>
        <w:snapToGrid w:val="0"/>
        <w:spacing w:line="580" w:lineRule="exact"/>
        <w:ind w:firstLine="640" w:firstLineChars="200"/>
        <w:rPr>
          <w:rFonts w:ascii="楷体_GB2312" w:hAnsi="Times New Roman" w:eastAsia="仿宋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台（套），和上年持平。</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台（套），和上年持平。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本部门2019年度国有资本经营预算财政拨款收入支出无收支及结转结余情况、本部门2019年度无政府采购情况，故国有资本经营预算财政拨款收入支出决算表、政府采购情况表以空表列示。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7462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7564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6,864.70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6,522.62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7,015.96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6,941.49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74.48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7,015.96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7,015.96　</w:t>
            </w:r>
          </w:p>
        </w:tc>
      </w:tr>
      <w:tr>
        <w:tblPrEx>
          <w:tblCellMar>
            <w:top w:w="0" w:type="dxa"/>
            <w:left w:w="0" w:type="dxa"/>
            <w:bottom w:w="0" w:type="dxa"/>
            <w:right w:w="0" w:type="dxa"/>
          </w:tblCellMar>
        </w:tblPrEx>
        <w:trPr>
          <w:trHeight w:val="13741"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收入决算表</w:t>
            </w:r>
          </w:p>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公开02表</w:t>
            </w:r>
          </w:p>
          <w:p>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部门：无极县里城道乡人民政府                                                     金额单位：万元</w:t>
            </w:r>
          </w:p>
          <w:tbl>
            <w:tblPr>
              <w:tblStyle w:val="7"/>
              <w:tblW w:w="9492" w:type="dxa"/>
              <w:tblInd w:w="0" w:type="dxa"/>
              <w:tblLayout w:type="fixed"/>
              <w:tblCellMar>
                <w:top w:w="0" w:type="dxa"/>
                <w:left w:w="0" w:type="dxa"/>
                <w:bottom w:w="0" w:type="dxa"/>
                <w:right w:w="0" w:type="dxa"/>
              </w:tblCellMar>
            </w:tblPr>
            <w:tblGrid>
              <w:gridCol w:w="567"/>
              <w:gridCol w:w="2108"/>
              <w:gridCol w:w="973"/>
              <w:gridCol w:w="979"/>
              <w:gridCol w:w="974"/>
              <w:gridCol w:w="969"/>
              <w:gridCol w:w="974"/>
              <w:gridCol w:w="974"/>
              <w:gridCol w:w="974"/>
            </w:tblGrid>
            <w:tr>
              <w:tblPrEx>
                <w:tblCellMar>
                  <w:top w:w="0" w:type="dxa"/>
                  <w:left w:w="0" w:type="dxa"/>
                  <w:bottom w:w="0" w:type="dxa"/>
                  <w:right w:w="0" w:type="dxa"/>
                </w:tblCellMar>
              </w:tblPrEx>
              <w:trPr>
                <w:trHeight w:val="308" w:hRule="atLeast"/>
              </w:trPr>
              <w:tc>
                <w:tcPr>
                  <w:tcW w:w="2676"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7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6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12" w:hRule="atLeast"/>
              </w:trPr>
              <w:tc>
                <w:tcPr>
                  <w:tcW w:w="568"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08"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6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568"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108"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6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568"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108"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6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676"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7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6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7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08" w:hRule="atLeast"/>
              </w:trPr>
              <w:tc>
                <w:tcPr>
                  <w:tcW w:w="2676"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7,015.96</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7,013.83</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2.14</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6,597.10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6,594.96</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2.14</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6,597.10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6,594.96</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2.14</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966.65</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964.51</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2.14</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56.63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56.63</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21.19</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21007</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计划生育事务</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2100717</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计划生育服务</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城乡社区公共设施</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2120303</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小城镇基础设施建设</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56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2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9487" w:type="dxa"/>
                  <w:gridSpan w:val="9"/>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widowControl/>
              <w:jc w:val="left"/>
              <w:textAlignment w:val="center"/>
              <w:rPr>
                <w:rFonts w:ascii="宋体" w:hAnsi="宋体" w:eastAsia="宋体" w:cs="宋体"/>
                <w:color w:val="000000"/>
                <w:kern w:val="0"/>
                <w:sz w:val="22"/>
              </w:rPr>
            </w:pP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center"/>
              <w:rPr>
                <w:rFonts w:ascii="宋体" w:hAnsi="宋体" w:eastAsia="宋体" w:cs="宋体"/>
                <w:color w:val="000000"/>
                <w:kern w:val="0"/>
                <w:sz w:val="22"/>
              </w:rPr>
            </w:pPr>
          </w:p>
          <w:p>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收入支出表</w:t>
            </w:r>
          </w:p>
          <w:p>
            <w:pPr>
              <w:widowControl/>
              <w:jc w:val="righ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公开03表</w:t>
            </w:r>
          </w:p>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0"/>
                <w:szCs w:val="20"/>
              </w:rPr>
              <w:t>部门：无极县里城道乡人民政府                                                     金额单位：万元</w:t>
            </w:r>
          </w:p>
          <w:tbl>
            <w:tblPr>
              <w:tblStyle w:val="7"/>
              <w:tblW w:w="9495" w:type="dxa"/>
              <w:tblInd w:w="0" w:type="dxa"/>
              <w:tblLayout w:type="fixed"/>
              <w:tblCellMar>
                <w:top w:w="0" w:type="dxa"/>
                <w:left w:w="0" w:type="dxa"/>
                <w:bottom w:w="0" w:type="dxa"/>
                <w:right w:w="0" w:type="dxa"/>
              </w:tblCellMar>
            </w:tblPr>
            <w:tblGrid>
              <w:gridCol w:w="626"/>
              <w:gridCol w:w="2355"/>
              <w:gridCol w:w="1936"/>
              <w:gridCol w:w="390"/>
              <w:gridCol w:w="930"/>
              <w:gridCol w:w="1086"/>
              <w:gridCol w:w="1086"/>
              <w:gridCol w:w="1086"/>
            </w:tblGrid>
            <w:tr>
              <w:tblPrEx>
                <w:tblCellMar>
                  <w:top w:w="0" w:type="dxa"/>
                  <w:left w:w="0" w:type="dxa"/>
                  <w:bottom w:w="0" w:type="dxa"/>
                  <w:right w:w="0" w:type="dxa"/>
                </w:tblCellMar>
              </w:tblPrEx>
              <w:trPr>
                <w:trHeight w:val="308" w:hRule="atLeast"/>
              </w:trPr>
              <w:tc>
                <w:tcPr>
                  <w:tcW w:w="2980" w:type="dxa"/>
                  <w:gridSpan w:val="2"/>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93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39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0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0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0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2" w:hRule="atLeast"/>
              </w:trPr>
              <w:tc>
                <w:tcPr>
                  <w:tcW w:w="626"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354"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9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3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626"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354"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eastAsia="宋体" w:cs="宋体"/>
                      <w:color w:val="000000"/>
                      <w:sz w:val="22"/>
                    </w:rPr>
                  </w:pPr>
                </w:p>
              </w:tc>
              <w:tc>
                <w:tcPr>
                  <w:tcW w:w="19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3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626"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2354"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eastAsia="宋体" w:cs="宋体"/>
                      <w:color w:val="000000"/>
                      <w:sz w:val="22"/>
                    </w:rPr>
                  </w:pPr>
                </w:p>
              </w:tc>
              <w:tc>
                <w:tcPr>
                  <w:tcW w:w="19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3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980"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9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trPr>
              <w:tc>
                <w:tcPr>
                  <w:tcW w:w="2980"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6,941.49</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1,008.14</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5,933.35</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6,522.62</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898.17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6,522.62</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898.17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892.17</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892.17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56.63</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56.63</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3.16</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2.06</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21.19</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21.19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21007</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计划生育事务</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2100717</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计划生育服务</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20.89</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城乡社区公共设施</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2120303</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小城镇基础设施建设</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79.77</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2299901</w:t>
                  </w:r>
                </w:p>
              </w:tc>
              <w:tc>
                <w:tcPr>
                  <w:tcW w:w="23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19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3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949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pPr>
              <w:jc w:val="center"/>
              <w:rPr>
                <w:rFonts w:ascii="黑体" w:hAnsi="宋体" w:eastAsia="黑体" w:cs="黑体"/>
                <w:color w:val="000000"/>
                <w:kern w:val="0"/>
                <w:sz w:val="32"/>
                <w:szCs w:val="32"/>
              </w:rPr>
            </w:pPr>
          </w:p>
          <w:p>
            <w:pPr>
              <w:jc w:val="center"/>
              <w:rPr>
                <w:rFonts w:ascii="黑体" w:hAnsi="宋体" w:eastAsia="黑体" w:cs="黑体"/>
                <w:color w:val="000000"/>
                <w:kern w:val="0"/>
                <w:sz w:val="32"/>
                <w:szCs w:val="32"/>
              </w:rPr>
            </w:pPr>
          </w:p>
          <w:p>
            <w:pPr>
              <w:jc w:val="center"/>
              <w:rPr>
                <w:rFonts w:ascii="黑体" w:hAnsi="宋体" w:eastAsia="黑体" w:cs="黑体"/>
                <w:color w:val="000000"/>
                <w:kern w:val="0"/>
                <w:sz w:val="32"/>
                <w:szCs w:val="32"/>
              </w:rPr>
            </w:pPr>
          </w:p>
          <w:p>
            <w:pPr>
              <w:jc w:val="center"/>
              <w:rPr>
                <w:rFonts w:ascii="黑体" w:hAnsi="宋体" w:eastAsia="黑体" w:cs="黑体"/>
                <w:color w:val="000000"/>
                <w:kern w:val="0"/>
                <w:sz w:val="32"/>
                <w:szCs w:val="32"/>
              </w:rPr>
            </w:pPr>
          </w:p>
          <w:p>
            <w:pPr>
              <w:jc w:val="center"/>
              <w:rPr>
                <w:rFonts w:ascii="黑体" w:hAnsi="宋体" w:eastAsia="黑体" w:cs="黑体"/>
                <w:color w:val="000000"/>
                <w:kern w:val="0"/>
                <w:sz w:val="32"/>
                <w:szCs w:val="32"/>
              </w:rPr>
            </w:pPr>
          </w:p>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6,864.70</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6,522.62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6,522.62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149.13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88.78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88.78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21.19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21.19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228.90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79.77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149.13</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7,013.83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6,941.49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6,792.36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149.13</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72.34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7,013.83</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7,013.83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6,864.70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149.13</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autofit"/>
        <w:tblCellMar>
          <w:top w:w="0" w:type="dxa"/>
          <w:left w:w="0" w:type="dxa"/>
          <w:bottom w:w="0" w:type="dxa"/>
          <w:right w:w="0" w:type="dxa"/>
        </w:tblCellMar>
      </w:tblPr>
      <w:tblGrid>
        <w:gridCol w:w="1174"/>
        <w:gridCol w:w="67"/>
        <w:gridCol w:w="67"/>
        <w:gridCol w:w="1695"/>
        <w:gridCol w:w="2329"/>
        <w:gridCol w:w="4658"/>
      </w:tblGrid>
      <w:tr>
        <w:tblPrEx>
          <w:tblCellMar>
            <w:top w:w="0" w:type="dxa"/>
            <w:left w:w="0" w:type="dxa"/>
            <w:bottom w:w="0" w:type="dxa"/>
            <w:right w:w="0" w:type="dxa"/>
          </w:tblCellMar>
        </w:tblPrEx>
        <w:trPr>
          <w:trHeight w:val="600" w:hRule="atLeast"/>
          <w:jc w:val="center"/>
        </w:trPr>
        <w:tc>
          <w:tcPr>
            <w:tcW w:w="999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部门：无极县里城道乡人民政府</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tcBorders>
              <w:top w:val="nil"/>
              <w:left w:val="nil"/>
              <w:bottom w:val="nil"/>
              <w:right w:val="nil"/>
            </w:tcBorders>
            <w:shd w:val="clear" w:color="auto" w:fill="auto"/>
            <w:noWrap/>
            <w:tcMar>
              <w:top w:w="15" w:type="dxa"/>
              <w:left w:w="15" w:type="dxa"/>
              <w:right w:w="15" w:type="dxa"/>
            </w:tcMar>
            <w:vAlign w:val="bottom"/>
          </w:tcPr>
          <w:p>
            <w:pPr>
              <w:rPr>
                <w:rFonts w:ascii="宋体" w:hAnsi="宋体" w:eastAsia="宋体" w:cs="宋体"/>
                <w:color w:val="000000"/>
                <w:sz w:val="20"/>
                <w:szCs w:val="20"/>
              </w:rPr>
            </w:pP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75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9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46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r>
      <w:tr>
        <w:tblPrEx>
          <w:tblCellMar>
            <w:top w:w="0" w:type="dxa"/>
            <w:left w:w="0" w:type="dxa"/>
            <w:bottom w:w="0" w:type="dxa"/>
            <w:right w:w="0" w:type="dxa"/>
          </w:tblCellMar>
        </w:tblPrEx>
        <w:trPr>
          <w:trHeight w:val="312"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46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312"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b/>
                <w:color w:val="000000"/>
                <w:kern w:val="0"/>
                <w:sz w:val="22"/>
              </w:rPr>
              <w:t>6,792.36</w:t>
            </w:r>
          </w:p>
        </w:tc>
        <w:tc>
          <w:tcPr>
            <w:tcW w:w="46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b/>
                <w:color w:val="000000"/>
                <w:kern w:val="0"/>
                <w:sz w:val="22"/>
              </w:rPr>
              <w:t>1,008.14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6,522.62</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898.17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6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政府办公厅（室）及相关机构事务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color w:val="000000"/>
                <w:kern w:val="0"/>
                <w:sz w:val="22"/>
              </w:rPr>
              <w:t>6,522.62</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color w:val="000000"/>
                <w:kern w:val="0"/>
                <w:sz w:val="22"/>
              </w:rPr>
              <w:t>898.17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892.17</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892.17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5,624.45</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88.78</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71.72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c>
          <w:tcPr>
            <w:tcW w:w="46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11.93</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513.21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430.98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280.58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83.32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77.14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7.36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22.66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0.65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7.36</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56.63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12.69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3.16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1.44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20.89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2.06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42.43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18.40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56.59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0.72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20.38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244.27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6.60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0.31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5.74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18.66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19.55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569.80</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438.34</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0.31</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0.31</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0.31</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534"/>
        <w:gridCol w:w="1207"/>
        <w:gridCol w:w="1207"/>
        <w:gridCol w:w="1207"/>
        <w:gridCol w:w="1207"/>
        <w:gridCol w:w="1207"/>
        <w:gridCol w:w="1211"/>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注：本单位本年度无国有资本经营预算财政拨款支出情况，按要求以空表列示</w:t>
      </w:r>
      <w:r>
        <w:br w:type="page"/>
      </w:r>
    </w:p>
    <w:p>
      <w:r>
        <w:pict>
          <v:rect id="_x0000_s1027" o:spid="_x0000_s1027" o:spt="1" style="position:absolute;left:0pt;margin-left:-70.5pt;margin-top:-85.25pt;height:841.15pt;width:595.1pt;z-index:25167667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896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9203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- 36 -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8691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950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6848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9744;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80768;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82816;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81792;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95104;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93056;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94080;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9984;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91008;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83840;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84864;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78720;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77696;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abstractNum w:abstractNumId="3">
    <w:nsid w:val="7DA275B1"/>
    <w:multiLevelType w:val="multilevel"/>
    <w:tmpl w:val="7DA275B1"/>
    <w:lvl w:ilvl="0" w:tentative="0">
      <w:start w:val="1"/>
      <w:numFmt w:val="japaneseCounting"/>
      <w:lvlText w:val="%1、"/>
      <w:lvlJc w:val="left"/>
      <w:pPr>
        <w:ind w:left="1994" w:hanging="720"/>
      </w:pPr>
      <w:rPr>
        <w:rFonts w:hint="default"/>
      </w:rPr>
    </w:lvl>
    <w:lvl w:ilvl="1" w:tentative="0">
      <w:start w:val="1"/>
      <w:numFmt w:val="lowerLetter"/>
      <w:lvlText w:val="%2)"/>
      <w:lvlJc w:val="left"/>
      <w:pPr>
        <w:ind w:left="2114" w:hanging="420"/>
      </w:pPr>
    </w:lvl>
    <w:lvl w:ilvl="2" w:tentative="0">
      <w:start w:val="1"/>
      <w:numFmt w:val="lowerRoman"/>
      <w:lvlText w:val="%3."/>
      <w:lvlJc w:val="right"/>
      <w:pPr>
        <w:ind w:left="2534" w:hanging="420"/>
      </w:pPr>
    </w:lvl>
    <w:lvl w:ilvl="3" w:tentative="0">
      <w:start w:val="1"/>
      <w:numFmt w:val="decimal"/>
      <w:lvlText w:val="%4."/>
      <w:lvlJc w:val="left"/>
      <w:pPr>
        <w:ind w:left="2954" w:hanging="420"/>
      </w:pPr>
    </w:lvl>
    <w:lvl w:ilvl="4" w:tentative="0">
      <w:start w:val="1"/>
      <w:numFmt w:val="lowerLetter"/>
      <w:lvlText w:val="%5)"/>
      <w:lvlJc w:val="left"/>
      <w:pPr>
        <w:ind w:left="3374" w:hanging="420"/>
      </w:pPr>
    </w:lvl>
    <w:lvl w:ilvl="5" w:tentative="0">
      <w:start w:val="1"/>
      <w:numFmt w:val="lowerRoman"/>
      <w:lvlText w:val="%6."/>
      <w:lvlJc w:val="right"/>
      <w:pPr>
        <w:ind w:left="3794" w:hanging="420"/>
      </w:pPr>
    </w:lvl>
    <w:lvl w:ilvl="6" w:tentative="0">
      <w:start w:val="1"/>
      <w:numFmt w:val="decimal"/>
      <w:lvlText w:val="%7."/>
      <w:lvlJc w:val="left"/>
      <w:pPr>
        <w:ind w:left="4214" w:hanging="420"/>
      </w:pPr>
    </w:lvl>
    <w:lvl w:ilvl="7" w:tentative="0">
      <w:start w:val="1"/>
      <w:numFmt w:val="lowerLetter"/>
      <w:lvlText w:val="%8)"/>
      <w:lvlJc w:val="left"/>
      <w:pPr>
        <w:ind w:left="4634" w:hanging="420"/>
      </w:pPr>
    </w:lvl>
    <w:lvl w:ilvl="8" w:tentative="0">
      <w:start w:val="1"/>
      <w:numFmt w:val="lowerRoman"/>
      <w:lvlText w:val="%9."/>
      <w:lvlJc w:val="right"/>
      <w:pPr>
        <w:ind w:left="5054" w:hanging="42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2"/>
  </w:compat>
  <w:rsids>
    <w:rsidRoot w:val="00172A27"/>
    <w:rsid w:val="0007063E"/>
    <w:rsid w:val="00073392"/>
    <w:rsid w:val="00073B77"/>
    <w:rsid w:val="00073F4E"/>
    <w:rsid w:val="00086C89"/>
    <w:rsid w:val="000A39FB"/>
    <w:rsid w:val="00117746"/>
    <w:rsid w:val="00163F95"/>
    <w:rsid w:val="00172A27"/>
    <w:rsid w:val="00180A9A"/>
    <w:rsid w:val="001829C0"/>
    <w:rsid w:val="00184809"/>
    <w:rsid w:val="00192112"/>
    <w:rsid w:val="001B0127"/>
    <w:rsid w:val="001C12D5"/>
    <w:rsid w:val="001C69F7"/>
    <w:rsid w:val="001D5E0D"/>
    <w:rsid w:val="001D6F97"/>
    <w:rsid w:val="002650EC"/>
    <w:rsid w:val="002A6C46"/>
    <w:rsid w:val="002C19B5"/>
    <w:rsid w:val="00322AD2"/>
    <w:rsid w:val="00345B46"/>
    <w:rsid w:val="003A4EE8"/>
    <w:rsid w:val="003A77E2"/>
    <w:rsid w:val="0041745E"/>
    <w:rsid w:val="00442CC2"/>
    <w:rsid w:val="00446244"/>
    <w:rsid w:val="00473C20"/>
    <w:rsid w:val="004D61CB"/>
    <w:rsid w:val="005011D6"/>
    <w:rsid w:val="00503F2E"/>
    <w:rsid w:val="00517EC5"/>
    <w:rsid w:val="005323E1"/>
    <w:rsid w:val="00547926"/>
    <w:rsid w:val="00552226"/>
    <w:rsid w:val="00566120"/>
    <w:rsid w:val="00582E6D"/>
    <w:rsid w:val="005954D5"/>
    <w:rsid w:val="005A53FA"/>
    <w:rsid w:val="005D1293"/>
    <w:rsid w:val="00644D5F"/>
    <w:rsid w:val="00657F86"/>
    <w:rsid w:val="006727AD"/>
    <w:rsid w:val="00691425"/>
    <w:rsid w:val="006A516E"/>
    <w:rsid w:val="006B0830"/>
    <w:rsid w:val="006B6E32"/>
    <w:rsid w:val="006D67B9"/>
    <w:rsid w:val="00716E2B"/>
    <w:rsid w:val="00717B63"/>
    <w:rsid w:val="00741D62"/>
    <w:rsid w:val="00770F18"/>
    <w:rsid w:val="00773B74"/>
    <w:rsid w:val="007754D1"/>
    <w:rsid w:val="0078290C"/>
    <w:rsid w:val="007C06CA"/>
    <w:rsid w:val="007C6F6F"/>
    <w:rsid w:val="008163FB"/>
    <w:rsid w:val="0082605B"/>
    <w:rsid w:val="00855C36"/>
    <w:rsid w:val="00857DBE"/>
    <w:rsid w:val="008701BC"/>
    <w:rsid w:val="00883D92"/>
    <w:rsid w:val="008A06DA"/>
    <w:rsid w:val="008A5362"/>
    <w:rsid w:val="008F21F1"/>
    <w:rsid w:val="008F221B"/>
    <w:rsid w:val="008F5A2D"/>
    <w:rsid w:val="00921602"/>
    <w:rsid w:val="00957EA1"/>
    <w:rsid w:val="00966E5B"/>
    <w:rsid w:val="00972884"/>
    <w:rsid w:val="00997023"/>
    <w:rsid w:val="009B4EF0"/>
    <w:rsid w:val="009D271F"/>
    <w:rsid w:val="00A929C2"/>
    <w:rsid w:val="00AD097F"/>
    <w:rsid w:val="00B129F1"/>
    <w:rsid w:val="00B24E51"/>
    <w:rsid w:val="00B844F4"/>
    <w:rsid w:val="00BA06A1"/>
    <w:rsid w:val="00BA770A"/>
    <w:rsid w:val="00BF3DF5"/>
    <w:rsid w:val="00C054DE"/>
    <w:rsid w:val="00C679A9"/>
    <w:rsid w:val="00C7541C"/>
    <w:rsid w:val="00CC0FAA"/>
    <w:rsid w:val="00CC341B"/>
    <w:rsid w:val="00CD0736"/>
    <w:rsid w:val="00CF02C5"/>
    <w:rsid w:val="00D1570F"/>
    <w:rsid w:val="00D32830"/>
    <w:rsid w:val="00DB7153"/>
    <w:rsid w:val="00DB7F05"/>
    <w:rsid w:val="00DE2332"/>
    <w:rsid w:val="00E028C3"/>
    <w:rsid w:val="00E14F77"/>
    <w:rsid w:val="00E3076B"/>
    <w:rsid w:val="00E36978"/>
    <w:rsid w:val="00E82A1E"/>
    <w:rsid w:val="00EA05EC"/>
    <w:rsid w:val="00EA53F0"/>
    <w:rsid w:val="00EC06F4"/>
    <w:rsid w:val="00EE1513"/>
    <w:rsid w:val="00EE4E36"/>
    <w:rsid w:val="00F568BA"/>
    <w:rsid w:val="00F665F4"/>
    <w:rsid w:val="00F67CCC"/>
    <w:rsid w:val="00FD225F"/>
    <w:rsid w:val="05B00A30"/>
    <w:rsid w:val="07836929"/>
    <w:rsid w:val="0B011416"/>
    <w:rsid w:val="0FE7277A"/>
    <w:rsid w:val="28B16F12"/>
    <w:rsid w:val="31C2036A"/>
    <w:rsid w:val="320D02A5"/>
    <w:rsid w:val="32DA0786"/>
    <w:rsid w:val="348E566F"/>
    <w:rsid w:val="3A226944"/>
    <w:rsid w:val="3AEE6A48"/>
    <w:rsid w:val="3C1620AA"/>
    <w:rsid w:val="3D8F080F"/>
    <w:rsid w:val="402D673B"/>
    <w:rsid w:val="44CE1FA4"/>
    <w:rsid w:val="487F73ED"/>
    <w:rsid w:val="4A347EAE"/>
    <w:rsid w:val="51FB2087"/>
    <w:rsid w:val="52600405"/>
    <w:rsid w:val="529B4319"/>
    <w:rsid w:val="57773DD6"/>
    <w:rsid w:val="578B79AB"/>
    <w:rsid w:val="5CCD3FD5"/>
    <w:rsid w:val="61FA5F9D"/>
    <w:rsid w:val="64CD6910"/>
    <w:rsid w:val="6789158D"/>
    <w:rsid w:val="67D81BA4"/>
    <w:rsid w:val="6AAF1C96"/>
    <w:rsid w:val="73BE2764"/>
    <w:rsid w:val="73C60C8D"/>
    <w:rsid w:val="75681757"/>
    <w:rsid w:val="75A346A8"/>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4"/>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styleId="13">
    <w:name w:val="List Paragraph"/>
    <w:basedOn w:val="1"/>
    <w:qFormat/>
    <w:uiPriority w:val="99"/>
    <w:pPr>
      <w:ind w:firstLine="420" w:firstLineChars="200"/>
    </w:pPr>
  </w:style>
  <w:style w:type="character" w:customStyle="1" w:styleId="14">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6.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1</a:t>
            </a:r>
            <a:r>
              <a:rPr lang="zh-CN" altLang="en-US"/>
              <a:t>：收入构成情况</a:t>
            </a:r>
            <a:endParaRPr lang="zh-CN" altLang="en-US"/>
          </a:p>
        </c:rich>
      </c:tx>
      <c:layout>
        <c:manualLayout>
          <c:xMode val="edge"/>
          <c:yMode val="edge"/>
          <c:x val="0.366550862270199"/>
          <c:y val="0.850746268656717"/>
        </c:manualLayout>
      </c:layout>
      <c:overlay val="0"/>
      <c:spPr>
        <a:noFill/>
        <a:ln>
          <a:noFill/>
        </a:ln>
        <a:effectLst/>
      </c:spPr>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7013.82</c:v>
                </c:pt>
                <c:pt idx="3">
                  <c:v>2.14</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b"/>
      <c:layout>
        <c:manualLayout>
          <c:xMode val="edge"/>
          <c:yMode val="edge"/>
          <c:x val="0.127734005515555"/>
          <c:y val="0.710881625408335"/>
          <c:w val="0.744531988968891"/>
          <c:h val="0.26034139617439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1008.14</c:v>
                </c:pt>
                <c:pt idx="1">
                  <c:v>5933.35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1008.14</c:v>
                </c:pt>
                <c:pt idx="1">
                  <c:v>5933.35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624336341519"/>
          <c:y val="0.0742942097272807"/>
          <c:w val="0.869289370078741"/>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7015.96</c:v>
                </c:pt>
                <c:pt idx="1">
                  <c:v>6941.49</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1085.67</c:v>
                </c:pt>
                <c:pt idx="1">
                  <c:v>1101.95</c:v>
                </c:pt>
              </c:numCache>
            </c:numRef>
          </c:val>
        </c:ser>
        <c:dLbls>
          <c:showLegendKey val="0"/>
          <c:showVal val="1"/>
          <c:showCatName val="0"/>
          <c:showSerName val="0"/>
          <c:showPercent val="0"/>
          <c:showBubbleSize val="0"/>
        </c:dLbls>
        <c:gapWidth val="75"/>
        <c:axId val="225292288"/>
        <c:axId val="225294592"/>
      </c:barChart>
      <c:catAx>
        <c:axId val="225292288"/>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5294592"/>
        <c:crosses val="autoZero"/>
        <c:auto val="1"/>
        <c:lblAlgn val="ctr"/>
        <c:lblOffset val="100"/>
        <c:noMultiLvlLbl val="0"/>
      </c:catAx>
      <c:valAx>
        <c:axId val="22529459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5292288"/>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30596483658721"/>
          <c:y val="0.156683226547472"/>
          <c:w val="0.869289370078741"/>
          <c:h val="0.76881800286328"/>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1237.62</c:v>
                </c:pt>
                <c:pt idx="1">
                  <c:v>1237.62</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7015.96</c:v>
                </c:pt>
                <c:pt idx="1">
                  <c:v>6941.49</c:v>
                </c:pt>
              </c:numCache>
            </c:numRef>
          </c:val>
        </c:ser>
        <c:dLbls>
          <c:showLegendKey val="0"/>
          <c:showVal val="1"/>
          <c:showCatName val="0"/>
          <c:showSerName val="0"/>
          <c:showPercent val="0"/>
          <c:showBubbleSize val="0"/>
        </c:dLbls>
        <c:gapWidth val="75"/>
        <c:axId val="225918976"/>
        <c:axId val="225920896"/>
      </c:barChart>
      <c:catAx>
        <c:axId val="225918976"/>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5920896"/>
        <c:crosses val="autoZero"/>
        <c:auto val="1"/>
        <c:lblAlgn val="ctr"/>
        <c:lblOffset val="100"/>
        <c:noMultiLvlLbl val="0"/>
      </c:catAx>
      <c:valAx>
        <c:axId val="22592089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5918976"/>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Lbls>
            <c:dLbl>
              <c:idx val="0"/>
              <c:layout>
                <c:manualLayout>
                  <c:x val="0.271620044205001"/>
                  <c:y val="-0.205363408521303"/>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layout>
                <c:manualLayout>
                  <c:x val="0.0904517198508081"/>
                  <c:y val="0.001253132832080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delete val="1"/>
            </c:dLbl>
            <c:dLbl>
              <c:idx val="7"/>
              <c:layout>
                <c:manualLayout>
                  <c:x val="-0.0433585439977898"/>
                  <c:y val="0.17669172932330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376271584472994"/>
                  <c:y val="0.055137844611528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delete val="1"/>
            </c:dLbl>
            <c:dLbl>
              <c:idx val="10"/>
              <c:delete val="1"/>
            </c:dLbl>
            <c:dLbl>
              <c:idx val="11"/>
              <c:delete val="1"/>
            </c:dLbl>
            <c:dLbl>
              <c:idx val="12"/>
              <c:delete val="1"/>
            </c:dLbl>
            <c:dLbl>
              <c:idx val="13"/>
              <c:delete val="1"/>
            </c:dLbl>
            <c:dLbl>
              <c:idx val="14"/>
              <c:delete val="1"/>
            </c:dLbl>
            <c:dLbl>
              <c:idx val="15"/>
              <c:layout>
                <c:manualLayout>
                  <c:x val="0.163836855919326"/>
                  <c:y val="0.171679197994987"/>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6"/>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支出决算结构!$A$5:$A$22</c:f>
              <c:strCache>
                <c:ptCount val="18"/>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卫生健康支出</c:v>
                </c:pt>
                <c:pt idx="8">
                  <c:v>城乡社区支出</c:v>
                </c:pt>
                <c:pt idx="9">
                  <c:v>农林水支出</c:v>
                </c:pt>
                <c:pt idx="10">
                  <c:v>交通运输支出</c:v>
                </c:pt>
                <c:pt idx="11">
                  <c:v>资源勘探信息等支出</c:v>
                </c:pt>
                <c:pt idx="12">
                  <c:v>商业服务业等支出</c:v>
                </c:pt>
                <c:pt idx="13">
                  <c:v>国土海洋气象等支出</c:v>
                </c:pt>
                <c:pt idx="14">
                  <c:v>粮油物资储备支出</c:v>
                </c:pt>
                <c:pt idx="15">
                  <c:v>其他支出</c:v>
                </c:pt>
                <c:pt idx="16">
                  <c:v>债务还本支出</c:v>
                </c:pt>
                <c:pt idx="17">
                  <c:v>债务付息支出</c:v>
                </c:pt>
              </c:strCache>
            </c:strRef>
          </c:cat>
          <c:val>
            <c:numRef>
              <c:f>支出决算结构!$B$5:$B$22</c:f>
              <c:numCache>
                <c:formatCode>General</c:formatCode>
                <c:ptCount val="18"/>
                <c:pt idx="0">
                  <c:v>6522.62</c:v>
                </c:pt>
                <c:pt idx="5">
                  <c:v>88.78</c:v>
                </c:pt>
                <c:pt idx="7">
                  <c:v>21.19</c:v>
                </c:pt>
                <c:pt idx="8">
                  <c:v>22.89</c:v>
                </c:pt>
                <c:pt idx="15">
                  <c:v>80</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41</Pages>
  <Words>2399</Words>
  <Characters>13679</Characters>
  <Lines>113</Lines>
  <Paragraphs>32</Paragraphs>
  <TotalTime>9</TotalTime>
  <ScaleCrop>false</ScaleCrop>
  <LinksUpToDate>false</LinksUpToDate>
  <CharactersWithSpaces>16046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2020-09-14T03:45:00Z</dcterms:created>
  <dc:creator>王明新TIAD</dc:creator>
  <cp:lastModifiedBy>古德纽斯</cp:lastModifiedBy>
  <cp:lastPrinted>2020-07-30T02:37:00Z</cp:lastPrinted>
  <dcterms:modified xsi:type="dcterms:W3CDTF">2023-08-28T07:13:53Z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21EEF47F64CE4075B657964A77AC17ED</vt:lpwstr>
  </property>
</Properties>
</file>