
<file path=[Content_Types].xml><?xml version="1.0" encoding="utf-8"?>
<Types xmlns="http://schemas.openxmlformats.org/package/2006/content-types">
  <Default Extension="xml" ContentType="application/xml"/>
  <Default Extension="emf" ContentType="image/x-emf"/>
  <Default Extension="gif" ContentType="image/gi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42"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path/>
            <v:fill on="t" focussize="0,0"/>
            <v:stroke on="f" weight="1pt" joinstyle="miter"/>
            <v:imagedata o:title=""/>
            <o:lock v:ext="edit"/>
            <v:textbox>
              <w:txbxContent>
                <w:p>
                  <w:pPr>
                    <w:jc w:val="center"/>
                  </w:pPr>
                </w:p>
              </w:txbxContent>
            </v:textbox>
          </v:shape>
        </w:pict>
      </w:r>
      <w:r>
        <w:pict>
          <v:rect id="矩形 14" o:spid="_x0000_s1041"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0"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path/>
            <v:fill on="t" focussize="0,0"/>
            <v:stroke on="f" weight="1pt" joinstyle="miter"/>
            <v:imagedata o:title=""/>
            <o:lock v:ext="edit"/>
            <v:textbox>
              <w:txbxContent>
                <w:p>
                  <w:pPr>
                    <w:jc w:val="center"/>
                  </w:pPr>
                </w:p>
              </w:txbxContent>
            </v:textbox>
          </v:shape>
        </w:pict>
      </w:r>
      <w:r>
        <w:pict>
          <v:group id="_x0000_s1037" o:spid="_x0000_s1037" o:spt="203" style="position:absolute;left:0pt;margin-left:1.25pt;margin-top:821.7pt;height:21.45pt;width:595.25pt;z-index:251662336;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v:rect id="矩形 6" o:spid="_x0000_s1039"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8"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4" o:spid="_x0000_s1034" o:spt="203" style="position:absolute;left:0pt;margin-left:-2.5pt;margin-top:0pt;height:308.5pt;width:600.25pt;z-index:-251649024;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v:rect id="矩形 5" o:spid="_x0000_s103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5" o:spid="_x0000_s1035"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3"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hd w:val="clear" w:color="auto" w:fill="FFFFFF" w:themeFill="background1"/>
        <w:snapToGrid w:val="0"/>
        <w:spacing w:line="480" w:lineRule="auto"/>
        <w:jc w:val="center"/>
        <w:rPr>
          <w:rFonts w:ascii="黑体" w:hAnsi="黑体" w:eastAsia="黑体" w:cs="黑体"/>
          <w:sz w:val="56"/>
          <w:szCs w:val="72"/>
        </w:rPr>
      </w:pPr>
      <w:r>
        <w:rPr>
          <w:rFonts w:hint="eastAsia" w:ascii="黑体" w:hAnsi="黑体" w:eastAsia="黑体" w:cs="黑体"/>
          <w:sz w:val="56"/>
          <w:szCs w:val="72"/>
        </w:rPr>
        <w:t>无极县张段固镇人民政府</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2" o:spid="_x0000_s1032"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path/>
            <v:fill type="pattern" on="t" color2="#FFFFFF" o:title="image2" focussize="0,0" r:id="rId31"/>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宣传、贯彻、执行党的路线方针政策和国家的法律、法规,执行本级人民代表大会的决议和上级国家行政机关的决定和命令,其主要职能为:</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1.促进经济发展</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搞好本乡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2.加强社会管理</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加强乡村财政资金监督管理、农村合同管理及农民减负工作;做好乡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3.提供公共服务</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量力组织乡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广播电视、电力、电信等部门,做好普及有线电视、电网改造工作,扩大通讯网络在农村的覆盖面。（5）配合民政、残联部门做好农村扶贫和低保工作以及特困户救助和残疾人服务工作。配合劳动部门做好农村劳动力职业培训、劳动就业和社会保障工作。</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4.维护农村稳定</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主要包括:（1）做好社会治安</w:t>
      </w:r>
      <w:r>
        <w:rPr>
          <w:rFonts w:hint="eastAsia" w:ascii="仿宋_GB2312" w:hAnsi="Calibri" w:eastAsia="仿宋_GB2312" w:cs="ArialUnicodeMS"/>
          <w:kern w:val="0"/>
          <w:sz w:val="32"/>
          <w:szCs w:val="32"/>
          <w:lang w:eastAsia="zh-CN"/>
        </w:rPr>
        <w:t>综合治理</w:t>
      </w:r>
      <w:r>
        <w:rPr>
          <w:rFonts w:hint="eastAsia" w:ascii="仿宋_GB2312" w:hAnsi="Calibri" w:eastAsia="仿宋_GB2312" w:cs="ArialUnicodeMS"/>
          <w:kern w:val="0"/>
          <w:sz w:val="32"/>
          <w:szCs w:val="32"/>
        </w:rP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eastAsia="仿宋_GB2312" w:cs="ArialUnicodeMS"/>
                <w:kern w:val="0"/>
                <w:sz w:val="28"/>
                <w:szCs w:val="28"/>
              </w:rPr>
            </w:pPr>
            <w:r>
              <w:rPr>
                <w:rFonts w:hint="eastAsia" w:ascii="仿宋_GB2312" w:eastAsia="仿宋_GB2312" w:cs="ArialUnicodeMS"/>
                <w:kern w:val="0"/>
                <w:sz w:val="28"/>
                <w:szCs w:val="28"/>
              </w:rPr>
              <w:t>无极县张段固镇人民政府</w:t>
            </w:r>
          </w:p>
        </w:tc>
        <w:tc>
          <w:tcPr>
            <w:tcW w:w="244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行政单位</w:t>
            </w:r>
          </w:p>
        </w:tc>
        <w:tc>
          <w:tcPr>
            <w:tcW w:w="266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1" o:spid="_x0000_s1031"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0" o:spid="_x0000_s1030"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path/>
            <v:fill type="pattern" on="t" color2="#FFFFFF"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本部门2019年度收支总计（含结转和结余）7044.37万元。与2018年度决算相比，收支各增加4664.15万元，增长195.95%，主要原因是定魏路改造工程（3300万元）项目及皮革后整园区征地补偿项目等业务增加。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本部门2019年度本年收入合计7044.37万元，其中：财政拨款收入7044.37万元，占100%；事业收入0万元，占0%；经营收入0万元，占0%；其他收入0万元，占0%。如图所示：</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ind w:firstLine="1260" w:firstLineChars="600"/>
        <w:rPr>
          <w:rFonts w:ascii="仿宋_GB2312" w:hAnsi="Times New Roman" w:eastAsia="仿宋_GB2312" w:cs="DengXian-Regular"/>
          <w:sz w:val="32"/>
          <w:szCs w:val="32"/>
        </w:rPr>
      </w:pPr>
      <w:r>
        <w:rPr>
          <w:rFonts w:ascii="Times New Roman" w:hAnsi="Times New Roman" w:eastAsia="宋体" w:cs="Times New Roman"/>
          <w:szCs w:val="24"/>
        </w:rPr>
        <w:drawing>
          <wp:inline distT="0" distB="0" distL="114300" distR="114300">
            <wp:extent cx="4492625" cy="2658110"/>
            <wp:effectExtent l="0" t="0" r="3175" b="8890"/>
            <wp:docPr id="32" name="图片 3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图片1"/>
                    <pic:cNvPicPr>
                      <a:picLocks noChangeAspect="1"/>
                    </pic:cNvPicPr>
                  </pic:nvPicPr>
                  <pic:blipFill>
                    <a:blip r:embed="rId32"/>
                    <a:stretch>
                      <a:fillRect/>
                    </a:stretch>
                  </pic:blipFill>
                  <pic:spPr>
                    <a:xfrm>
                      <a:off x="0" y="0"/>
                      <a:ext cx="4492625" cy="2658110"/>
                    </a:xfrm>
                    <a:prstGeom prst="rect">
                      <a:avLst/>
                    </a:prstGeom>
                  </pic:spPr>
                </pic:pic>
              </a:graphicData>
            </a:graphic>
          </wp:inline>
        </w:drawing>
      </w:r>
    </w:p>
    <w:p>
      <w:pPr>
        <w:adjustRightInd w:val="0"/>
        <w:snapToGrid w:val="0"/>
        <w:spacing w:line="580" w:lineRule="exact"/>
        <w:ind w:firstLine="1260" w:firstLineChars="600"/>
        <w:rPr>
          <w:rFonts w:ascii="仿宋_GB2312" w:hAnsi="Times New Roman" w:eastAsia="仿宋_GB2312" w:cs="DengXian-Regular"/>
          <w:sz w:val="32"/>
          <w:szCs w:val="32"/>
        </w:rPr>
      </w:pPr>
      <w:r>
        <w:drawing>
          <wp:inline distT="0" distB="0" distL="114300" distR="114300">
            <wp:extent cx="4492625" cy="2401570"/>
            <wp:effectExtent l="0" t="0" r="3175" b="17780"/>
            <wp:docPr id="36" name="图片 36"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图片1"/>
                    <pic:cNvPicPr>
                      <a:picLocks noChangeAspect="1"/>
                    </pic:cNvPicPr>
                  </pic:nvPicPr>
                  <pic:blipFill>
                    <a:blip r:embed="rId33"/>
                    <a:stretch>
                      <a:fillRect/>
                    </a:stretch>
                  </pic:blipFill>
                  <pic:spPr>
                    <a:xfrm>
                      <a:off x="0" y="0"/>
                      <a:ext cx="4492625" cy="2401570"/>
                    </a:xfrm>
                    <a:prstGeom prst="rect">
                      <a:avLst/>
                    </a:prstGeom>
                  </pic:spPr>
                </pic:pic>
              </a:graphicData>
            </a:graphic>
          </wp:inline>
        </w:drawing>
      </w:r>
    </w:p>
    <w:p>
      <w:pPr>
        <w:adjustRightInd w:val="0"/>
        <w:snapToGrid w:val="0"/>
        <w:spacing w:line="580" w:lineRule="exact"/>
        <w:ind w:firstLine="1260" w:firstLineChars="600"/>
        <w:rPr>
          <w:rFonts w:ascii="黑体" w:hAnsi="Calibri" w:eastAsia="黑体" w:cs="Times New Roman"/>
          <w:b/>
          <w:bCs/>
          <w:sz w:val="32"/>
          <w:szCs w:val="32"/>
        </w:rPr>
      </w:pPr>
      <w:r>
        <w:drawing>
          <wp:inline distT="0" distB="0" distL="114300" distR="114300">
            <wp:extent cx="4391025" cy="3904615"/>
            <wp:effectExtent l="47625" t="4445" r="57150" b="110490"/>
            <wp:docPr id="37"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本部门2019年度本年支出合计3744.37万元，其中：基本支出1271.48万元，占33.96%；项目支出2472.89万元，占66.04%；经营支出0万元，占0%。如图所示：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jc w:val="center"/>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inline distT="0" distB="0" distL="114300" distR="114300">
            <wp:extent cx="4316095" cy="2621280"/>
            <wp:effectExtent l="0" t="0" r="8255" b="7620"/>
            <wp:docPr id="34" name="图片 34"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图片2"/>
                    <pic:cNvPicPr>
                      <a:picLocks noChangeAspect="1"/>
                    </pic:cNvPicPr>
                  </pic:nvPicPr>
                  <pic:blipFill>
                    <a:blip r:embed="rId35"/>
                    <a:stretch>
                      <a:fillRect/>
                    </a:stretch>
                  </pic:blipFill>
                  <pic:spPr>
                    <a:xfrm>
                      <a:off x="0" y="0"/>
                      <a:ext cx="4316095" cy="2621280"/>
                    </a:xfrm>
                    <a:prstGeom prst="rect">
                      <a:avLst/>
                    </a:prstGeom>
                  </pic:spPr>
                </pic:pic>
              </a:graphicData>
            </a:graphic>
          </wp:inline>
        </w:drawing>
      </w:r>
    </w:p>
    <w:p>
      <w:pPr>
        <w:adjustRightInd w:val="0"/>
        <w:snapToGrid w:val="0"/>
        <w:spacing w:line="560" w:lineRule="exact"/>
        <w:jc w:val="center"/>
        <w:rPr>
          <w:rFonts w:ascii="黑体" w:hAnsi="Calibri" w:eastAsia="黑体" w:cs="Times New Roman"/>
          <w:sz w:val="32"/>
          <w:szCs w:val="32"/>
        </w:rPr>
      </w:pPr>
      <w:r>
        <w:rPr>
          <w:rFonts w:hint="eastAsia" w:ascii="仿宋_GB2312" w:eastAsia="仿宋_GB2312" w:cs="DengXian-Regular"/>
          <w:sz w:val="28"/>
          <w:szCs w:val="28"/>
        </w:rPr>
        <w:t>图2：支出构成情况（按支出性质）</w:t>
      </w: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eastAsia="仿宋_GB2312" w:cs="DengXian-Regular"/>
          <w:sz w:val="32"/>
          <w:szCs w:val="32"/>
        </w:rPr>
        <w:t>本部门2019年度财政拨款本年收入7044.37万元,比2018年度增加</w:t>
      </w:r>
      <w:r>
        <w:rPr>
          <w:rFonts w:hint="eastAsia" w:ascii="仿宋_GB2312" w:hAnsi="Times New Roman" w:eastAsia="仿宋_GB2312" w:cs="DengXian-Regular"/>
          <w:sz w:val="32"/>
          <w:szCs w:val="32"/>
        </w:rPr>
        <w:t>4664.15</w:t>
      </w:r>
      <w:r>
        <w:rPr>
          <w:rFonts w:hint="eastAsia" w:ascii="仿宋_GB2312" w:eastAsia="仿宋_GB2312" w:cs="DengXian-Regular"/>
          <w:sz w:val="32"/>
          <w:szCs w:val="32"/>
        </w:rPr>
        <w:t>万元，增长195.95%，主要是本部门2019年度定魏线改造工程项目及</w:t>
      </w:r>
      <w:r>
        <w:rPr>
          <w:rFonts w:hint="eastAsia" w:ascii="仿宋_GB2312" w:hAnsi="Times New Roman" w:eastAsia="仿宋_GB2312" w:cs="DengXian-Regular"/>
          <w:sz w:val="32"/>
          <w:szCs w:val="32"/>
        </w:rPr>
        <w:t>皮革后整园区征地补偿项目等业务增加</w:t>
      </w:r>
      <w:r>
        <w:rPr>
          <w:rFonts w:hint="eastAsia" w:ascii="仿宋_GB2312" w:eastAsia="仿宋_GB2312" w:cs="DengXian-Regular"/>
          <w:sz w:val="32"/>
          <w:szCs w:val="32"/>
        </w:rPr>
        <w:t>，财政拨款较上年度增加；本年支出3744.37万元，增加1364.15万元，增长57.31%，主要是本年度</w:t>
      </w:r>
      <w:r>
        <w:rPr>
          <w:rFonts w:hint="eastAsia" w:ascii="仿宋_GB2312" w:hAnsi="Times New Roman" w:eastAsia="仿宋_GB2312" w:cs="DengXian-Regular"/>
          <w:sz w:val="32"/>
          <w:szCs w:val="32"/>
        </w:rPr>
        <w:t>皮革后整园区征地补偿项目等业务增加</w:t>
      </w:r>
      <w:r>
        <w:rPr>
          <w:rFonts w:hint="eastAsia" w:ascii="仿宋_GB2312" w:eastAsia="仿宋_GB2312" w:cs="DengXian-Regular"/>
          <w:sz w:val="32"/>
          <w:szCs w:val="32"/>
        </w:rPr>
        <w:t>。</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1、一般公共预算财政拨款本年收入7042.68万元，比上年增加4806.29万元，增长214.91%；主要是本部门2019年度定魏线改造工程项目及</w:t>
      </w:r>
      <w:r>
        <w:rPr>
          <w:rFonts w:hint="eastAsia" w:ascii="仿宋_GB2312" w:hAnsi="Times New Roman" w:eastAsia="仿宋_GB2312" w:cs="DengXian-Regular"/>
          <w:sz w:val="32"/>
          <w:szCs w:val="32"/>
        </w:rPr>
        <w:t>皮革后整园区征地补偿项目等业务增加</w:t>
      </w:r>
      <w:r>
        <w:rPr>
          <w:rFonts w:hint="eastAsia" w:ascii="仿宋_GB2312" w:eastAsia="仿宋_GB2312" w:cs="DengXian-Regular"/>
          <w:sz w:val="32"/>
          <w:szCs w:val="32"/>
        </w:rPr>
        <w:t>，财政拨款较上年度增加；本年支出2274.48万元，比上年增加1468.2万元，增长64.55%，主要是是本部门2019年度</w:t>
      </w:r>
      <w:r>
        <w:rPr>
          <w:rFonts w:hint="eastAsia" w:ascii="仿宋_GB2312" w:hAnsi="Times New Roman" w:eastAsia="仿宋_GB2312" w:cs="DengXian-Regular"/>
          <w:sz w:val="32"/>
          <w:szCs w:val="32"/>
        </w:rPr>
        <w:t>皮革后整园区征地补偿项目等</w:t>
      </w:r>
      <w:r>
        <w:rPr>
          <w:rFonts w:hint="eastAsia" w:ascii="仿宋_GB2312" w:eastAsia="仿宋_GB2312" w:cs="DengXian-Regular"/>
          <w:sz w:val="32"/>
          <w:szCs w:val="32"/>
        </w:rPr>
        <w:t>业务增加，增加了支出。</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政府性基金预算财政拨款本年收入1.68万元，比上年减少104.06万元，降低98.41%，主要原因是本部门2019年度相关收入较上年度减少；本年支出1.68万元，比上年减少104.06万元，降低98.41%，主要是本部门2019年度相关支出较上年度减少。</w:t>
      </w:r>
    </w:p>
    <w:p>
      <w:pPr>
        <w:adjustRightInd w:val="0"/>
        <w:snapToGrid w:val="0"/>
        <w:ind w:firstLine="640" w:firstLineChars="200"/>
        <w:rPr>
          <w:rFonts w:ascii="仿宋_GB2312" w:eastAsia="仿宋_GB2312" w:cs="DengXian-Regular"/>
          <w:sz w:val="32"/>
          <w:szCs w:val="32"/>
        </w:rPr>
      </w:pPr>
      <w:r>
        <w:rPr>
          <w:rFonts w:hint="eastAsia" w:ascii="仿宋_GB2312" w:eastAsia="仿宋_GB2312" w:cs="DengXian-Regular"/>
          <w:sz w:val="32"/>
          <w:szCs w:val="32"/>
        </w:rPr>
        <w:drawing>
          <wp:inline distT="0" distB="0" distL="114300" distR="114300">
            <wp:extent cx="4669790" cy="3176270"/>
            <wp:effectExtent l="0" t="0" r="16510" b="5080"/>
            <wp:docPr id="35" name="图片 35"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图片3"/>
                    <pic:cNvPicPr>
                      <a:picLocks noChangeAspect="1"/>
                    </pic:cNvPicPr>
                  </pic:nvPicPr>
                  <pic:blipFill>
                    <a:blip r:embed="rId36"/>
                    <a:stretch>
                      <a:fillRect/>
                    </a:stretch>
                  </pic:blipFill>
                  <pic:spPr>
                    <a:xfrm>
                      <a:off x="0" y="0"/>
                      <a:ext cx="4669790" cy="3176270"/>
                    </a:xfrm>
                    <a:prstGeom prst="rect">
                      <a:avLst/>
                    </a:prstGeom>
                  </pic:spPr>
                </pic:pic>
              </a:graphicData>
            </a:graphic>
          </wp:inline>
        </w:drawing>
      </w:r>
    </w:p>
    <w:p>
      <w:pPr>
        <w:snapToGrid w:val="0"/>
        <w:spacing w:line="580" w:lineRule="exact"/>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本部门2019年度财政拨款本年收入7044.37万元，完成年初预算的324.64%（如图4）,比年初预算增加4874.5万元，决算数大于预算数主要原因是</w:t>
      </w:r>
      <w:r>
        <w:rPr>
          <w:rFonts w:hint="eastAsia" w:ascii="仿宋_GB2312" w:eastAsia="仿宋_GB2312" w:cs="DengXian-Regular"/>
          <w:sz w:val="32"/>
          <w:szCs w:val="32"/>
        </w:rPr>
        <w:t>定魏线改造工程项目及</w:t>
      </w:r>
      <w:r>
        <w:rPr>
          <w:rFonts w:hint="eastAsia" w:ascii="仿宋_GB2312" w:hAnsi="Times New Roman" w:eastAsia="仿宋_GB2312" w:cs="DengXian-Regular"/>
          <w:sz w:val="32"/>
          <w:szCs w:val="32"/>
        </w:rPr>
        <w:t>皮革后整园区征地补偿项目等业务增加，财政拨款增加；本年支出3744.37万元，完成年初预算的172.56%,比年初预算增加1574.5万元，决算数大于预算数主要原因是主要是皮革后整园区征地补偿项目等业务增加，支出增加。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一般公共预算财政拨款本年收入完成年初预算324.64%，比年初预算增加4874.5万元，主要是</w:t>
      </w:r>
      <w:r>
        <w:rPr>
          <w:rFonts w:hint="eastAsia" w:ascii="仿宋_GB2312" w:eastAsia="仿宋_GB2312" w:cs="DengXian-Regular"/>
          <w:sz w:val="32"/>
          <w:szCs w:val="32"/>
        </w:rPr>
        <w:t>定魏线改造工程项目及</w:t>
      </w:r>
      <w:r>
        <w:rPr>
          <w:rFonts w:hint="eastAsia" w:ascii="仿宋_GB2312" w:hAnsi="Times New Roman" w:eastAsia="仿宋_GB2312" w:cs="DengXian-Regular"/>
          <w:sz w:val="32"/>
          <w:szCs w:val="32"/>
        </w:rPr>
        <w:t>皮革后整园区征地补偿项目等业务增加，财政拨款增加；支出完成年初预算172.56%，比年初预算增加1574.5万元，主要是皮革后整园区征地补偿项目等业务增加，支出增加。</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政府性基金预算财政拨款本年收入完成年初预算100%，比年初预算增加1.68万元，主要是</w:t>
      </w:r>
      <w:r>
        <w:rPr>
          <w:rFonts w:hint="eastAsia" w:ascii="仿宋_GB2312" w:eastAsia="仿宋_GB2312" w:cs="DengXian-Regular"/>
          <w:sz w:val="32"/>
          <w:szCs w:val="32"/>
        </w:rPr>
        <w:t>本部门2019年度</w:t>
      </w:r>
      <w:r>
        <w:rPr>
          <w:rFonts w:hint="eastAsia" w:ascii="仿宋_GB2312" w:hAnsi="仿宋_GB2312" w:eastAsia="仿宋_GB2312" w:cs="仿宋_GB2312"/>
          <w:sz w:val="32"/>
          <w:szCs w:val="32"/>
        </w:rPr>
        <w:t>财政拨款减少</w:t>
      </w:r>
      <w:r>
        <w:rPr>
          <w:rFonts w:hint="eastAsia" w:ascii="仿宋_GB2312" w:hAnsi="Times New Roman" w:eastAsia="仿宋_GB2312" w:cs="DengXian-Regular"/>
          <w:sz w:val="32"/>
          <w:szCs w:val="32"/>
        </w:rPr>
        <w:t>；支出完成年初预算100%，比年初预算增加1.68万元，主要是</w:t>
      </w:r>
      <w:r>
        <w:rPr>
          <w:rFonts w:hint="eastAsia" w:ascii="仿宋_GB2312" w:eastAsia="仿宋_GB2312" w:cs="DengXian-Regular"/>
          <w:sz w:val="32"/>
          <w:szCs w:val="32"/>
        </w:rPr>
        <w:t>本部门2019年度项目减少</w:t>
      </w:r>
      <w:r>
        <w:rPr>
          <w:rFonts w:hint="eastAsia" w:ascii="仿宋_GB2312" w:hAnsi="Times New Roman" w:eastAsia="仿宋_GB2312" w:cs="DengXian-Regular"/>
          <w:sz w:val="32"/>
          <w:szCs w:val="32"/>
        </w:rPr>
        <w:t>。</w:t>
      </w:r>
    </w:p>
    <w:p>
      <w:pPr>
        <w:adjustRightInd w:val="0"/>
        <w:snapToGrid w:val="0"/>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highlight w:val="yellow"/>
        </w:rPr>
        <w:drawing>
          <wp:inline distT="0" distB="0" distL="114300" distR="114300">
            <wp:extent cx="4669790" cy="3590290"/>
            <wp:effectExtent l="0" t="0" r="16510" b="10160"/>
            <wp:docPr id="38" name="图片 38"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图片4"/>
                    <pic:cNvPicPr>
                      <a:picLocks noChangeAspect="1"/>
                    </pic:cNvPicPr>
                  </pic:nvPicPr>
                  <pic:blipFill>
                    <a:blip r:embed="rId37"/>
                    <a:stretch>
                      <a:fillRect/>
                    </a:stretch>
                  </pic:blipFill>
                  <pic:spPr>
                    <a:xfrm>
                      <a:off x="0" y="0"/>
                      <a:ext cx="4669790" cy="3590290"/>
                    </a:xfrm>
                    <a:prstGeom prst="rect">
                      <a:avLst/>
                    </a:prstGeom>
                  </pic:spPr>
                </pic:pic>
              </a:graphicData>
            </a:graphic>
          </wp:inline>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3744.37万元，主要用于以下方面：一般公共服务（类）支出3641.56万元，占97.25%；社会保障和就业（类）支出76.54万元，占2.04%；卫生建康（类）支出24.59万元，占0.66%；城乡社区（类）支出1.68万元，占 0.04%。</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jc w:val="center"/>
        <w:rPr>
          <w:rFonts w:ascii="楷体_GB2312" w:hAnsi="Times New Roman" w:eastAsia="楷体_GB2312" w:cs="DengXian-Bold"/>
          <w:b/>
          <w:bCs/>
          <w:sz w:val="32"/>
          <w:szCs w:val="32"/>
        </w:rPr>
      </w:pPr>
    </w:p>
    <w:p>
      <w:pPr>
        <w:adjustRightInd w:val="0"/>
        <w:snapToGrid w:val="0"/>
        <w:jc w:val="center"/>
        <w:rPr>
          <w:rFonts w:ascii="楷体_GB2312" w:hAnsi="Times New Roman" w:eastAsia="楷体_GB2312" w:cs="DengXian-Bold"/>
          <w:b/>
          <w:bCs/>
          <w:sz w:val="32"/>
          <w:szCs w:val="32"/>
        </w:rPr>
      </w:pPr>
    </w:p>
    <w:p>
      <w:pPr>
        <w:adjustRightInd w:val="0"/>
        <w:snapToGrid w:val="0"/>
        <w:jc w:val="center"/>
        <w:rPr>
          <w:rFonts w:ascii="楷体_GB2312" w:hAnsi="Times New Roman" w:eastAsia="楷体_GB2312" w:cs="DengXian-Bold"/>
          <w:b/>
          <w:bCs/>
          <w:sz w:val="32"/>
          <w:szCs w:val="32"/>
        </w:rPr>
      </w:pPr>
    </w:p>
    <w:p>
      <w:pPr>
        <w:adjustRightInd w:val="0"/>
        <w:snapToGrid w:val="0"/>
        <w:jc w:val="center"/>
        <w:rPr>
          <w:rFonts w:ascii="楷体_GB2312" w:hAnsi="Times New Roman" w:eastAsia="楷体_GB2312" w:cs="DengXian-Bold"/>
          <w:b/>
          <w:bCs/>
          <w:sz w:val="32"/>
          <w:szCs w:val="32"/>
        </w:rPr>
      </w:pPr>
      <w:r>
        <w:drawing>
          <wp:inline distT="0" distB="0" distL="114300" distR="114300">
            <wp:extent cx="4791710" cy="3326765"/>
            <wp:effectExtent l="57150" t="0" r="66040" b="83185"/>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年度财政拨款基本支出1271.48万元，其中：人员经费 839.02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432.46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本部门2019年度“三公”经费支出共计1.13万元，完成预算的37.67%,较预算减少1.87万元，降低62.33%，主要是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；较2018年度减少1.15万元，降低50.44%，主要是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w:t>
      </w:r>
      <w:r>
        <w:rPr>
          <w:rFonts w:hint="eastAsia" w:ascii="仿宋_GB2312" w:eastAsia="仿宋_GB2312" w:cs="DengXian-Regular"/>
          <w:sz w:val="32"/>
          <w:szCs w:val="32"/>
        </w:rPr>
        <w:t>因公出国（境）费支出较年初预算持平，本部门2019年度未发生“因公出国（境）费支出”经费支出，“较2018年度决算支出持平。”。</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（二）公务用车购置及运行维护费支出1.13万元。</w:t>
      </w:r>
      <w:r>
        <w:rPr>
          <w:rFonts w:hint="eastAsia" w:ascii="仿宋_GB2312" w:hAnsi="Times New Roman" w:eastAsia="仿宋_GB2312" w:cs="DengXian-Regular"/>
          <w:sz w:val="32"/>
          <w:szCs w:val="32"/>
        </w:rPr>
        <w:t>本部门2019年度公务用车购置及运行维护费较预算减少1.87万元，降低62.33%,主要是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；较上年减少1.15万元，降低50.44%,主要是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eastAsia="仿宋_GB2312" w:cs="DengXian-Regular"/>
          <w:sz w:val="32"/>
          <w:szCs w:val="32"/>
        </w:rPr>
        <w:t>本部门2019年度公务用车购置量0辆，发生“公务用车购置”经费支出0万元。公务用车购置费支出较预算持平，本部门2019年度未发生“公务用车购置”经费支出；与2018年度决算支出持平。</w:t>
      </w:r>
    </w:p>
    <w:p>
      <w:pPr>
        <w:adjustRightInd w:val="0"/>
        <w:snapToGrid w:val="0"/>
        <w:spacing w:line="580" w:lineRule="exact"/>
        <w:ind w:firstLine="643" w:firstLineChars="200"/>
        <w:rPr>
          <w:rFonts w:ascii="仿宋_GB2312"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本部门2019年度单位公务用车保有量1辆。公车运行维护费支出较预算减少1.87万元，降低62.33%,主要是主要是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；较2018年度减少1.15万元，降低50.44%，主要是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eastAsia="仿宋_GB2312" w:cs="DengXian-Regular"/>
          <w:sz w:val="32"/>
          <w:szCs w:val="32"/>
        </w:rPr>
        <w:t>本部门2019年度公务接待共0批次、0人次。公务接待费支出较预算持平,本部门2018年度未发生公务接待经费支出，“较2018年度决算支出持平。”。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根据预算绩效管理要求，本部门组织对2019年度一般公共预算项目支出全面开展绩效自评，其中，一级项目14个，共涉及资金2471.21万元，占一般公共预算项目支出总额的100%。组织对2019年度</w:t>
      </w:r>
      <w:r>
        <w:rPr>
          <w:rFonts w:hint="eastAsia" w:ascii="仿宋" w:hAnsi="仿宋" w:eastAsia="仿宋" w:cs="仿宋"/>
          <w:sz w:val="32"/>
          <w:szCs w:val="32"/>
        </w:rPr>
        <w:t>张段固镇正义街道路自开放路南延至规划南外环占地补偿款</w:t>
      </w:r>
      <w:r>
        <w:rPr>
          <w:rFonts w:hint="eastAsia" w:ascii="仿宋_GB2312" w:hAnsi="仿宋_GB2312" w:eastAsia="仿宋_GB2312" w:cs="仿宋_GB2312"/>
          <w:sz w:val="32"/>
          <w:szCs w:val="32"/>
        </w:rPr>
        <w:t>等1个政府性基金预算项目支出开展绩效自评，共涉及资金1.68万元，占政府性基金预算项目支出总额的100%。组织对</w:t>
      </w:r>
      <w:r>
        <w:rPr>
          <w:rFonts w:hint="eastAsia" w:ascii="仿宋" w:hAnsi="仿宋" w:eastAsia="仿宋" w:cs="仿宋"/>
          <w:sz w:val="32"/>
          <w:szCs w:val="32"/>
        </w:rPr>
        <w:t>张段固镇其他支出项目、张段固镇皮革后整园区迁坟资金项目、张段固镇2019年城南工业园区工商占地赔偿项目、张段固镇2019年滹沱河大桥改扩建及桥东、桥西绿化占地赔偿项目、张段固镇2019年滹沱河大桥改扩建占地赔偿项目（3户）、张段固镇皮革后整园区三期征地补偿项目、张段固皮革后整园区二期机井补偿费、张段固镇皮革后整园区二期占地补偿项目、张段固镇2019年市庄村新南环占地赔偿项目、张段固镇建制镇配套项目、张段固镇对各村补助类项目、张段固镇追加综合检测站占用西两河耕地补偿款、张段固镇东验村砖窑附着物补偿款、张段固镇东验村、苌家庄砖窑砖坯补偿款、张段固镇正义街道路自开放路南延至规划南外环占地补偿款</w:t>
      </w:r>
      <w:r>
        <w:rPr>
          <w:rFonts w:hint="eastAsia" w:ascii="仿宋_GB2312" w:hAnsi="仿宋_GB2312" w:eastAsia="仿宋_GB2312" w:cs="仿宋_GB2312"/>
          <w:sz w:val="32"/>
          <w:szCs w:val="32"/>
        </w:rPr>
        <w:t>等15个项目开展了部门评价，涉及一般公共预算支出2471.21万元，政府性基金预算支出1.68万元。从评价情况来看，</w:t>
      </w:r>
      <w:r>
        <w:rPr>
          <w:rFonts w:hint="eastAsia" w:ascii="仿宋_GB2312" w:eastAsia="仿宋_GB2312" w:cs="DengXian-Regular"/>
          <w:sz w:val="32"/>
          <w:szCs w:val="32"/>
        </w:rPr>
        <w:t>评价结果为优秀的项目有15个。其中：</w:t>
      </w:r>
      <w:r>
        <w:rPr>
          <w:rFonts w:hint="eastAsia" w:ascii="仿宋" w:hAnsi="仿宋" w:eastAsia="仿宋" w:cs="仿宋"/>
          <w:sz w:val="32"/>
          <w:szCs w:val="32"/>
        </w:rPr>
        <w:t>张段固镇其他支出项目自评得分95分，评价结果为优；张段固镇皮革后整园区迁坟资金项目自评得分95分，评价结果为优；张段固镇2019年城南工业园区工商占地赔偿项目自评得分95分，评价结果为优；张段固镇2019年滹沱河大桥改扩建及桥东、桥西绿化占地赔偿项目自评得分95分，评价结果为优；张段固镇2019年滹沱河大桥改扩建占地赔偿项目（3户）自评得分95分，评价结果为优；张段固镇皮革后整园区三期征地补偿项目自评得分95分，评价结果为优；张段固皮革后整园区二期机井补偿费自评得分95分，评价结果为优；张段固镇皮革后整园区二期占地补偿项目自评得分95分，评价结果为优；张段固镇2019年市庄村新南环占地赔偿项目自评得分95分，评价结果为优；张段固镇建制镇配套项目自评得分95分，评价结果为优；张段固镇对各村补助类项目自评得分95分，评价结果为优；张段固镇追加综合检测站占用西两河耕地补偿款自评得分95分，评价结果为优；张段固镇东验村砖窑附着物补偿款自评得分95分，评价结果为优；张段固镇东验村、苌家庄砖窑砖坯补偿款自评得分95分，评价结果为优；张段固镇正义街道路自开放路南延至规划南外环占地补偿款自评得分95分，评价结果为优。</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本部门在今年部门决算公开中反映一般公共服务支出项目及城乡社区支出项目等15个项目绩效自评结果。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般公共服务支出项目自评综述：根据年初设定的绩效目标，一般公共服务支出项目绩效自评得分为95分（绩效自评表附后）。全年预算数为2471.21万元，执行数为2471.21万元，完成预算的100%。项目绩效目标完成情况：一是</w:t>
      </w:r>
      <w:r>
        <w:rPr>
          <w:rFonts w:hint="eastAsia" w:ascii="仿宋" w:hAnsi="仿宋" w:eastAsia="仿宋" w:cs="仿宋"/>
          <w:sz w:val="32"/>
          <w:szCs w:val="32"/>
        </w:rPr>
        <w:t>项目自评组织情况.通过多方收集资料，然后进行了严格的自评过程得出评价结果</w:t>
      </w:r>
      <w:r>
        <w:rPr>
          <w:rFonts w:hint="eastAsia" w:ascii="仿宋_GB2312" w:hAnsi="仿宋_GB2312" w:eastAsia="仿宋_GB2312" w:cs="仿宋_GB2312"/>
          <w:sz w:val="32"/>
          <w:szCs w:val="32"/>
        </w:rPr>
        <w:t>；二是</w:t>
      </w:r>
      <w:r>
        <w:rPr>
          <w:rFonts w:hint="eastAsia" w:ascii="仿宋" w:hAnsi="仿宋" w:eastAsia="仿宋" w:cs="仿宋"/>
          <w:sz w:val="32"/>
          <w:szCs w:val="32"/>
        </w:rPr>
        <w:t>绩效评价结果分为优、良、合格、不合格四个等级。即：分值≥90分为优，90＞分值≥70分为良，70＞分值≥60分为合格，分值＜60为不合格</w:t>
      </w:r>
      <w:r>
        <w:rPr>
          <w:rFonts w:hint="eastAsia" w:ascii="仿宋_GB2312" w:hAnsi="仿宋_GB2312" w:eastAsia="仿宋_GB2312" w:cs="仿宋_GB2312"/>
          <w:sz w:val="32"/>
          <w:szCs w:val="32"/>
        </w:rPr>
        <w:t>。发现的主要问题及原因：一是</w:t>
      </w:r>
      <w:r>
        <w:rPr>
          <w:rFonts w:hint="eastAsia" w:ascii="仿宋" w:hAnsi="仿宋" w:eastAsia="仿宋" w:cs="仿宋"/>
          <w:sz w:val="32"/>
          <w:szCs w:val="32"/>
        </w:rPr>
        <w:t>项目进行中可能出现的一系列的问题</w:t>
      </w:r>
      <w:r>
        <w:rPr>
          <w:rFonts w:hint="eastAsia" w:ascii="仿宋_GB2312" w:hAnsi="仿宋_GB2312" w:eastAsia="仿宋_GB2312" w:cs="仿宋_GB2312"/>
          <w:sz w:val="32"/>
          <w:szCs w:val="32"/>
        </w:rPr>
        <w:t>；二是</w:t>
      </w:r>
      <w:r>
        <w:rPr>
          <w:rFonts w:hint="eastAsia" w:ascii="仿宋" w:hAnsi="仿宋" w:eastAsia="仿宋" w:cs="仿宋"/>
          <w:sz w:val="32"/>
          <w:szCs w:val="32"/>
        </w:rPr>
        <w:t>项目进行中和群众要求有时出现不一致情况</w:t>
      </w:r>
      <w:r>
        <w:rPr>
          <w:rFonts w:hint="eastAsia" w:ascii="仿宋_GB2312" w:hAnsi="仿宋_GB2312" w:eastAsia="仿宋_GB2312" w:cs="仿宋_GB2312"/>
          <w:sz w:val="32"/>
          <w:szCs w:val="32"/>
        </w:rPr>
        <w:t>。下一步改进措施：一是</w:t>
      </w:r>
      <w:r>
        <w:rPr>
          <w:rFonts w:hint="eastAsia" w:ascii="仿宋" w:hAnsi="仿宋" w:eastAsia="仿宋" w:cs="仿宋"/>
          <w:sz w:val="32"/>
          <w:szCs w:val="32"/>
        </w:rPr>
        <w:t>在前期准备的过程中要进行充分的准备，提前做好应急预案</w:t>
      </w:r>
      <w:r>
        <w:rPr>
          <w:rFonts w:hint="eastAsia" w:ascii="仿宋_GB2312" w:hAnsi="仿宋_GB2312" w:eastAsia="仿宋_GB2312" w:cs="仿宋_GB2312"/>
          <w:sz w:val="32"/>
          <w:szCs w:val="32"/>
        </w:rPr>
        <w:t>；二是</w:t>
      </w:r>
      <w:r>
        <w:rPr>
          <w:rFonts w:hint="eastAsia" w:ascii="仿宋" w:hAnsi="仿宋" w:eastAsia="仿宋" w:cs="仿宋"/>
          <w:sz w:val="32"/>
          <w:szCs w:val="32"/>
        </w:rPr>
        <w:t>要加强对群众的宣传力度，倾听群众意见，多途径、多方式的做好群众工作</w:t>
      </w:r>
      <w:r>
        <w:rPr>
          <w:rFonts w:hint="eastAsia" w:ascii="仿宋_GB2312" w:hAnsi="仿宋_GB2312" w:eastAsia="仿宋_GB2312" w:cs="仿宋_GB2312"/>
          <w:sz w:val="32"/>
          <w:szCs w:val="32"/>
        </w:rPr>
        <w:t>。</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城乡社区支出项目绩效自评综述：根据年初设定的绩效目标，城乡社区</w:t>
      </w:r>
      <w:r>
        <w:rPr>
          <w:rFonts w:hint="eastAsia" w:ascii="仿宋_GB2312" w:hAnsi="仿宋_GB2312" w:eastAsia="仿宋_GB2312" w:cs="仿宋_GB2312"/>
          <w:sz w:val="32"/>
          <w:szCs w:val="32"/>
          <w:lang w:eastAsia="zh-CN"/>
        </w:rPr>
        <w:t>支出</w:t>
      </w:r>
      <w:r>
        <w:rPr>
          <w:rFonts w:hint="eastAsia" w:ascii="仿宋_GB2312" w:hAnsi="仿宋_GB2312" w:eastAsia="仿宋_GB2312" w:cs="仿宋_GB2312"/>
          <w:sz w:val="32"/>
          <w:szCs w:val="32"/>
        </w:rPr>
        <w:t>项目绩效自评得分为95分（绩效自评表附后）。全年预算数为1.68万元，执行数为1.68万元，完成预算的100%。项目绩效目标完成情况：一是</w:t>
      </w:r>
      <w:r>
        <w:rPr>
          <w:rFonts w:hint="eastAsia" w:ascii="仿宋" w:hAnsi="仿宋" w:eastAsia="仿宋" w:cs="仿宋"/>
          <w:sz w:val="32"/>
          <w:szCs w:val="32"/>
        </w:rPr>
        <w:t>项目自评组织情况.通过多方收集资料，然后进行了严格的自评过程得出评价结果</w:t>
      </w:r>
      <w:r>
        <w:rPr>
          <w:rFonts w:hint="eastAsia" w:ascii="仿宋_GB2312" w:hAnsi="仿宋_GB2312" w:eastAsia="仿宋_GB2312" w:cs="仿宋_GB2312"/>
          <w:sz w:val="32"/>
          <w:szCs w:val="32"/>
        </w:rPr>
        <w:t>；二是</w:t>
      </w:r>
      <w:r>
        <w:rPr>
          <w:rFonts w:hint="eastAsia" w:ascii="仿宋" w:hAnsi="仿宋" w:eastAsia="仿宋" w:cs="仿宋"/>
          <w:sz w:val="32"/>
          <w:szCs w:val="32"/>
        </w:rPr>
        <w:t>绩效评价结果分为优、良、合格、不合格四个等级。即：分值≥90分为优，90＞分值≥70分为良，70＞分值≥60分为合格，分值＜60为不合格</w:t>
      </w:r>
      <w:r>
        <w:rPr>
          <w:rFonts w:hint="eastAsia" w:ascii="仿宋_GB2312" w:hAnsi="仿宋_GB2312" w:eastAsia="仿宋_GB2312" w:cs="仿宋_GB2312"/>
          <w:sz w:val="32"/>
          <w:szCs w:val="32"/>
        </w:rPr>
        <w:t>。发现的主要问题及原因：一是</w:t>
      </w:r>
      <w:r>
        <w:rPr>
          <w:rFonts w:hint="eastAsia" w:ascii="仿宋" w:hAnsi="仿宋" w:eastAsia="仿宋" w:cs="仿宋"/>
          <w:sz w:val="32"/>
          <w:szCs w:val="32"/>
        </w:rPr>
        <w:t>项目进行中可能出现的一系列的问题</w:t>
      </w:r>
      <w:r>
        <w:rPr>
          <w:rFonts w:hint="eastAsia" w:ascii="仿宋_GB2312" w:hAnsi="仿宋_GB2312" w:eastAsia="仿宋_GB2312" w:cs="仿宋_GB2312"/>
          <w:sz w:val="32"/>
          <w:szCs w:val="32"/>
        </w:rPr>
        <w:t>；二是</w:t>
      </w:r>
      <w:r>
        <w:rPr>
          <w:rFonts w:hint="eastAsia" w:ascii="仿宋" w:hAnsi="仿宋" w:eastAsia="仿宋" w:cs="仿宋"/>
          <w:sz w:val="32"/>
          <w:szCs w:val="32"/>
        </w:rPr>
        <w:t>项目进行中和群众要求有时出现不一致情况</w:t>
      </w:r>
      <w:r>
        <w:rPr>
          <w:rFonts w:hint="eastAsia" w:ascii="仿宋_GB2312" w:hAnsi="仿宋_GB2312" w:eastAsia="仿宋_GB2312" w:cs="仿宋_GB2312"/>
          <w:sz w:val="32"/>
          <w:szCs w:val="32"/>
        </w:rPr>
        <w:t>。下一步改进措施：一是</w:t>
      </w:r>
      <w:r>
        <w:rPr>
          <w:rFonts w:hint="eastAsia" w:ascii="仿宋" w:hAnsi="仿宋" w:eastAsia="仿宋" w:cs="仿宋"/>
          <w:sz w:val="32"/>
          <w:szCs w:val="32"/>
        </w:rPr>
        <w:t>在前期准备的过程中要进行充分的准备，提前做好应急预案</w:t>
      </w:r>
      <w:r>
        <w:rPr>
          <w:rFonts w:hint="eastAsia" w:ascii="仿宋_GB2312" w:hAnsi="仿宋_GB2312" w:eastAsia="仿宋_GB2312" w:cs="仿宋_GB2312"/>
          <w:sz w:val="32"/>
          <w:szCs w:val="32"/>
        </w:rPr>
        <w:t>；二是</w:t>
      </w:r>
      <w:r>
        <w:rPr>
          <w:rFonts w:hint="eastAsia" w:ascii="仿宋" w:hAnsi="仿宋" w:eastAsia="仿宋" w:cs="仿宋"/>
          <w:sz w:val="32"/>
          <w:szCs w:val="32"/>
        </w:rPr>
        <w:t>要加强对群众的宣传力度，倾听群众意见，多途径、多方式的做好群众工作</w:t>
      </w:r>
      <w:r>
        <w:rPr>
          <w:rFonts w:hint="eastAsia" w:ascii="仿宋_GB2312" w:hAnsi="仿宋_GB2312" w:eastAsia="仿宋_GB2312" w:cs="仿宋_GB2312"/>
          <w:sz w:val="32"/>
          <w:szCs w:val="32"/>
        </w:rPr>
        <w:t>。</w:t>
      </w:r>
    </w:p>
    <w:p>
      <w:pPr>
        <w:keepNext/>
        <w:keepLines/>
        <w:numPr>
          <w:ilvl w:val="0"/>
          <w:numId w:val="1"/>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snapToGrid w:val="0"/>
        <w:spacing w:line="580" w:lineRule="exact"/>
        <w:ind w:firstLine="960" w:firstLineChars="300"/>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本部门无财政评价项目绩效评价情况。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本部门2019年度机关运行经费支出432.46万元，比2018年度增加30.5万元，增长7.59%。主要原因是</w:t>
      </w:r>
      <w:r>
        <w:rPr>
          <w:rFonts w:hint="eastAsia" w:ascii="仿宋_GB2312" w:eastAsia="仿宋_GB2312" w:cs="DengXian-Regular"/>
          <w:sz w:val="32"/>
          <w:szCs w:val="32"/>
        </w:rPr>
        <w:t>本部门2019年度机关运行经费支出预估少，工作业务量增加，支出增加</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本部门2019年度无政府采购支出情况。本部门2019年度政府采购支出总额584.31万元，从采购类型来看，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51.79</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429.36</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103.16</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7辆，比上年增减少3辆，主要是处置无手续洒水车。其中，副部（省）级及以上领导用车0辆，主要领导干部用车0辆，机要通信用车1辆，应急保障用车0辆，执法执勤用车1辆，特种专业技术用车0辆，离退休干部用车0辆，其他用车5辆，其他用车主要是</w:t>
      </w:r>
      <w:r>
        <w:rPr>
          <w:rFonts w:hint="eastAsia" w:ascii="仿宋_GB2312" w:eastAsia="仿宋_GB2312" w:cs="DengXian-Regular"/>
          <w:sz w:val="32"/>
          <w:szCs w:val="32"/>
        </w:rPr>
        <w:t>洗扫车，垃圾车、洒水车</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楷体_GB2312" w:hAnsi="Times New Roman" w:eastAsia="仿宋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万元以上通用设备2台（套），和上年持平。单位价值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万元以上通用设备2台（套），和上年持平。</w:t>
      </w:r>
    </w:p>
    <w:p>
      <w:pPr>
        <w:adjustRightInd w:val="0"/>
        <w:snapToGrid w:val="0"/>
        <w:spacing w:line="580" w:lineRule="exact"/>
        <w:ind w:firstLine="643" w:firstLineChars="200"/>
        <w:rPr>
          <w:rFonts w:ascii="楷体_GB2312" w:hAnsi="Times New Roman" w:eastAsia="仿宋_GB2312" w:cs="DengXian-Bold"/>
          <w:b/>
          <w:bCs/>
          <w:sz w:val="32"/>
          <w:szCs w:val="32"/>
        </w:rPr>
      </w:pP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本部门2019年度国有资本经营预算财政拨款收入支出无收支及结转结余情况，故国有资本经营预算财政拨款收入支出决算表以空表列示。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path/>
            <v:fill type="pattern" on="t" color2="#FFFFFF" o:title="image2" focussize="0,0" r:id="rId31"/>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path/>
            <v:fill type="pattern" on="t" color2="#FFFFFF"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530"/>
        <w:gridCol w:w="892"/>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部门：无极县张段固镇人民政府</w:t>
            </w:r>
          </w:p>
        </w:tc>
        <w:tc>
          <w:tcPr>
            <w:tcW w:w="5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9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7,042.68</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tabs>
                <w:tab w:val="left" w:pos="266"/>
                <w:tab w:val="right" w:pos="1154"/>
              </w:tabs>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3641.56</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1.68</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76.54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24.59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1.68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804"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18"/>
                <w:szCs w:val="18"/>
              </w:rPr>
              <w:t>7,044.37</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3744.37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3300.00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8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4"/>
                <w:szCs w:val="24"/>
              </w:rPr>
            </w:pPr>
            <w:r>
              <w:rPr>
                <w:rFonts w:hint="eastAsia" w:ascii="宋体" w:hAnsi="宋体" w:eastAsia="宋体" w:cs="宋体"/>
                <w:color w:val="000000"/>
                <w:kern w:val="0"/>
                <w:sz w:val="18"/>
                <w:szCs w:val="18"/>
              </w:rPr>
              <w:t>7,044.37</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7044.37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10838" w:type="dxa"/>
        <w:jc w:val="center"/>
        <w:tblLayout w:type="fixed"/>
        <w:tblCellMar>
          <w:top w:w="0" w:type="dxa"/>
          <w:left w:w="0" w:type="dxa"/>
          <w:bottom w:w="0" w:type="dxa"/>
          <w:right w:w="0" w:type="dxa"/>
        </w:tblCellMar>
      </w:tblPr>
      <w:tblGrid>
        <w:gridCol w:w="716"/>
        <w:gridCol w:w="50"/>
        <w:gridCol w:w="50"/>
        <w:gridCol w:w="3371"/>
        <w:gridCol w:w="1498"/>
        <w:gridCol w:w="1348"/>
        <w:gridCol w:w="1647"/>
        <w:gridCol w:w="376"/>
        <w:gridCol w:w="387"/>
        <w:gridCol w:w="545"/>
        <w:gridCol w:w="850"/>
      </w:tblGrid>
      <w:tr>
        <w:tblPrEx>
          <w:tblCellMar>
            <w:top w:w="0" w:type="dxa"/>
            <w:left w:w="0" w:type="dxa"/>
            <w:bottom w:w="0" w:type="dxa"/>
            <w:right w:w="0" w:type="dxa"/>
          </w:tblCellMar>
        </w:tblPrEx>
        <w:trPr>
          <w:trHeight w:val="670" w:hRule="atLeast"/>
          <w:jc w:val="center"/>
        </w:trPr>
        <w:tc>
          <w:tcPr>
            <w:tcW w:w="10838"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71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7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97"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71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7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无极县张段固镇人民政府</w:t>
            </w:r>
          </w:p>
        </w:tc>
        <w:tc>
          <w:tcPr>
            <w:tcW w:w="15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8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417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5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3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16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37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38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54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85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80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37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5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7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35"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7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7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17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5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3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6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3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3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85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417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Cs/>
                <w:color w:val="000000"/>
                <w:sz w:val="22"/>
              </w:rPr>
              <w:t>7044.37</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Cs/>
                <w:color w:val="000000"/>
                <w:sz w:val="22"/>
              </w:rPr>
              <w:t>7044.37</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6941.56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6941.56</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政府办公厅（室）及相关机构事务</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6941.56</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6941.56</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2010301</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行政运行</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1130.61</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1130.61</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2010399</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8"/>
                <w:szCs w:val="18"/>
              </w:rPr>
              <w:t>其他政府办公厅（室）及相关机构事务支出</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5810.95</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5810.95</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76.54</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76.54</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74.42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74.42</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归口管理的行政单位离退休</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10.22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10.22</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539"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机关事业单位基本养老保险缴费支出</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62.45</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62.45</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2080506</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机关事业单位职业年金缴费支出</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1.75</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1.75</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2.12</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2.12</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2082702</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财政对工伤保险基金的补助</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2082703</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财政对生育保险基金的补助</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0.67</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0.67</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行政单位医疗</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8"/>
                <w:szCs w:val="18"/>
              </w:rPr>
              <w:t>国有土地使用权出让收入及对应专项债务收入安排的支出</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2120801</w:t>
            </w:r>
          </w:p>
        </w:tc>
        <w:tc>
          <w:tcPr>
            <w:tcW w:w="33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征地和拆迁补偿支出</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3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6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5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838"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r>
        <w:br w:type="page"/>
      </w:r>
    </w:p>
    <w:tbl>
      <w:tblPr>
        <w:tblStyle w:val="7"/>
        <w:tblW w:w="9717" w:type="dxa"/>
        <w:jc w:val="center"/>
        <w:tblLayout w:type="fixed"/>
        <w:tblCellMar>
          <w:top w:w="0" w:type="dxa"/>
          <w:left w:w="0" w:type="dxa"/>
          <w:bottom w:w="0" w:type="dxa"/>
          <w:right w:w="0" w:type="dxa"/>
        </w:tblCellMar>
      </w:tblPr>
      <w:tblGrid>
        <w:gridCol w:w="941"/>
        <w:gridCol w:w="240"/>
        <w:gridCol w:w="53"/>
        <w:gridCol w:w="37"/>
        <w:gridCol w:w="1264"/>
        <w:gridCol w:w="37"/>
        <w:gridCol w:w="1053"/>
        <w:gridCol w:w="37"/>
        <w:gridCol w:w="1124"/>
        <w:gridCol w:w="37"/>
        <w:gridCol w:w="1124"/>
        <w:gridCol w:w="37"/>
        <w:gridCol w:w="1288"/>
        <w:gridCol w:w="37"/>
        <w:gridCol w:w="960"/>
        <w:gridCol w:w="37"/>
        <w:gridCol w:w="1374"/>
        <w:gridCol w:w="37"/>
      </w:tblGrid>
      <w:tr>
        <w:tblPrEx>
          <w:tblCellMar>
            <w:top w:w="0" w:type="dxa"/>
            <w:left w:w="0" w:type="dxa"/>
            <w:bottom w:w="0" w:type="dxa"/>
            <w:right w:w="0" w:type="dxa"/>
          </w:tblCellMar>
        </w:tblPrEx>
        <w:trPr>
          <w:gridAfter w:val="1"/>
          <w:wAfter w:w="37" w:type="dxa"/>
          <w:trHeight w:val="612" w:hRule="atLeast"/>
          <w:jc w:val="center"/>
        </w:trPr>
        <w:tc>
          <w:tcPr>
            <w:tcW w:w="9680" w:type="dxa"/>
            <w:gridSpan w:val="1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0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90"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2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97"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3882" w:type="dxa"/>
            <w:gridSpan w:val="9"/>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无极县张段固镇人民政府</w:t>
            </w: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25"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8" w:type="dxa"/>
            <w:gridSpan w:val="4"/>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1"/>
          <w:wAfter w:w="37" w:type="dxa"/>
          <w:trHeight w:val="323" w:hRule="atLeast"/>
          <w:jc w:val="center"/>
        </w:trPr>
        <w:tc>
          <w:tcPr>
            <w:tcW w:w="2535"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90"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325"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997"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gridAfter w:val="1"/>
          <w:wAfter w:w="37" w:type="dxa"/>
          <w:trHeight w:val="319" w:hRule="atLeast"/>
          <w:jc w:val="center"/>
        </w:trPr>
        <w:tc>
          <w:tcPr>
            <w:tcW w:w="123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01"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9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2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19" w:hRule="atLeast"/>
          <w:jc w:val="center"/>
        </w:trPr>
        <w:tc>
          <w:tcPr>
            <w:tcW w:w="12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1"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9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2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19" w:hRule="atLeast"/>
          <w:jc w:val="center"/>
        </w:trPr>
        <w:tc>
          <w:tcPr>
            <w:tcW w:w="12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1"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90"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25"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7"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2535"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9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9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gridAfter w:val="1"/>
          <w:wAfter w:w="37" w:type="dxa"/>
          <w:trHeight w:val="323" w:hRule="atLeast"/>
          <w:jc w:val="center"/>
        </w:trPr>
        <w:tc>
          <w:tcPr>
            <w:tcW w:w="2535"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3744.37</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1271.48</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2472.89</w:t>
            </w: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一般公共服务支出</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3641.56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1170.35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2471.2</w:t>
            </w: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6"/>
                <w:szCs w:val="16"/>
              </w:rPr>
              <w:t>政府办公厅（室）及相关机构事务</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3641.56</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1170.35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2471.2</w:t>
            </w: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2010301</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行政运行</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1130.61</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1130.61</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2010399</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3"/>
                <w:szCs w:val="13"/>
              </w:rPr>
              <w:t>其他政府办公厅（室）及相关机构事务支出</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2510.95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39.75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2471.2</w:t>
            </w: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社会保障和就业支出</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76.54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76.54</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行政事业单位离退休</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74.42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74.42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归口管理的行政单位离退休</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10.22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10.22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00" w:lineRule="exact"/>
              <w:jc w:val="left"/>
              <w:rPr>
                <w:rFonts w:ascii="宋体" w:hAnsi="宋体" w:eastAsia="宋体" w:cs="宋体"/>
                <w:color w:val="000000"/>
                <w:sz w:val="22"/>
              </w:rPr>
            </w:pPr>
            <w:r>
              <w:rPr>
                <w:rFonts w:hint="eastAsia" w:ascii="宋体" w:hAnsi="宋体" w:eastAsia="宋体" w:cs="宋体"/>
                <w:color w:val="000000"/>
                <w:sz w:val="22"/>
              </w:rPr>
              <w:t>2080505</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机关事业单位基本养老保险缴费支出</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00" w:lineRule="exact"/>
              <w:jc w:val="left"/>
              <w:rPr>
                <w:rFonts w:ascii="宋体" w:hAnsi="宋体" w:eastAsia="宋体" w:cs="宋体"/>
                <w:color w:val="000000"/>
                <w:sz w:val="22"/>
              </w:rPr>
            </w:pPr>
            <w:r>
              <w:rPr>
                <w:rFonts w:hint="eastAsia" w:ascii="宋体" w:hAnsi="宋体" w:eastAsia="宋体" w:cs="宋体"/>
                <w:color w:val="000000"/>
                <w:sz w:val="22"/>
              </w:rPr>
              <w:t>2080506</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机关事业单位职业年金缴费支出</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00" w:lineRule="exact"/>
              <w:jc w:val="left"/>
              <w:rPr>
                <w:rFonts w:ascii="宋体" w:hAnsi="宋体" w:eastAsia="宋体" w:cs="宋体"/>
                <w:color w:val="000000"/>
                <w:sz w:val="22"/>
              </w:rPr>
            </w:pPr>
            <w:r>
              <w:rPr>
                <w:rFonts w:hint="eastAsia" w:ascii="宋体" w:hAnsi="宋体" w:eastAsia="宋体" w:cs="宋体"/>
                <w:color w:val="000000"/>
                <w:sz w:val="22"/>
              </w:rPr>
              <w:t>20827</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财政对其他社会保险基金的补助</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2.12</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00" w:lineRule="exact"/>
              <w:jc w:val="left"/>
              <w:rPr>
                <w:rFonts w:ascii="宋体" w:hAnsi="宋体" w:eastAsia="宋体" w:cs="宋体"/>
                <w:color w:val="000000"/>
                <w:sz w:val="22"/>
              </w:rPr>
            </w:pPr>
            <w:r>
              <w:rPr>
                <w:rFonts w:hint="eastAsia" w:ascii="宋体" w:hAnsi="宋体" w:eastAsia="宋体" w:cs="宋体"/>
                <w:color w:val="000000"/>
                <w:sz w:val="22"/>
              </w:rPr>
              <w:t>2082702</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财政对工伤保险基金的补助</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00" w:lineRule="exact"/>
              <w:jc w:val="left"/>
              <w:rPr>
                <w:rFonts w:ascii="宋体" w:hAnsi="宋体" w:eastAsia="宋体" w:cs="宋体"/>
                <w:color w:val="000000"/>
                <w:sz w:val="22"/>
              </w:rPr>
            </w:pPr>
            <w:r>
              <w:rPr>
                <w:rFonts w:hint="eastAsia" w:ascii="宋体" w:hAnsi="宋体" w:eastAsia="宋体" w:cs="宋体"/>
                <w:color w:val="000000"/>
                <w:sz w:val="22"/>
              </w:rPr>
              <w:t>2082703</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财政对生育保险基金的补助</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0.67</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0.67</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卫生健康支出</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行政事业单位医疗</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行政单位医疗</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城乡社区支出</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452"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4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3"/>
                <w:szCs w:val="13"/>
              </w:rPr>
              <w:t>国有土地使用权出让收入及对应专项债务收入安排的支出</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2120801</w:t>
            </w:r>
          </w:p>
        </w:tc>
        <w:tc>
          <w:tcPr>
            <w:tcW w:w="130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征地和拆迁补偿支出</w:t>
            </w:r>
          </w:p>
        </w:tc>
        <w:tc>
          <w:tcPr>
            <w:tcW w:w="109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1.68</w:t>
            </w:r>
          </w:p>
        </w:tc>
        <w:tc>
          <w:tcPr>
            <w:tcW w:w="132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9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37" w:type="dxa"/>
          <w:trHeight w:val="323" w:hRule="atLeast"/>
          <w:jc w:val="center"/>
        </w:trPr>
        <w:tc>
          <w:tcPr>
            <w:tcW w:w="9680" w:type="dxa"/>
            <w:gridSpan w:val="17"/>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507"/>
        <w:gridCol w:w="680"/>
        <w:gridCol w:w="713"/>
        <w:gridCol w:w="665"/>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部门：无极县张段固镇人民政府</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8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6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8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7042.68</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3641.56</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3641.56</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1.68</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76.54</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76.54</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24.59</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24.59</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1.68</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1.68</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6"/>
                <w:szCs w:val="16"/>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7044.37</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3744.37</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3742.68</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1.68</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3300.00</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3300.00</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7044.37</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68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7044.37</w:t>
            </w:r>
          </w:p>
        </w:tc>
        <w:tc>
          <w:tcPr>
            <w:tcW w:w="7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7042.68</w:t>
            </w:r>
          </w:p>
        </w:tc>
        <w:tc>
          <w:tcPr>
            <w:tcW w:w="6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1.68</w:t>
            </w: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10088" w:type="dxa"/>
        <w:jc w:val="center"/>
        <w:tblLayout w:type="autofit"/>
        <w:tblCellMar>
          <w:top w:w="0" w:type="dxa"/>
          <w:left w:w="0" w:type="dxa"/>
          <w:bottom w:w="0" w:type="dxa"/>
          <w:right w:w="0" w:type="dxa"/>
        </w:tblCellMar>
      </w:tblPr>
      <w:tblGrid>
        <w:gridCol w:w="728"/>
        <w:gridCol w:w="42"/>
        <w:gridCol w:w="42"/>
        <w:gridCol w:w="3364"/>
        <w:gridCol w:w="1445"/>
        <w:gridCol w:w="1371"/>
        <w:gridCol w:w="3096"/>
      </w:tblGrid>
      <w:tr>
        <w:tblPrEx>
          <w:tblCellMar>
            <w:top w:w="0" w:type="dxa"/>
            <w:left w:w="0" w:type="dxa"/>
            <w:bottom w:w="0" w:type="dxa"/>
            <w:right w:w="0" w:type="dxa"/>
          </w:tblCellMar>
        </w:tblPrEx>
        <w:trPr>
          <w:trHeight w:val="600" w:hRule="atLeast"/>
          <w:jc w:val="center"/>
        </w:trPr>
        <w:tc>
          <w:tcPr>
            <w:tcW w:w="10088"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无极县张段固镇人民政府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936"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80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69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67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80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80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9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67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3742.68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1271.48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Cs/>
                <w:color w:val="000000"/>
                <w:sz w:val="22"/>
              </w:rPr>
            </w:pPr>
            <w:r>
              <w:rPr>
                <w:rFonts w:hint="eastAsia" w:ascii="宋体" w:hAnsi="宋体" w:eastAsia="宋体" w:cs="宋体"/>
                <w:b/>
                <w:color w:val="000000"/>
                <w:sz w:val="22"/>
              </w:rPr>
              <w:t>2741.20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一般公共服务支出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3641.56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1170.35</w:t>
            </w:r>
          </w:p>
        </w:tc>
        <w:tc>
          <w:tcPr>
            <w:tcW w:w="2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Cs/>
                <w:color w:val="000000"/>
                <w:sz w:val="22"/>
              </w:rPr>
            </w:pPr>
            <w:r>
              <w:rPr>
                <w:rFonts w:hint="eastAsia" w:ascii="宋体" w:hAnsi="宋体" w:eastAsia="宋体" w:cs="宋体"/>
                <w:bCs/>
                <w:color w:val="000000"/>
                <w:sz w:val="22"/>
              </w:rPr>
              <w:t>2741.20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18"/>
                <w:szCs w:val="18"/>
              </w:rPr>
            </w:pPr>
            <w:r>
              <w:rPr>
                <w:rFonts w:hint="eastAsia" w:ascii="宋体" w:hAnsi="宋体" w:eastAsia="宋体" w:cs="宋体"/>
                <w:color w:val="000000"/>
                <w:sz w:val="16"/>
                <w:szCs w:val="16"/>
              </w:rPr>
              <w:t>政府办公厅（室）及相关机构事务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3641.56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1170.35</w:t>
            </w:r>
          </w:p>
        </w:tc>
        <w:tc>
          <w:tcPr>
            <w:tcW w:w="2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Cs/>
                <w:color w:val="000000"/>
                <w:sz w:val="22"/>
              </w:rPr>
            </w:pPr>
            <w:r>
              <w:rPr>
                <w:rFonts w:hint="eastAsia" w:ascii="宋体" w:hAnsi="宋体" w:eastAsia="宋体" w:cs="宋体"/>
                <w:bCs/>
                <w:color w:val="000000"/>
                <w:sz w:val="22"/>
              </w:rPr>
              <w:t>2741.20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行政运行</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1130.61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1130.61</w:t>
            </w:r>
          </w:p>
        </w:tc>
        <w:tc>
          <w:tcPr>
            <w:tcW w:w="2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Cs/>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2010399</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3"/>
                <w:szCs w:val="13"/>
              </w:rPr>
              <w:t>其他政府办公厅（室）及相关机构事务支出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2510.95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39.75</w:t>
            </w:r>
          </w:p>
        </w:tc>
        <w:tc>
          <w:tcPr>
            <w:tcW w:w="26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Cs/>
                <w:color w:val="000000"/>
                <w:sz w:val="22"/>
              </w:rPr>
            </w:pPr>
            <w:r>
              <w:rPr>
                <w:rFonts w:hint="eastAsia" w:ascii="宋体" w:hAnsi="宋体" w:eastAsia="宋体" w:cs="宋体"/>
                <w:bCs/>
                <w:color w:val="000000"/>
                <w:sz w:val="22"/>
              </w:rPr>
              <w:t>2741.20</w:t>
            </w: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社会保障和就业支出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76.54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76.54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行政事业单位离退休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74.42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归口管理的行政单位离退休</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10.22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00" w:lineRule="exact"/>
              <w:jc w:val="left"/>
              <w:rPr>
                <w:rFonts w:ascii="宋体" w:hAnsi="宋体" w:eastAsia="宋体" w:cs="宋体"/>
                <w:color w:val="000000"/>
                <w:sz w:val="22"/>
              </w:rPr>
            </w:pPr>
            <w:r>
              <w:rPr>
                <w:rFonts w:hint="eastAsia" w:ascii="宋体" w:hAnsi="宋体" w:eastAsia="宋体" w:cs="宋体"/>
                <w:color w:val="000000"/>
                <w:sz w:val="22"/>
              </w:rPr>
              <w:t>2080505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62.45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00" w:lineRule="exact"/>
              <w:jc w:val="left"/>
              <w:rPr>
                <w:rFonts w:ascii="宋体" w:hAnsi="宋体" w:eastAsia="宋体" w:cs="宋体"/>
                <w:color w:val="000000"/>
                <w:sz w:val="22"/>
              </w:rPr>
            </w:pPr>
            <w:r>
              <w:rPr>
                <w:rFonts w:hint="eastAsia" w:ascii="宋体" w:hAnsi="宋体" w:eastAsia="宋体" w:cs="宋体"/>
                <w:color w:val="000000"/>
                <w:sz w:val="22"/>
              </w:rPr>
              <w:t>2080506</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机关事业单位职业年金缴费支出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00" w:lineRule="exact"/>
              <w:jc w:val="left"/>
              <w:rPr>
                <w:rFonts w:ascii="宋体" w:hAnsi="宋体" w:eastAsia="宋体" w:cs="宋体"/>
                <w:color w:val="000000"/>
                <w:sz w:val="22"/>
              </w:rPr>
            </w:pPr>
            <w:r>
              <w:rPr>
                <w:rFonts w:hint="eastAsia" w:ascii="宋体" w:hAnsi="宋体" w:eastAsia="宋体" w:cs="宋体"/>
                <w:color w:val="000000"/>
                <w:sz w:val="22"/>
              </w:rPr>
              <w:t>20827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财政对其他社会保险基金的补助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00" w:lineRule="exact"/>
              <w:jc w:val="left"/>
              <w:rPr>
                <w:rFonts w:ascii="宋体" w:hAnsi="宋体" w:eastAsia="宋体" w:cs="宋体"/>
                <w:color w:val="000000"/>
                <w:sz w:val="22"/>
              </w:rPr>
            </w:pPr>
            <w:r>
              <w:rPr>
                <w:rFonts w:hint="eastAsia" w:ascii="宋体" w:hAnsi="宋体" w:eastAsia="宋体" w:cs="宋体"/>
                <w:color w:val="000000"/>
                <w:sz w:val="22"/>
              </w:rPr>
              <w:t>2082702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财政对工伤保险基金的补助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1.45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00" w:lineRule="exact"/>
              <w:jc w:val="left"/>
              <w:rPr>
                <w:rFonts w:ascii="宋体" w:hAnsi="宋体" w:eastAsia="宋体" w:cs="宋体"/>
                <w:color w:val="000000"/>
                <w:sz w:val="22"/>
              </w:rPr>
            </w:pPr>
            <w:r>
              <w:rPr>
                <w:rFonts w:hint="eastAsia" w:ascii="宋体" w:hAnsi="宋体" w:eastAsia="宋体" w:cs="宋体"/>
                <w:color w:val="000000"/>
                <w:sz w:val="22"/>
              </w:rPr>
              <w:t>2082703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00" w:lineRule="exact"/>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财政对生育保险基金的补助</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auto"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卫生健康支出</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single" w:color="auto" w:sz="4" w:space="0"/>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行政事业单位医疗</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0" w:type="auto"/>
            <w:tcBorders>
              <w:top w:val="single" w:color="auto" w:sz="4" w:space="0"/>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0" w:type="auto"/>
            <w:tcBorders>
              <w:top w:val="single" w:color="auto" w:sz="4" w:space="0"/>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left w:val="single" w:color="auto" w:sz="4" w:space="0"/>
              <w:bottom w:val="single" w:color="auto" w:sz="4" w:space="0"/>
              <w:right w:val="single" w:color="auto" w:sz="4" w:space="0"/>
            </w:tcBorders>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0" w:type="auto"/>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行政单位医疗</w:t>
            </w:r>
          </w:p>
        </w:tc>
        <w:tc>
          <w:tcPr>
            <w:tcW w:w="0" w:type="auto"/>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0" w:type="auto"/>
            <w:tcBorders>
              <w:top w:val="single" w:color="auto" w:sz="4" w:space="0"/>
              <w:left w:val="single" w:color="auto" w:sz="4" w:space="0"/>
              <w:bottom w:val="single" w:color="auto" w:sz="4" w:space="0"/>
              <w:right w:val="single" w:color="auto" w:sz="4" w:space="0"/>
            </w:tcBorders>
            <w:vAlign w:val="center"/>
          </w:tcPr>
          <w:p>
            <w:pPr>
              <w:jc w:val="right"/>
              <w:rPr>
                <w:rFonts w:ascii="宋体" w:hAnsi="宋体" w:eastAsia="宋体" w:cs="宋体"/>
                <w:color w:val="000000"/>
                <w:sz w:val="22"/>
              </w:rPr>
            </w:pPr>
            <w:r>
              <w:rPr>
                <w:rFonts w:hint="eastAsia" w:ascii="宋体" w:hAnsi="宋体" w:eastAsia="宋体" w:cs="宋体"/>
                <w:color w:val="000000"/>
                <w:sz w:val="22"/>
              </w:rPr>
              <w:t>24.59</w:t>
            </w:r>
          </w:p>
        </w:tc>
        <w:tc>
          <w:tcPr>
            <w:tcW w:w="0" w:type="auto"/>
            <w:tcBorders>
              <w:top w:val="single" w:color="auto" w:sz="4" w:space="0"/>
              <w:left w:val="single" w:color="auto" w:sz="4" w:space="0"/>
              <w:bottom w:val="single" w:color="auto" w:sz="4" w:space="0"/>
              <w:right w:val="single" w:color="auto" w:sz="4" w:space="0"/>
            </w:tcBorders>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0088" w:type="dxa"/>
            <w:gridSpan w:val="7"/>
            <w:tcBorders>
              <w:top w:val="single" w:color="auto" w:sz="4" w:space="0"/>
            </w:tcBorders>
            <w:vAlign w:val="center"/>
          </w:tcPr>
          <w:p>
            <w:pPr>
              <w:jc w:val="left"/>
              <w:rPr>
                <w:rFonts w:ascii="宋体" w:hAnsi="宋体" w:eastAsia="宋体" w:cs="宋体"/>
                <w:color w:val="000000"/>
                <w:sz w:val="22"/>
              </w:rPr>
            </w:pPr>
            <w:r>
              <w:rPr>
                <w:rFonts w:hint="eastAsia" w:ascii="宋体" w:hAnsi="宋体" w:cs="宋体"/>
                <w:color w:val="000000"/>
                <w:kern w:val="0"/>
                <w:szCs w:val="21"/>
              </w:rPr>
              <w:t xml:space="preserve">注：本表反映部门本年度一般公共预算财政拨款收入及支出情况。 </w:t>
            </w: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564"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71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无极县张段固镇人民政府</w:t>
            </w: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12"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577.11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432.46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193.00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63.05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147.52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9.22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22.32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84.62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31.96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11.96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26.90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0.64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16.77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79.44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16.80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261.92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0.19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10.22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63.20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251.70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11.71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108.79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10.81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1.13</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20.46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81.00</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839.02</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432.46</w:t>
            </w:r>
          </w:p>
        </w:tc>
      </w:tr>
    </w:tbl>
    <w:p>
      <w:pPr>
        <w:jc w:val="left"/>
      </w:pPr>
      <w:r>
        <w:rPr>
          <w:rFonts w:hint="eastAsia" w:ascii="宋体" w:hAnsi="宋体" w:cs="宋体"/>
          <w:color w:val="000000"/>
          <w:kern w:val="0"/>
          <w:sz w:val="20"/>
          <w:szCs w:val="20"/>
        </w:rPr>
        <w:t>注：本表反映部门本年度一般公共预算财政拨款基本支出明细情况。</w:t>
      </w:r>
      <w:r>
        <w:br w:type="page"/>
      </w:r>
    </w:p>
    <w:tbl>
      <w:tblPr>
        <w:tblStyle w:val="7"/>
        <w:tblW w:w="9220" w:type="dxa"/>
        <w:jc w:val="center"/>
        <w:tblLayout w:type="autofit"/>
        <w:tblCellMar>
          <w:top w:w="0" w:type="dxa"/>
          <w:left w:w="0" w:type="dxa"/>
          <w:bottom w:w="0" w:type="dxa"/>
          <w:right w:w="0" w:type="dxa"/>
        </w:tblCellMar>
      </w:tblPr>
      <w:tblGrid>
        <w:gridCol w:w="2830"/>
        <w:gridCol w:w="1535"/>
        <w:gridCol w:w="1194"/>
        <w:gridCol w:w="895"/>
        <w:gridCol w:w="1194"/>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r>
              <w:rPr>
                <w:rFonts w:hint="eastAsia" w:ascii="Arial" w:hAnsi="Arial" w:cs="Arial"/>
                <w:color w:val="000000"/>
                <w:sz w:val="20"/>
                <w:szCs w:val="20"/>
              </w:rPr>
              <w:t>无极县张段固镇人民政府</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3.00</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r>
              <w:rPr>
                <w:rFonts w:hint="eastAsia" w:ascii="宋体" w:hAnsi="宋体" w:eastAsia="宋体" w:cs="宋体"/>
                <w:color w:val="000000"/>
                <w:sz w:val="22"/>
              </w:rPr>
              <w:t>3.00</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1.13</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827" w:type="dxa"/>
        <w:jc w:val="center"/>
        <w:tblLayout w:type="fixed"/>
        <w:tblCellMar>
          <w:top w:w="0" w:type="dxa"/>
          <w:left w:w="0" w:type="dxa"/>
          <w:bottom w:w="0" w:type="dxa"/>
          <w:right w:w="0" w:type="dxa"/>
        </w:tblCellMar>
      </w:tblPr>
      <w:tblGrid>
        <w:gridCol w:w="687"/>
        <w:gridCol w:w="50"/>
        <w:gridCol w:w="50"/>
        <w:gridCol w:w="1777"/>
        <w:gridCol w:w="1609"/>
        <w:gridCol w:w="1546"/>
        <w:gridCol w:w="1297"/>
        <w:gridCol w:w="1147"/>
        <w:gridCol w:w="1119"/>
        <w:gridCol w:w="545"/>
      </w:tblGrid>
      <w:tr>
        <w:tblPrEx>
          <w:tblCellMar>
            <w:top w:w="0" w:type="dxa"/>
            <w:left w:w="0" w:type="dxa"/>
            <w:bottom w:w="0" w:type="dxa"/>
            <w:right w:w="0" w:type="dxa"/>
          </w:tblCellMar>
        </w:tblPrEx>
        <w:trPr>
          <w:trHeight w:val="780" w:hRule="atLeast"/>
          <w:jc w:val="center"/>
        </w:trPr>
        <w:tc>
          <w:tcPr>
            <w:tcW w:w="9827"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302" w:hRule="atLeast"/>
          <w:jc w:val="center"/>
        </w:trPr>
        <w:tc>
          <w:tcPr>
            <w:tcW w:w="68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8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1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6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687"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9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r>
              <w:rPr>
                <w:rFonts w:hint="eastAsia" w:ascii="Arial" w:hAnsi="Arial" w:cs="Arial"/>
                <w:color w:val="000000"/>
                <w:sz w:val="20"/>
                <w:szCs w:val="20"/>
              </w:rPr>
              <w:t>无极县张段固镇人民政府</w:t>
            </w:r>
          </w:p>
        </w:tc>
        <w:tc>
          <w:tcPr>
            <w:tcW w:w="15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6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546"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61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5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572"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54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76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781"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6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2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5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76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8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76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8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2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54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54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1.68</w:t>
            </w:r>
          </w:p>
        </w:tc>
        <w:tc>
          <w:tcPr>
            <w:tcW w:w="1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1.68</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1.68</w:t>
            </w: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76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eastAsia="宋体" w:cs="宋体"/>
                <w:color w:val="000000"/>
                <w:szCs w:val="21"/>
              </w:rPr>
            </w:pPr>
            <w:r>
              <w:rPr>
                <w:rFonts w:hint="eastAsia" w:ascii="宋体" w:hAnsi="宋体" w:cs="宋体"/>
                <w:color w:val="000000"/>
                <w:szCs w:val="21"/>
              </w:rPr>
              <w:t>212</w:t>
            </w:r>
          </w:p>
        </w:tc>
        <w:tc>
          <w:tcPr>
            <w:tcW w:w="1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textAlignment w:val="center"/>
              <w:rPr>
                <w:rFonts w:ascii="宋体" w:hAnsi="宋体" w:cs="宋体"/>
                <w:color w:val="000000"/>
                <w:kern w:val="0"/>
                <w:szCs w:val="21"/>
              </w:rPr>
            </w:pPr>
            <w:r>
              <w:rPr>
                <w:rFonts w:hint="eastAsia" w:ascii="宋体" w:hAnsi="宋体" w:cs="宋体"/>
                <w:color w:val="000000"/>
                <w:kern w:val="0"/>
                <w:szCs w:val="21"/>
              </w:rPr>
              <w:t>城乡社区支出</w:t>
            </w:r>
          </w:p>
        </w:tc>
        <w:tc>
          <w:tcPr>
            <w:tcW w:w="1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eastAsia="宋体" w:cs="宋体"/>
                <w:color w:val="000000"/>
                <w:szCs w:val="21"/>
              </w:rPr>
            </w:pPr>
            <w:r>
              <w:rPr>
                <w:rFonts w:hint="eastAsia" w:ascii="宋体" w:hAnsi="宋体" w:cs="宋体"/>
                <w:color w:val="000000"/>
                <w:szCs w:val="21"/>
              </w:rPr>
              <w:t>1.68</w:t>
            </w:r>
          </w:p>
        </w:tc>
        <w:tc>
          <w:tcPr>
            <w:tcW w:w="1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r>
              <w:rPr>
                <w:rFonts w:hint="eastAsia" w:ascii="宋体" w:hAnsi="宋体" w:cs="宋体"/>
                <w:color w:val="000000"/>
                <w:szCs w:val="21"/>
              </w:rPr>
              <w:t>1.68</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r>
              <w:rPr>
                <w:rFonts w:hint="eastAsia" w:ascii="宋体" w:hAnsi="宋体" w:cs="宋体"/>
                <w:color w:val="000000"/>
                <w:szCs w:val="21"/>
              </w:rPr>
              <w:t>1.68</w:t>
            </w: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2430" w:hRule="atLeast"/>
          <w:jc w:val="center"/>
        </w:trPr>
        <w:tc>
          <w:tcPr>
            <w:tcW w:w="76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eastAsia="宋体" w:cs="宋体"/>
                <w:color w:val="000000"/>
                <w:szCs w:val="21"/>
              </w:rPr>
            </w:pPr>
            <w:r>
              <w:rPr>
                <w:rFonts w:hint="eastAsia" w:ascii="宋体" w:hAnsi="宋体" w:cs="宋体"/>
                <w:color w:val="000000"/>
                <w:szCs w:val="21"/>
              </w:rPr>
              <w:t>21208</w:t>
            </w:r>
          </w:p>
        </w:tc>
        <w:tc>
          <w:tcPr>
            <w:tcW w:w="1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textAlignment w:val="center"/>
              <w:rPr>
                <w:rFonts w:ascii="宋体" w:hAnsi="宋体" w:cs="宋体"/>
                <w:color w:val="000000"/>
                <w:kern w:val="0"/>
                <w:szCs w:val="21"/>
              </w:rPr>
            </w:pPr>
            <w:r>
              <w:rPr>
                <w:rFonts w:hint="eastAsia" w:ascii="宋体" w:hAnsi="宋体" w:cs="宋体"/>
                <w:color w:val="000000"/>
                <w:kern w:val="0"/>
                <w:szCs w:val="21"/>
              </w:rPr>
              <w:t>国有土地使用权出让收入及对应专项债务收入安排的支出</w:t>
            </w:r>
          </w:p>
        </w:tc>
        <w:tc>
          <w:tcPr>
            <w:tcW w:w="1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eastAsia="宋体" w:cs="宋体"/>
                <w:color w:val="000000"/>
                <w:szCs w:val="21"/>
              </w:rPr>
            </w:pPr>
            <w:r>
              <w:rPr>
                <w:rFonts w:hint="eastAsia" w:ascii="宋体" w:hAnsi="宋体" w:cs="宋体"/>
                <w:color w:val="000000"/>
                <w:szCs w:val="21"/>
              </w:rPr>
              <w:t>1.68</w:t>
            </w:r>
          </w:p>
        </w:tc>
        <w:tc>
          <w:tcPr>
            <w:tcW w:w="1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r>
              <w:rPr>
                <w:rFonts w:hint="eastAsia" w:ascii="宋体" w:hAnsi="宋体" w:cs="宋体"/>
                <w:color w:val="000000"/>
                <w:szCs w:val="21"/>
              </w:rPr>
              <w:t>1.68</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r>
              <w:rPr>
                <w:rFonts w:hint="eastAsia" w:ascii="宋体" w:hAnsi="宋体" w:cs="宋体"/>
                <w:color w:val="000000"/>
                <w:szCs w:val="21"/>
              </w:rPr>
              <w:t>1.68</w:t>
            </w: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76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rPr>
                <w:rFonts w:ascii="宋体" w:hAnsi="宋体" w:eastAsia="宋体" w:cs="宋体"/>
                <w:color w:val="000000"/>
                <w:szCs w:val="21"/>
              </w:rPr>
            </w:pPr>
            <w:r>
              <w:rPr>
                <w:rFonts w:hint="eastAsia" w:ascii="宋体" w:hAnsi="宋体" w:cs="宋体"/>
                <w:color w:val="000000"/>
                <w:szCs w:val="21"/>
              </w:rPr>
              <w:t>2120801</w:t>
            </w:r>
          </w:p>
        </w:tc>
        <w:tc>
          <w:tcPr>
            <w:tcW w:w="1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left"/>
              <w:textAlignment w:val="center"/>
              <w:rPr>
                <w:rFonts w:ascii="宋体" w:hAnsi="宋体" w:cs="宋体"/>
                <w:color w:val="000000"/>
                <w:kern w:val="0"/>
                <w:szCs w:val="21"/>
              </w:rPr>
            </w:pPr>
            <w:r>
              <w:rPr>
                <w:rFonts w:hint="eastAsia" w:ascii="宋体" w:hAnsi="宋体" w:cs="宋体"/>
                <w:color w:val="000000"/>
                <w:kern w:val="0"/>
                <w:szCs w:val="21"/>
              </w:rPr>
              <w:t xml:space="preserve">  征地和拆迁补偿支出</w:t>
            </w:r>
          </w:p>
        </w:tc>
        <w:tc>
          <w:tcPr>
            <w:tcW w:w="1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eastAsia="宋体" w:cs="宋体"/>
                <w:color w:val="000000"/>
                <w:szCs w:val="21"/>
              </w:rPr>
            </w:pPr>
            <w:r>
              <w:rPr>
                <w:rFonts w:hint="eastAsia" w:ascii="宋体" w:hAnsi="宋体" w:cs="宋体"/>
                <w:color w:val="000000"/>
                <w:szCs w:val="21"/>
              </w:rPr>
              <w:t>1.68</w:t>
            </w:r>
          </w:p>
        </w:tc>
        <w:tc>
          <w:tcPr>
            <w:tcW w:w="1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r>
              <w:rPr>
                <w:rFonts w:hint="eastAsia" w:ascii="宋体" w:hAnsi="宋体" w:cs="宋体"/>
                <w:color w:val="000000"/>
                <w:szCs w:val="21"/>
              </w:rPr>
              <w:t>1.68</w:t>
            </w: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p>
        </w:tc>
        <w:tc>
          <w:tcPr>
            <w:tcW w:w="11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jc w:val="right"/>
              <w:rPr>
                <w:rFonts w:ascii="宋体" w:hAnsi="宋体" w:cs="宋体"/>
                <w:color w:val="000000"/>
                <w:szCs w:val="21"/>
              </w:rPr>
            </w:pPr>
            <w:r>
              <w:rPr>
                <w:rFonts w:hint="eastAsia" w:ascii="宋体" w:hAnsi="宋体" w:cs="宋体"/>
                <w:color w:val="000000"/>
                <w:szCs w:val="21"/>
              </w:rPr>
              <w:t>1.68</w:t>
            </w: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76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76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78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1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3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2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cs="宋体"/>
          <w:color w:val="000000"/>
          <w:kern w:val="0"/>
          <w:szCs w:val="21"/>
        </w:rPr>
        <w:t>注：本表反映部门本年度政府性基金预算财政拨款收入、支出及结转和结余情况。</w:t>
      </w:r>
      <w:r>
        <w:br w:type="page"/>
      </w:r>
    </w:p>
    <w:tbl>
      <w:tblPr>
        <w:tblStyle w:val="7"/>
        <w:tblW w:w="9915" w:type="dxa"/>
        <w:jc w:val="center"/>
        <w:tblLayout w:type="autofit"/>
        <w:tblCellMar>
          <w:top w:w="0" w:type="dxa"/>
          <w:left w:w="0" w:type="dxa"/>
          <w:bottom w:w="0" w:type="dxa"/>
          <w:right w:w="0" w:type="dxa"/>
        </w:tblCellMar>
      </w:tblPr>
      <w:tblGrid>
        <w:gridCol w:w="406"/>
        <w:gridCol w:w="882"/>
        <w:gridCol w:w="74"/>
        <w:gridCol w:w="74"/>
        <w:gridCol w:w="3798"/>
        <w:gridCol w:w="961"/>
        <w:gridCol w:w="1860"/>
        <w:gridCol w:w="1151"/>
        <w:gridCol w:w="709"/>
      </w:tblGrid>
      <w:tr>
        <w:tblPrEx>
          <w:tblCellMar>
            <w:top w:w="0" w:type="dxa"/>
            <w:left w:w="0" w:type="dxa"/>
            <w:bottom w:w="0" w:type="dxa"/>
            <w:right w:w="0" w:type="dxa"/>
          </w:tblCellMar>
        </w:tblPrEx>
        <w:trPr>
          <w:trHeight w:val="840" w:hRule="atLeast"/>
          <w:jc w:val="center"/>
        </w:trPr>
        <w:tc>
          <w:tcPr>
            <w:tcW w:w="9915" w:type="dxa"/>
            <w:gridSpan w:val="9"/>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28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2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4"/>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8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86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Before w:val="1"/>
          <w:gridAfter w:val="1"/>
          <w:wBefore w:w="406" w:type="dxa"/>
          <w:wAfter w:w="709" w:type="dxa"/>
          <w:trHeight w:val="358" w:hRule="atLeast"/>
          <w:jc w:val="center"/>
        </w:trPr>
        <w:tc>
          <w:tcPr>
            <w:tcW w:w="8800" w:type="dxa"/>
            <w:gridSpan w:val="7"/>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cs="宋体"/>
                <w:color w:val="000000"/>
                <w:sz w:val="22"/>
              </w:rPr>
            </w:pPr>
            <w:r>
              <w:rPr>
                <w:rFonts w:hint="eastAsia" w:ascii="宋体" w:hAnsi="宋体" w:cs="宋体"/>
                <w:color w:val="000000"/>
                <w:kern w:val="0"/>
                <w:sz w:val="22"/>
              </w:rPr>
              <w:t>注：1.本表反映部门本年度国有资本经营预算财政拨款支出情况。</w:t>
            </w:r>
          </w:p>
        </w:tc>
      </w:tr>
    </w:tbl>
    <w:p>
      <w:pPr>
        <w:numPr>
          <w:ilvl w:val="0"/>
          <w:numId w:val="4"/>
        </w:numPr>
        <w:ind w:firstLine="440" w:firstLineChars="200"/>
      </w:pPr>
      <w:r>
        <w:rPr>
          <w:rFonts w:hint="eastAsia" w:ascii="宋体" w:hAnsi="宋体" w:cs="宋体"/>
          <w:color w:val="000000"/>
          <w:kern w:val="0"/>
          <w:sz w:val="22"/>
        </w:rPr>
        <w:t>本部门本年度无相关支出情况，按要求空表列示。</w:t>
      </w:r>
    </w:p>
    <w:p/>
    <w:p/>
    <w:p/>
    <w:p/>
    <w:p/>
    <w:p/>
    <w:p/>
    <w:p/>
    <w:p/>
    <w:p/>
    <w:p/>
    <w:p/>
    <w:p/>
    <w:p/>
    <w:p/>
    <w:p/>
    <w:p/>
    <w:p/>
    <w:p/>
    <w:p/>
    <w:p/>
    <w:p/>
    <w:p/>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- 35 -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- 24 -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v:shape id="_x0000_s2107" o:spid="_x0000_s2107"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v:rect id="矩形 2" o:spid="_x0000_s2104"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v:rect id="矩形 2" o:spid="_x0000_s2076"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v:shape id="_x0000_s2072" o:spid="_x0000_s2072"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v:shape id="_x0000_s2084" o:spid="_x0000_s2084"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v:rect id="矩形 2" o:spid="_x0000_s2081"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v:rect id="矩形 2" o:spid="_x0000_s2068"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_x0000_s2064" o:spid="_x0000_s2064"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5888;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v:rect id="矩形 2" o:spid="_x0000_s2099" o:spt="1" style="position:absolute;left:881;top:1538;height:146;width:11925;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77;top:686;height:862;width:2619;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67;top:505;height:1108;width:2345;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7667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v:shape id="_x0000_s2095" o:spid="_x0000_s2095"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6950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v:shape id="_x0000_s2091" o:spid="_x0000_s2091"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v:rect id="矩形 2" o:spid="_x0000_s2088"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lvl>
  </w:abstractNum>
  <w:abstractNum w:abstractNumId="3">
    <w:nsid w:val="6B6CC601"/>
    <w:multiLevelType w:val="singleLevel"/>
    <w:tmpl w:val="6B6CC601"/>
    <w:lvl w:ilvl="0" w:tentative="0">
      <w:start w:val="2"/>
      <w:numFmt w:val="decimal"/>
      <w:lvlText w:val="%1."/>
      <w:lvlJc w:val="left"/>
      <w:pPr>
        <w:tabs>
          <w:tab w:val="left" w:pos="312"/>
        </w:tabs>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6276E"/>
    <w:rsid w:val="0007063E"/>
    <w:rsid w:val="00073392"/>
    <w:rsid w:val="00073F4E"/>
    <w:rsid w:val="00086C89"/>
    <w:rsid w:val="000A39FB"/>
    <w:rsid w:val="000A4F85"/>
    <w:rsid w:val="000D1BB4"/>
    <w:rsid w:val="00117746"/>
    <w:rsid w:val="00163F95"/>
    <w:rsid w:val="00180A9A"/>
    <w:rsid w:val="001829C0"/>
    <w:rsid w:val="00184809"/>
    <w:rsid w:val="00192112"/>
    <w:rsid w:val="001B0127"/>
    <w:rsid w:val="001C12D5"/>
    <w:rsid w:val="001C69F7"/>
    <w:rsid w:val="001D6F97"/>
    <w:rsid w:val="002650EC"/>
    <w:rsid w:val="0027421B"/>
    <w:rsid w:val="002A1F4B"/>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064C3"/>
    <w:rsid w:val="008163FB"/>
    <w:rsid w:val="0082605B"/>
    <w:rsid w:val="00834A71"/>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04841"/>
    <w:rsid w:val="00D1570F"/>
    <w:rsid w:val="00D32830"/>
    <w:rsid w:val="00D77B99"/>
    <w:rsid w:val="00DB7153"/>
    <w:rsid w:val="00DB7F05"/>
    <w:rsid w:val="00DE2332"/>
    <w:rsid w:val="00E028C3"/>
    <w:rsid w:val="00E04EF1"/>
    <w:rsid w:val="00E14F77"/>
    <w:rsid w:val="00E3076B"/>
    <w:rsid w:val="00E36978"/>
    <w:rsid w:val="00E82A1E"/>
    <w:rsid w:val="00EA05EC"/>
    <w:rsid w:val="00EC06F4"/>
    <w:rsid w:val="00EE4E36"/>
    <w:rsid w:val="00F665F4"/>
    <w:rsid w:val="00FD225F"/>
    <w:rsid w:val="013D094A"/>
    <w:rsid w:val="0146642A"/>
    <w:rsid w:val="01892036"/>
    <w:rsid w:val="01B46366"/>
    <w:rsid w:val="05B00A30"/>
    <w:rsid w:val="06571FBC"/>
    <w:rsid w:val="073C2BA0"/>
    <w:rsid w:val="076E7AE6"/>
    <w:rsid w:val="07FC1CA7"/>
    <w:rsid w:val="07FF6AB5"/>
    <w:rsid w:val="090A3E8E"/>
    <w:rsid w:val="0A005A87"/>
    <w:rsid w:val="0A452D63"/>
    <w:rsid w:val="0A8422A5"/>
    <w:rsid w:val="0AA3301B"/>
    <w:rsid w:val="0AF061F1"/>
    <w:rsid w:val="0B011416"/>
    <w:rsid w:val="0C036DDA"/>
    <w:rsid w:val="0D16312F"/>
    <w:rsid w:val="0D5C32AE"/>
    <w:rsid w:val="0EAF6AA4"/>
    <w:rsid w:val="10D9124D"/>
    <w:rsid w:val="155D5C32"/>
    <w:rsid w:val="15DC64D5"/>
    <w:rsid w:val="17F838A1"/>
    <w:rsid w:val="193109DA"/>
    <w:rsid w:val="19FD2A7B"/>
    <w:rsid w:val="1FA34245"/>
    <w:rsid w:val="1FB52F80"/>
    <w:rsid w:val="227071CE"/>
    <w:rsid w:val="22E57FA6"/>
    <w:rsid w:val="255F3C9E"/>
    <w:rsid w:val="25A6624B"/>
    <w:rsid w:val="270D1474"/>
    <w:rsid w:val="28184672"/>
    <w:rsid w:val="2FDA0BEB"/>
    <w:rsid w:val="30A93739"/>
    <w:rsid w:val="30CB18FF"/>
    <w:rsid w:val="310018E9"/>
    <w:rsid w:val="31C2036A"/>
    <w:rsid w:val="320D02A5"/>
    <w:rsid w:val="33E7196D"/>
    <w:rsid w:val="342B5ED3"/>
    <w:rsid w:val="348E566F"/>
    <w:rsid w:val="34CC1A13"/>
    <w:rsid w:val="362D1753"/>
    <w:rsid w:val="363244A6"/>
    <w:rsid w:val="37312CFA"/>
    <w:rsid w:val="37A22B9B"/>
    <w:rsid w:val="37DA1507"/>
    <w:rsid w:val="37E20AB8"/>
    <w:rsid w:val="387426AB"/>
    <w:rsid w:val="3A226944"/>
    <w:rsid w:val="3AA95C78"/>
    <w:rsid w:val="3AB15DCA"/>
    <w:rsid w:val="3AEE6A48"/>
    <w:rsid w:val="3AEF0E76"/>
    <w:rsid w:val="3B1C0F7D"/>
    <w:rsid w:val="3B2C7FFA"/>
    <w:rsid w:val="3B82758C"/>
    <w:rsid w:val="3C1620AA"/>
    <w:rsid w:val="3C5970E1"/>
    <w:rsid w:val="3CC00968"/>
    <w:rsid w:val="3D13615F"/>
    <w:rsid w:val="3D8F080F"/>
    <w:rsid w:val="415E2F8D"/>
    <w:rsid w:val="41AB68FC"/>
    <w:rsid w:val="44166E76"/>
    <w:rsid w:val="44CE1FA4"/>
    <w:rsid w:val="45E17303"/>
    <w:rsid w:val="46AF2E21"/>
    <w:rsid w:val="473C0B67"/>
    <w:rsid w:val="487F73ED"/>
    <w:rsid w:val="49E5770D"/>
    <w:rsid w:val="4A347EAE"/>
    <w:rsid w:val="4A4C1637"/>
    <w:rsid w:val="4AD45F37"/>
    <w:rsid w:val="4B063347"/>
    <w:rsid w:val="4B355E80"/>
    <w:rsid w:val="4B670136"/>
    <w:rsid w:val="4CA22029"/>
    <w:rsid w:val="4F8E79A1"/>
    <w:rsid w:val="5017326F"/>
    <w:rsid w:val="505926BA"/>
    <w:rsid w:val="50BA4CB6"/>
    <w:rsid w:val="51ED642D"/>
    <w:rsid w:val="52600405"/>
    <w:rsid w:val="529B4319"/>
    <w:rsid w:val="543D1192"/>
    <w:rsid w:val="54942F96"/>
    <w:rsid w:val="554E6325"/>
    <w:rsid w:val="560D233B"/>
    <w:rsid w:val="567E0C95"/>
    <w:rsid w:val="571A7456"/>
    <w:rsid w:val="57773DD6"/>
    <w:rsid w:val="578B79AB"/>
    <w:rsid w:val="598D5F4F"/>
    <w:rsid w:val="59D03DF7"/>
    <w:rsid w:val="5A1D193D"/>
    <w:rsid w:val="5A2862C7"/>
    <w:rsid w:val="5AEB23D4"/>
    <w:rsid w:val="5B8B6D24"/>
    <w:rsid w:val="5CCD3FD5"/>
    <w:rsid w:val="5E0E28DB"/>
    <w:rsid w:val="5E2A582A"/>
    <w:rsid w:val="5E817003"/>
    <w:rsid w:val="5EE9709B"/>
    <w:rsid w:val="5F61208D"/>
    <w:rsid w:val="5FFA7FB8"/>
    <w:rsid w:val="60DB167F"/>
    <w:rsid w:val="61FA5F9D"/>
    <w:rsid w:val="628D5465"/>
    <w:rsid w:val="62AA1F4F"/>
    <w:rsid w:val="62B9430D"/>
    <w:rsid w:val="64CD6910"/>
    <w:rsid w:val="65D7739D"/>
    <w:rsid w:val="65FB174B"/>
    <w:rsid w:val="67161C5D"/>
    <w:rsid w:val="6789158D"/>
    <w:rsid w:val="67D81BA4"/>
    <w:rsid w:val="68DF5061"/>
    <w:rsid w:val="6A1F3219"/>
    <w:rsid w:val="6AAF1C96"/>
    <w:rsid w:val="6F4F76AF"/>
    <w:rsid w:val="6F87342E"/>
    <w:rsid w:val="70A72609"/>
    <w:rsid w:val="710F1E4E"/>
    <w:rsid w:val="73C02C8C"/>
    <w:rsid w:val="75681757"/>
    <w:rsid w:val="75A346A8"/>
    <w:rsid w:val="75B05B22"/>
    <w:rsid w:val="769E3638"/>
    <w:rsid w:val="77B16CA7"/>
    <w:rsid w:val="78511493"/>
    <w:rsid w:val="78BA6E7E"/>
    <w:rsid w:val="79B9382C"/>
    <w:rsid w:val="7A6A1124"/>
    <w:rsid w:val="7B043B76"/>
    <w:rsid w:val="7B1751D6"/>
    <w:rsid w:val="7B4F4696"/>
    <w:rsid w:val="7BDE2BCD"/>
    <w:rsid w:val="7C041A6A"/>
    <w:rsid w:val="7CE825F5"/>
    <w:rsid w:val="7E2A19D4"/>
    <w:rsid w:val="7E327570"/>
    <w:rsid w:val="7E850D9C"/>
    <w:rsid w:val="7E8D242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2" Type="http://schemas.openxmlformats.org/officeDocument/2006/relationships/fontTable" Target="fontTable.xml"/><Relationship Id="rId41" Type="http://schemas.openxmlformats.org/officeDocument/2006/relationships/customXml" Target="../customXml/item2.xml"/><Relationship Id="rId40" Type="http://schemas.openxmlformats.org/officeDocument/2006/relationships/numbering" Target="numbering.xml"/><Relationship Id="rId4" Type="http://schemas.openxmlformats.org/officeDocument/2006/relationships/header" Target="header2.xml"/><Relationship Id="rId39" Type="http://schemas.openxmlformats.org/officeDocument/2006/relationships/customXml" Target="../customXml/item1.xml"/><Relationship Id="rId38" Type="http://schemas.openxmlformats.org/officeDocument/2006/relationships/chart" Target="charts/chart2.xml"/><Relationship Id="rId37" Type="http://schemas.openxmlformats.org/officeDocument/2006/relationships/image" Target="media/image7.png"/><Relationship Id="rId36" Type="http://schemas.openxmlformats.org/officeDocument/2006/relationships/image" Target="media/image6.png"/><Relationship Id="rId35" Type="http://schemas.openxmlformats.org/officeDocument/2006/relationships/image" Target="media/image5.png"/><Relationship Id="rId34" Type="http://schemas.openxmlformats.org/officeDocument/2006/relationships/chart" Target="charts/chart1.xml"/><Relationship Id="rId33" Type="http://schemas.openxmlformats.org/officeDocument/2006/relationships/image" Target="media/image4.png"/><Relationship Id="rId32" Type="http://schemas.openxmlformats.org/officeDocument/2006/relationships/image" Target="media/image3.png"/><Relationship Id="rId31" Type="http://schemas.openxmlformats.org/officeDocument/2006/relationships/image" Target="media/image2.GIF"/><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hp\Desktop\&#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esktop\2019&#24180;&#20915;&#31639;&#20844;&#24320;\&#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9"/>
          <c:w val="0.811370238156239"/>
          <c:h val="0.765547851294708"/>
        </c:manualLayout>
      </c:layout>
      <c:pieChart>
        <c:varyColors val="1"/>
        <c:ser>
          <c:idx val="0"/>
          <c:order val="0"/>
          <c:explosion val="0"/>
          <c:dPt>
            <c:idx val="0"/>
            <c:bubble3D val="0"/>
            <c:explosion val="14"/>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7044.37</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5"/>
              <c:layout>
                <c:manualLayout>
                  <c:x val="-0.0555987319766847"/>
                  <c:y val="0.264818825495639"/>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200371057513915"/>
                      <c:h val="0.20958198129414"/>
                    </c:manualLayout>
                  </c15:layout>
                </c:ext>
              </c:extLst>
            </c:dLbl>
            <c:dLbl>
              <c:idx val="6"/>
              <c:delete val="1"/>
            </c:dLbl>
            <c:dLbl>
              <c:idx val="7"/>
              <c:layout>
                <c:manualLayout>
                  <c:x val="-0.0644258521488154"/>
                  <c:y val="0.034357701851498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8"/>
              <c:layout>
                <c:manualLayout>
                  <c:x val="0.0435516757065849"/>
                  <c:y val="0.0635410075553879"/>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manualLayout>
                      <c:w val="0.164590511529287"/>
                      <c:h val="0.173124642107272"/>
                    </c:manualLayout>
                  </c15:layout>
                </c:ext>
              </c:extLst>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卫生健康支出</c:v>
                </c:pt>
                <c:pt idx="8">
                  <c:v>城乡社区支出</c:v>
                </c:pt>
                <c:pt idx="9">
                  <c:v>农林水支出</c:v>
                </c:pt>
                <c:pt idx="10">
                  <c:v>交通运输支出</c:v>
                </c:pt>
                <c:pt idx="11">
                  <c:v>资源勘探信息等支出</c:v>
                </c:pt>
                <c:pt idx="12">
                  <c:v>商业服务业等支出</c:v>
                </c:pt>
                <c:pt idx="13">
                  <c:v>国土海洋气象等支出</c:v>
                </c:pt>
                <c:pt idx="14">
                  <c:v>卫生健康支出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3641.56</c:v>
                </c:pt>
                <c:pt idx="5">
                  <c:v>76.54</c:v>
                </c:pt>
                <c:pt idx="7">
                  <c:v>24.59</c:v>
                </c:pt>
                <c:pt idx="8">
                  <c:v>1.68</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41</Pages>
  <Words>2233</Words>
  <Characters>12729</Characters>
  <Lines>106</Lines>
  <Paragraphs>29</Paragraphs>
  <TotalTime>7</TotalTime>
  <ScaleCrop>false</ScaleCrop>
  <LinksUpToDate>false</LinksUpToDate>
  <CharactersWithSpaces>14933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2020-09-04T08:12:00Z</cp:lastPrinted>
  <dcterms:modified xsi:type="dcterms:W3CDTF">2024-06-20T12:45:35Z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0FC664B548CD48DC8735C88C10B439A1</vt:lpwstr>
  </property>
</Properties>
</file>