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w:pict>
          <v:group id="_x0000_s1034" o:spid="_x0000_s1034" o:spt="203" style="position:absolute;left:0pt;margin-left:-3.75pt;margin-top:-63.65pt;height:69.6pt;width:600.25pt;z-index:-25164902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group id="_x0000_s1037" o:spid="_x0000_s1037" o:spt="203" style="position:absolute;left:0pt;margin-left:1.25pt;margin-top:821.7pt;height:21.45pt;width:595.25pt;z-index:251662336;mso-width-relative:page;mso-height-relative:page;"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33"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pict>
          <v:rect id="矩形 14" o:spid="_x0000_s1041" o:spt="1" style="position:absolute;left:0pt;margin-left:-35.25pt;margin-top:64.95pt;height:85.2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8.9pt;margin-top:53.3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shape id="椭圆 8" o:spid="_x0000_s1042" o:spt="3" type="#_x0000_t3" style="position:absolute;left:0pt;margin-left:-19.05pt;margin-top:40.75pt;height:128.25pt;width:121.95pt;z-index:251661312;v-text-anchor:middle;mso-width-relative:page;mso-height-relative:page;"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focussize="0,0"/>
            <v:stroke on="f" weight="1pt" joinstyle="miter"/>
            <v:imagedata o:title=""/>
            <o:lock v:ext="edit"/>
            <v:textbox>
              <w:txbxContent>
                <w:p>
                  <w:pPr>
                    <w:jc w:val="center"/>
                  </w:pPr>
                </w:p>
              </w:txbxContent>
            </v:textbox>
          </v:shape>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中国共产党无极县纪律检查委员会</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1、协助同级党的委员会组织协调党内监督工作，组织开展对党内监督工作的督促检查；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2、对党员领导干部履行职责和行使权力情况进行监督；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3、检查和处理党的组织和党员违反党的章程和其他党内法规的比较重要或复杂的案件；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4、向同级党委和上一级纪委报告党内监督工作情况，提出建议，依照权限组织起草、制定有关规定和制度，作出关于维护党纪的决定；</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5、受理对党组织和党员违反党纪行为的检举和党员的控告、申诉，保障党员的权利。</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年度本部门决算汇编范围的独立核算单位（以下简称“单位”）共1个，具体情况如下：</w:t>
      </w:r>
    </w:p>
    <w:tbl>
      <w:tblPr>
        <w:tblStyle w:val="7"/>
        <w:tblpPr w:leftFromText="180" w:rightFromText="180" w:vertAnchor="text" w:horzAnchor="page" w:tblpXSpec="center" w:tblpY="10"/>
        <w:tblOverlap w:val="never"/>
        <w:tblW w:w="90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2572"/>
        <w:gridCol w:w="2156"/>
        <w:gridCol w:w="3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27"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2572"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156"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3578"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27"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2572" w:type="dxa"/>
          </w:tcPr>
          <w:p>
            <w:pPr>
              <w:spacing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中共无极县纪委</w:t>
            </w:r>
          </w:p>
        </w:tc>
        <w:tc>
          <w:tcPr>
            <w:tcW w:w="2156"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3578"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w:t>
            </w:r>
            <w:r>
              <w:rPr>
                <w:rFonts w:hint="eastAsia" w:ascii="仿宋_GB2312" w:hAnsi="Cambria" w:eastAsia="仿宋_GB2312" w:cs="ArialUnicodeMS"/>
                <w:kern w:val="0"/>
                <w:sz w:val="28"/>
                <w:szCs w:val="28"/>
                <w:lang w:val="en-US" w:eastAsia="zh-CN"/>
              </w:rPr>
              <w:t>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本部门2019年度收支总计（含结转和结余）876.67万元。与2018年度决算相比，收支各增加310.18万元，增长57.75%，主要原因是人员人增加、行政事务繁重造成</w:t>
      </w:r>
      <w:r>
        <w:rPr>
          <w:rFonts w:hint="eastAsia" w:ascii="仿宋_GB2312" w:eastAsia="仿宋_GB2312" w:cs="DengXian-Regular"/>
          <w:sz w:val="32"/>
          <w:szCs w:val="32"/>
        </w:rPr>
        <w:t>行政运行费用的增加。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本部门2019年度本年收入合计876.48万元，其中：财政拨款收入876.48万元。如图所示：</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3056" behindDoc="0" locked="0" layoutInCell="1" allowOverlap="1">
            <wp:simplePos x="0" y="0"/>
            <wp:positionH relativeFrom="column">
              <wp:posOffset>-47625</wp:posOffset>
            </wp:positionH>
            <wp:positionV relativeFrom="paragraph">
              <wp:posOffset>177165</wp:posOffset>
            </wp:positionV>
            <wp:extent cx="5486400" cy="3074670"/>
            <wp:effectExtent l="57150" t="0" r="57150" b="68580"/>
            <wp:wrapSquare wrapText="bothSides"/>
            <wp:docPr id="4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ascii="黑体" w:hAnsi="Calibri" w:eastAsia="黑体" w:cs="Times New Roman"/>
          <w:sz w:val="32"/>
          <w:szCs w:val="32"/>
        </w:rPr>
      </w:pP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本部门2019年度本年支出合计876.48万元，其中：基本支出766.82万元，占87.49%；项目支出109.66万元，占12.51%。</w:t>
      </w:r>
      <w:r>
        <w:drawing>
          <wp:anchor distT="0" distB="0" distL="114300" distR="114300" simplePos="0" relativeHeight="251694080" behindDoc="0" locked="0" layoutInCell="1" allowOverlap="1">
            <wp:simplePos x="0" y="0"/>
            <wp:positionH relativeFrom="column">
              <wp:posOffset>-152400</wp:posOffset>
            </wp:positionH>
            <wp:positionV relativeFrom="paragraph">
              <wp:posOffset>716280</wp:posOffset>
            </wp:positionV>
            <wp:extent cx="5990590" cy="2503805"/>
            <wp:effectExtent l="0" t="0" r="0" b="10795"/>
            <wp:wrapSquare wrapText="bothSides"/>
            <wp:docPr id="5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3"/>
                    <pic:cNvPicPr>
                      <a:picLocks noChangeAspect="1"/>
                    </pic:cNvPicPr>
                  </pic:nvPicPr>
                  <pic:blipFill>
                    <a:blip r:embed="rId32"/>
                    <a:stretch>
                      <a:fillRect/>
                    </a:stretch>
                  </pic:blipFill>
                  <pic:spPr>
                    <a:xfrm>
                      <a:off x="0" y="0"/>
                      <a:ext cx="5990590" cy="2503805"/>
                    </a:xfrm>
                    <a:prstGeom prst="rect">
                      <a:avLst/>
                    </a:prstGeom>
                    <a:noFill/>
                    <a:ln>
                      <a:noFill/>
                    </a:ln>
                  </pic:spPr>
                </pic:pic>
              </a:graphicData>
            </a:graphic>
          </wp:anchor>
        </w:drawing>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7152" behindDoc="0" locked="0" layoutInCell="1" allowOverlap="1">
            <wp:simplePos x="0" y="0"/>
            <wp:positionH relativeFrom="column">
              <wp:posOffset>-215265</wp:posOffset>
            </wp:positionH>
            <wp:positionV relativeFrom="paragraph">
              <wp:posOffset>1988820</wp:posOffset>
            </wp:positionV>
            <wp:extent cx="5967730" cy="2087245"/>
            <wp:effectExtent l="5080" t="4445" r="8890" b="22860"/>
            <wp:wrapSquare wrapText="bothSides"/>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hint="eastAsia" w:ascii="仿宋_GB2312" w:hAnsi="Times New Roman" w:eastAsia="仿宋_GB2312" w:cs="DengXian-Regular"/>
          <w:sz w:val="32"/>
          <w:szCs w:val="32"/>
        </w:rPr>
        <w:t>本部门2019年度形成的财政拨款收支均为一般公共预算财政拨款，其中本年收入876.48万元,比2018年度增加310.18万元，增长54.77%，主要是人员增加、巡察经费增加；本年支出876.48万元，增加310.18万元，增长54.77%，主要是人员增加、行政事务增多，造成</w:t>
      </w:r>
      <w:r>
        <w:rPr>
          <w:rFonts w:hint="eastAsia" w:ascii="仿宋_GB2312" w:eastAsia="仿宋_GB2312" w:cs="DengXian-Regular"/>
          <w:sz w:val="32"/>
          <w:szCs w:val="32"/>
        </w:rPr>
        <w:t>行政运行经费增加。</w: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876.48万元，完成年初预算的128.7%,比年初预算增加195.55万元，决算数大于预算数主要原因是人员增加和巡察经费增加；本年支出876.48万元，完成年初预算的128.7%,比年初预算增加195.55万元，决算数大于预算数主要原因是主要是人员经费支出增加，行政运行增加。</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106045</wp:posOffset>
            </wp:positionH>
            <wp:positionV relativeFrom="paragraph">
              <wp:posOffset>359410</wp:posOffset>
            </wp:positionV>
            <wp:extent cx="5423535" cy="2927985"/>
            <wp:effectExtent l="47625" t="4445" r="53340" b="115570"/>
            <wp:wrapSquare wrapText="bothSides"/>
            <wp:docPr id="5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年度财政拨款支出876.48万元，主要用于以下方面：一般公共服务（类）支出750.62万元，占85.64%，社会保障和就业（类）支出103.76万元，占11.83%；卫生健康支出22.13万元，占 2.52%。</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6128" behindDoc="0" locked="0" layoutInCell="1" allowOverlap="1">
            <wp:simplePos x="0" y="0"/>
            <wp:positionH relativeFrom="column">
              <wp:posOffset>57150</wp:posOffset>
            </wp:positionH>
            <wp:positionV relativeFrom="paragraph">
              <wp:posOffset>31115</wp:posOffset>
            </wp:positionV>
            <wp:extent cx="5419090" cy="3467100"/>
            <wp:effectExtent l="57150" t="0" r="48260" b="76200"/>
            <wp:wrapSquare wrapText="bothSides"/>
            <wp:docPr id="5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年度财政拨款基本支出766.82万元，其中：人员经费 551.25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215.57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本部门2019年度“三公”经费支出共计14.81万元，完成预算的89.76%,较预算减少1.69万元，降低10.24%；较2018年度减少0.84万元，降低5.3%，</w:t>
      </w:r>
      <w:r>
        <w:rPr>
          <w:rFonts w:hint="eastAsia" w:ascii="仿宋_GB2312" w:hAnsi="Times New Roman" w:eastAsia="仿宋_GB2312" w:cs="DengXian-Regular"/>
          <w:sz w:val="32"/>
          <w:szCs w:val="32"/>
          <w:lang w:eastAsia="zh-CN"/>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本部门2019年度因公出国（境）团组0个、共0人，与预算持平，无增减变化；与2018年决算持平，无增减变化，</w:t>
      </w:r>
      <w:r>
        <w:rPr>
          <w:rFonts w:hint="eastAsia" w:ascii="仿宋_GB2312" w:eastAsia="仿宋_GB2312" w:cs="DengXian-Regular"/>
          <w:sz w:val="32"/>
          <w:szCs w:val="32"/>
        </w:rPr>
        <w:t>主要是未发生因公出国（境）事项。</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（二）公务用车购置及运行维护费支出14.81万元。</w:t>
      </w:r>
      <w:r>
        <w:rPr>
          <w:rFonts w:hint="eastAsia" w:ascii="仿宋_GB2312" w:hAnsi="Times New Roman" w:eastAsia="仿宋_GB2312" w:cs="DengXian-Regular"/>
          <w:sz w:val="32"/>
          <w:szCs w:val="32"/>
        </w:rPr>
        <w:t>本部门2019年度公务用车购置及运行维护费较预算减少0.19万元，降低1.27%,主要是</w:t>
      </w:r>
      <w:r>
        <w:rPr>
          <w:rFonts w:hint="eastAsia" w:ascii="仿宋_GB2312" w:eastAsia="仿宋_GB2312" w:cs="DengXian-Regular"/>
          <w:sz w:val="32"/>
          <w:szCs w:val="32"/>
        </w:rPr>
        <w:t>严控公务用车支出</w:t>
      </w:r>
      <w:r>
        <w:rPr>
          <w:rFonts w:hint="eastAsia" w:ascii="仿宋_GB2312" w:hAnsi="Times New Roman" w:eastAsia="仿宋_GB2312" w:cs="DengXian-Regular"/>
          <w:sz w:val="32"/>
          <w:szCs w:val="32"/>
        </w:rPr>
        <w:t>；较上年增加0.31万元，增长2.13%,主要是增加巡察办机要应急用车。</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本部门2019年度公务用车购置量0辆，发生“公务用车购置”经费支出0万元。与预算持平，无增减变化；与2018年决算持平，无增减变化，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本部门2019年度单位公务用车保有量7辆。公车运行维护费支出较预算减少0.19万元，降低1.27%,主要是</w:t>
      </w:r>
      <w:r>
        <w:rPr>
          <w:rFonts w:hint="eastAsia" w:ascii="仿宋_GB2312" w:eastAsia="仿宋_GB2312" w:cs="DengXian-Regular"/>
          <w:sz w:val="32"/>
          <w:szCs w:val="32"/>
        </w:rPr>
        <w:t>严控公务用车支出</w:t>
      </w:r>
      <w:r>
        <w:rPr>
          <w:rFonts w:hint="eastAsia" w:ascii="仿宋_GB2312" w:hAnsi="Times New Roman" w:eastAsia="仿宋_GB2312" w:cs="DengXian-Regular"/>
          <w:sz w:val="32"/>
          <w:szCs w:val="32"/>
        </w:rPr>
        <w:t>；较上年增加0.31万元，增长2.13%,主要是增加巡察办机要应急用车。</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本部门2019年度公务接待共0批次、0人次。与预算持平，无增减变化；与2018年决算减少1.34万元，主要原因是今年严控招待费支出，未发生招待行为。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eastAsia="仿宋_GB2312" w:cs="DengXian-Regular"/>
          <w:color w:val="FF0000"/>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根据预算绩效管理要求，本部门组织对2019年度一般公共预算项目支出全面开展绩效自评，其中，一级项目5个，共涉及资金179.3万元，占一般公共预算项目支出总额的100%。</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 w:hAnsi="仿宋" w:eastAsia="仿宋" w:cs="仿宋"/>
          <w:sz w:val="32"/>
          <w:szCs w:val="32"/>
        </w:rPr>
        <w:t>乡镇纪委经费、巡察工作开支、劳务派遣人员工资等5个</w:t>
      </w:r>
      <w:r>
        <w:rPr>
          <w:rFonts w:hint="eastAsia" w:ascii="仿宋_GB2312" w:hAnsi="仿宋_GB2312" w:eastAsia="仿宋_GB2312" w:cs="仿宋_GB2312"/>
          <w:sz w:val="32"/>
          <w:szCs w:val="32"/>
        </w:rPr>
        <w:t>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乡镇纪委经费项目自评综述：根据年初设定的绩效目标，该项目绩效自评得分为91分（绩效自评表附后）。全年预算数为33万元，执行数为33万元，完成预算的100%。项目绩效目标完成情况：一是实现对11个乡镇纪委的办案经费保障；二是提升乡镇纪委的办案能力和对所辖区的监督执纪全覆盖。</w:t>
      </w:r>
    </w:p>
    <w:tbl>
      <w:tblPr>
        <w:tblStyle w:val="7"/>
        <w:tblpPr w:leftFromText="180" w:rightFromText="180" w:vertAnchor="page" w:horzAnchor="page" w:tblpX="1449" w:tblpY="1392"/>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l2br w:val="nil"/>
              <w:tr2bl w:val="nil"/>
            </w:tcBorders>
            <w:vAlign w:val="center"/>
          </w:tcPr>
          <w:p>
            <w:pPr>
              <w:widowControl/>
              <w:spacing w:line="320" w:lineRule="exact"/>
              <w:jc w:val="center"/>
              <w:rPr>
                <w:rFonts w:ascii="宋体" w:hAnsi="宋体" w:eastAsia="宋体"/>
                <w:b/>
                <w:kern w:val="0"/>
                <w:sz w:val="32"/>
              </w:rPr>
            </w:pP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l2br w:val="nil"/>
              <w:tr2bl w:val="nil"/>
            </w:tcBorders>
          </w:tcPr>
          <w:p>
            <w:pPr>
              <w:widowControl/>
              <w:jc w:val="center"/>
              <w:rPr>
                <w:rFonts w:ascii="宋体" w:hAnsi="宋体" w:eastAsia="宋体"/>
                <w:kern w:val="0"/>
                <w:sz w:val="22"/>
              </w:rPr>
            </w:pPr>
          </w:p>
          <w:p>
            <w:pPr>
              <w:widowControl/>
              <w:jc w:val="center"/>
              <w:rPr>
                <w:rFonts w:ascii="宋体" w:hAnsi="宋体" w:eastAsia="宋体"/>
                <w:kern w:val="0"/>
                <w:sz w:val="22"/>
              </w:rPr>
            </w:pPr>
            <w:r>
              <w:rPr>
                <w:rFonts w:hint="eastAsia" w:ascii="宋体" w:hAnsi="宋体" w:eastAsia="宋体"/>
                <w:b/>
                <w:kern w:val="0"/>
                <w:sz w:val="32"/>
              </w:rPr>
              <w:t>项目支出绩效自评表</w:t>
            </w:r>
          </w:p>
          <w:p>
            <w:pPr>
              <w:widowControl/>
              <w:jc w:val="center"/>
              <w:rPr>
                <w:rFonts w:ascii="宋体" w:hAnsi="宋体" w:eastAsia="宋体"/>
                <w:kern w:val="0"/>
                <w:sz w:val="22"/>
              </w:rPr>
            </w:pPr>
            <w:r>
              <w:rPr>
                <w:rFonts w:hint="eastAsia" w:ascii="宋体" w:hAnsi="宋体" w:eastAsia="宋体"/>
                <w:kern w:val="0"/>
                <w:sz w:val="22"/>
              </w:rPr>
              <w:t>（2019年度）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项目名称</w:t>
            </w:r>
          </w:p>
        </w:tc>
        <w:tc>
          <w:tcPr>
            <w:tcW w:w="7512" w:type="dxa"/>
            <w:gridSpan w:val="1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乡镇纪委经费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主管部门</w:t>
            </w:r>
          </w:p>
        </w:tc>
        <w:tc>
          <w:tcPr>
            <w:tcW w:w="4110" w:type="dxa"/>
            <w:gridSpan w:val="5"/>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无极县纪委</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实施单位</w:t>
            </w:r>
          </w:p>
        </w:tc>
        <w:tc>
          <w:tcPr>
            <w:tcW w:w="2268" w:type="dxa"/>
            <w:gridSpan w:val="5"/>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无极县纪委</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项目资金</w:t>
            </w:r>
            <w:r>
              <w:rPr>
                <w:rFonts w:hint="eastAsia" w:ascii="宋体" w:hAnsi="宋体" w:eastAsia="宋体"/>
                <w:kern w:val="0"/>
                <w:sz w:val="18"/>
              </w:rPr>
              <w:br w:type="textWrapping"/>
            </w:r>
            <w:r>
              <w:rPr>
                <w:rFonts w:hint="eastAsia" w:ascii="宋体" w:hAnsi="宋体" w:eastAsia="宋体"/>
                <w:kern w:val="0"/>
                <w:sz w:val="18"/>
              </w:rPr>
              <w:t>（万元）</w:t>
            </w: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年初预算数</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全年预算数</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全年执行数</w:t>
            </w: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分值</w:t>
            </w: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执行率</w:t>
            </w: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得分</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rPr>
                <w:rFonts w:ascii="宋体" w:hAnsi="宋体" w:eastAsia="宋体"/>
                <w:kern w:val="0"/>
                <w:sz w:val="18"/>
              </w:rPr>
            </w:pPr>
            <w:r>
              <w:rPr>
                <w:rFonts w:hint="eastAsia" w:ascii="宋体" w:hAnsi="宋体" w:eastAsia="宋体"/>
                <w:kern w:val="0"/>
                <w:sz w:val="18"/>
              </w:rPr>
              <w:t>年度资金总额</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33</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33</w:t>
            </w: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100%</w:t>
            </w: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其中：当年财政拨款</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33</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33</w:t>
            </w: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100%</w:t>
            </w: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 xml:space="preserve">      上年结转资金</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 xml:space="preserve">  其他资金</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300" w:hRule="exact"/>
        </w:trPr>
        <w:tc>
          <w:tcPr>
            <w:tcW w:w="588"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年度总体目标</w:t>
            </w:r>
          </w:p>
        </w:tc>
        <w:tc>
          <w:tcPr>
            <w:tcW w:w="5090" w:type="dxa"/>
            <w:gridSpan w:val="6"/>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预期目标</w:t>
            </w:r>
          </w:p>
        </w:tc>
        <w:tc>
          <w:tcPr>
            <w:tcW w:w="3402" w:type="dxa"/>
            <w:gridSpan w:val="7"/>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实际完成情况</w:t>
            </w:r>
          </w:p>
        </w:tc>
      </w:tr>
      <w:tr>
        <w:tblPrEx>
          <w:tblCellMar>
            <w:top w:w="0" w:type="dxa"/>
            <w:left w:w="108" w:type="dxa"/>
            <w:bottom w:w="0" w:type="dxa"/>
            <w:right w:w="108" w:type="dxa"/>
          </w:tblCellMar>
        </w:tblPrEx>
        <w:trPr>
          <w:trHeight w:val="597" w:hRule="exact"/>
        </w:trPr>
        <w:tc>
          <w:tcPr>
            <w:tcW w:w="588"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090" w:type="dxa"/>
            <w:gridSpan w:val="6"/>
            <w:tcBorders>
              <w:top w:val="single" w:color="auto" w:sz="4" w:space="0"/>
              <w:left w:val="nil"/>
              <w:bottom w:val="single" w:color="auto" w:sz="4" w:space="0"/>
              <w:right w:val="single" w:color="auto" w:sz="4" w:space="0"/>
              <w:tl2br w:val="nil"/>
              <w:tr2bl w:val="nil"/>
            </w:tcBorders>
            <w:vAlign w:val="center"/>
          </w:tcPr>
          <w:p>
            <w:pPr>
              <w:widowControl/>
              <w:tabs>
                <w:tab w:val="left" w:pos="1420"/>
              </w:tabs>
              <w:spacing w:line="240" w:lineRule="exact"/>
              <w:jc w:val="left"/>
              <w:rPr>
                <w:rFonts w:ascii="宋体" w:hAnsi="宋体" w:eastAsia="宋体"/>
                <w:kern w:val="0"/>
                <w:sz w:val="18"/>
              </w:rPr>
            </w:pPr>
            <w:r>
              <w:rPr>
                <w:rFonts w:hint="eastAsia" w:eastAsia="宋体"/>
                <w:sz w:val="18"/>
              </w:rPr>
              <w:t>实现对11个乡镇纪委的办案经费保障，提升乡镇纪委的办案能力和对所辖区的监督执纪全覆盖</w:t>
            </w:r>
          </w:p>
        </w:tc>
        <w:tc>
          <w:tcPr>
            <w:tcW w:w="3402" w:type="dxa"/>
            <w:gridSpan w:val="7"/>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已完成</w:t>
            </w:r>
          </w:p>
        </w:tc>
      </w:tr>
      <w:tr>
        <w:tblPrEx>
          <w:tblCellMar>
            <w:top w:w="0" w:type="dxa"/>
            <w:left w:w="108" w:type="dxa"/>
            <w:bottom w:w="0" w:type="dxa"/>
            <w:right w:w="108" w:type="dxa"/>
          </w:tblCellMar>
        </w:tblPrEx>
        <w:trPr>
          <w:trHeight w:val="533"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绩</w:t>
            </w:r>
            <w:r>
              <w:rPr>
                <w:rFonts w:hint="eastAsia" w:ascii="宋体" w:hAnsi="宋体" w:eastAsia="宋体"/>
                <w:kern w:val="0"/>
                <w:sz w:val="18"/>
              </w:rPr>
              <w:br w:type="textWrapping"/>
            </w:r>
            <w:r>
              <w:rPr>
                <w:rFonts w:hint="eastAsia" w:ascii="宋体" w:hAnsi="宋体" w:eastAsia="宋体"/>
                <w:kern w:val="0"/>
                <w:sz w:val="18"/>
              </w:rPr>
              <w:t>效</w:t>
            </w:r>
            <w:r>
              <w:rPr>
                <w:rFonts w:hint="eastAsia" w:ascii="宋体" w:hAnsi="宋体" w:eastAsia="宋体"/>
                <w:kern w:val="0"/>
                <w:sz w:val="18"/>
              </w:rPr>
              <w:br w:type="textWrapping"/>
            </w:r>
            <w:r>
              <w:rPr>
                <w:rFonts w:hint="eastAsia" w:ascii="宋体" w:hAnsi="宋体" w:eastAsia="宋体"/>
                <w:kern w:val="0"/>
                <w:sz w:val="18"/>
              </w:rPr>
              <w:t>指</w:t>
            </w:r>
            <w:r>
              <w:rPr>
                <w:rFonts w:hint="eastAsia" w:ascii="宋体" w:hAnsi="宋体" w:eastAsia="宋体"/>
                <w:kern w:val="0"/>
                <w:sz w:val="18"/>
              </w:rPr>
              <w:br w:type="textWrapping"/>
            </w:r>
            <w:r>
              <w:rPr>
                <w:rFonts w:hint="eastAsia" w:ascii="宋体" w:hAnsi="宋体" w:eastAsia="宋体"/>
                <w:kern w:val="0"/>
                <w:sz w:val="18"/>
              </w:rPr>
              <w:t>标</w:t>
            </w:r>
          </w:p>
        </w:tc>
        <w:tc>
          <w:tcPr>
            <w:tcW w:w="980"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一级指标</w:t>
            </w:r>
          </w:p>
        </w:tc>
        <w:tc>
          <w:tcPr>
            <w:tcW w:w="1112"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二级指标</w:t>
            </w:r>
          </w:p>
        </w:tc>
        <w:tc>
          <w:tcPr>
            <w:tcW w:w="2148" w:type="dxa"/>
            <w:gridSpan w:val="3"/>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三级指标</w:t>
            </w:r>
          </w:p>
        </w:tc>
        <w:tc>
          <w:tcPr>
            <w:tcW w:w="850"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年度</w:t>
            </w:r>
          </w:p>
          <w:p>
            <w:pPr>
              <w:widowControl/>
              <w:spacing w:line="240" w:lineRule="exact"/>
              <w:jc w:val="center"/>
              <w:rPr>
                <w:rFonts w:ascii="宋体" w:hAnsi="宋体" w:eastAsia="宋体"/>
                <w:kern w:val="0"/>
                <w:sz w:val="18"/>
              </w:rPr>
            </w:pPr>
            <w:r>
              <w:rPr>
                <w:rFonts w:hint="eastAsia" w:ascii="宋体" w:hAnsi="宋体" w:eastAsia="宋体"/>
                <w:kern w:val="0"/>
                <w:sz w:val="18"/>
              </w:rPr>
              <w:t>指标值</w:t>
            </w:r>
          </w:p>
        </w:tc>
        <w:tc>
          <w:tcPr>
            <w:tcW w:w="851"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实际</w:t>
            </w:r>
          </w:p>
          <w:p>
            <w:pPr>
              <w:widowControl/>
              <w:spacing w:line="240" w:lineRule="exact"/>
              <w:jc w:val="center"/>
              <w:rPr>
                <w:rFonts w:ascii="宋体" w:hAnsi="宋体" w:eastAsia="宋体"/>
                <w:kern w:val="0"/>
                <w:sz w:val="18"/>
              </w:rPr>
            </w:pPr>
            <w:r>
              <w:rPr>
                <w:rFonts w:hint="eastAsia" w:ascii="宋体" w:hAnsi="宋体" w:eastAsia="宋体"/>
                <w:kern w:val="0"/>
                <w:sz w:val="18"/>
              </w:rPr>
              <w:t>完成值</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分值</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得分</w:t>
            </w:r>
          </w:p>
        </w:tc>
        <w:tc>
          <w:tcPr>
            <w:tcW w:w="1417"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偏差原因分析及改进措施</w:t>
            </w:r>
          </w:p>
        </w:tc>
      </w:tr>
      <w:tr>
        <w:tblPrEx>
          <w:tblCellMar>
            <w:top w:w="0" w:type="dxa"/>
            <w:left w:w="108" w:type="dxa"/>
            <w:bottom w:w="0" w:type="dxa"/>
            <w:right w:w="108" w:type="dxa"/>
          </w:tblCellMar>
        </w:tblPrEx>
        <w:trPr>
          <w:trHeight w:val="90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产出指标</w:t>
            </w: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数量指标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utoSpaceDN w:val="0"/>
              <w:jc w:val="left"/>
              <w:textAlignment w:val="center"/>
              <w:rPr>
                <w:rFonts w:ascii="宋体" w:hAnsi="宋体" w:eastAsia="宋体"/>
                <w:color w:val="000000"/>
                <w:kern w:val="0"/>
                <w:sz w:val="18"/>
              </w:rPr>
            </w:pPr>
            <w:r>
              <w:rPr>
                <w:rFonts w:hint="eastAsia" w:ascii="宋体" w:hAnsi="宋体" w:eastAsia="宋体"/>
                <w:color w:val="000000"/>
                <w:sz w:val="18"/>
              </w:rPr>
              <w:t>监督检查覆盖率</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90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质量指标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办案效果影响率</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90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时效指标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案件线索查结率</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90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成本指标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宋体" w:hAnsi="宋体" w:eastAsia="宋体"/>
                <w:color w:val="000000"/>
                <w:kern w:val="0"/>
                <w:sz w:val="18"/>
              </w:rPr>
              <w:t>无</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69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效益指标</w:t>
            </w: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经济效益</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宋体" w:hAnsi="宋体" w:eastAsia="宋体"/>
                <w:color w:val="000000"/>
                <w:kern w:val="0"/>
                <w:sz w:val="18"/>
              </w:rPr>
              <w:t>无</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90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社会效益</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在乡镇产生的重要影响，对乡镇纪委的认可度</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645"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生态效益</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宋体" w:hAnsi="宋体" w:eastAsia="宋体"/>
                <w:color w:val="000000"/>
                <w:kern w:val="0"/>
                <w:sz w:val="18"/>
              </w:rPr>
              <w:t>无</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645"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可持续影响指标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乡镇纪委工作影响力情况</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20</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18</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89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满意度</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服务对象满意度指标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宋体" w:hAnsi="宋体" w:eastAsia="宋体"/>
                <w:color w:val="000000"/>
                <w:kern w:val="0"/>
                <w:sz w:val="18"/>
              </w:rPr>
              <w:t>乡镇群众满意度</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20</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18</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color w:val="000000"/>
                <w:kern w:val="0"/>
                <w:sz w:val="18"/>
              </w:rPr>
            </w:pPr>
            <w:r>
              <w:rPr>
                <w:rFonts w:hint="eastAsia" w:ascii="宋体" w:hAnsi="宋体" w:eastAsia="宋体"/>
                <w:color w:val="000000"/>
                <w:kern w:val="0"/>
                <w:sz w:val="18"/>
              </w:rPr>
              <w:t>总分</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color w:val="000000"/>
                <w:kern w:val="0"/>
                <w:sz w:val="18"/>
              </w:rPr>
            </w:pPr>
            <w:r>
              <w:rPr>
                <w:rFonts w:hint="eastAsia" w:ascii="宋体" w:hAnsi="宋体" w:eastAsia="宋体"/>
                <w:color w:val="000000"/>
                <w:kern w:val="0"/>
                <w:sz w:val="18"/>
              </w:rPr>
              <w:t>100</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color w:val="000000"/>
                <w:kern w:val="0"/>
                <w:sz w:val="18"/>
              </w:rPr>
            </w:pPr>
            <w:r>
              <w:rPr>
                <w:rFonts w:hint="eastAsia" w:ascii="宋体" w:hAnsi="宋体" w:eastAsia="宋体"/>
                <w:color w:val="000000"/>
                <w:kern w:val="0"/>
                <w:sz w:val="18"/>
              </w:rPr>
              <w:t>91</w:t>
            </w:r>
          </w:p>
        </w:tc>
        <w:tc>
          <w:tcPr>
            <w:tcW w:w="1417"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bl>
    <w:p>
      <w:pPr>
        <w:adjustRightInd w:val="0"/>
        <w:snapToGrid w:val="0"/>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追加市第五巡查组来我县巡察所需经费项目自评综述：根据年初设定的绩效目标，该项目绩效自评得分为94分（绩</w:t>
      </w:r>
    </w:p>
    <w:tbl>
      <w:tblPr>
        <w:tblStyle w:val="7"/>
        <w:tblpPr w:leftFromText="180" w:rightFromText="180" w:vertAnchor="page" w:horzAnchor="page" w:tblpX="1360" w:tblpY="5294"/>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l2br w:val="nil"/>
              <w:tr2bl w:val="nil"/>
            </w:tcBorders>
            <w:vAlign w:val="center"/>
          </w:tcPr>
          <w:p>
            <w:pPr>
              <w:widowControl/>
              <w:spacing w:line="320" w:lineRule="exact"/>
              <w:jc w:val="center"/>
              <w:rPr>
                <w:rFonts w:ascii="宋体" w:hAnsi="宋体" w:eastAsia="宋体"/>
                <w:b/>
                <w:kern w:val="0"/>
                <w:sz w:val="32"/>
              </w:rPr>
            </w:pPr>
            <w:r>
              <w:rPr>
                <w:rFonts w:hint="eastAsia" w:ascii="宋体" w:hAnsi="宋体" w:eastAsia="宋体"/>
                <w:b/>
                <w:kern w:val="0"/>
                <w:sz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l2br w:val="nil"/>
              <w:tr2bl w:val="nil"/>
            </w:tcBorders>
          </w:tcPr>
          <w:p>
            <w:pPr>
              <w:widowControl/>
              <w:jc w:val="center"/>
              <w:rPr>
                <w:rFonts w:ascii="宋体" w:hAnsi="宋体" w:eastAsia="宋体"/>
                <w:kern w:val="0"/>
                <w:sz w:val="22"/>
              </w:rPr>
            </w:pPr>
            <w:r>
              <w:rPr>
                <w:rFonts w:hint="eastAsia" w:ascii="宋体" w:hAnsi="宋体" w:eastAsia="宋体"/>
                <w:kern w:val="0"/>
                <w:sz w:val="22"/>
              </w:rPr>
              <w:t>（2019年度）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项目名称</w:t>
            </w:r>
          </w:p>
        </w:tc>
        <w:tc>
          <w:tcPr>
            <w:tcW w:w="7512" w:type="dxa"/>
            <w:gridSpan w:val="1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追加市第五巡查组来我县巡察所需经费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主管部门</w:t>
            </w:r>
          </w:p>
        </w:tc>
        <w:tc>
          <w:tcPr>
            <w:tcW w:w="4110" w:type="dxa"/>
            <w:gridSpan w:val="5"/>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无极县纪委</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实施单位</w:t>
            </w:r>
          </w:p>
        </w:tc>
        <w:tc>
          <w:tcPr>
            <w:tcW w:w="2268" w:type="dxa"/>
            <w:gridSpan w:val="5"/>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无极县纪委</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项目资金</w:t>
            </w:r>
            <w:r>
              <w:rPr>
                <w:rFonts w:hint="eastAsia" w:ascii="宋体" w:hAnsi="宋体" w:eastAsia="宋体"/>
                <w:kern w:val="0"/>
                <w:sz w:val="18"/>
              </w:rPr>
              <w:br w:type="textWrapping"/>
            </w:r>
            <w:r>
              <w:rPr>
                <w:rFonts w:hint="eastAsia" w:ascii="宋体" w:hAnsi="宋体" w:eastAsia="宋体"/>
                <w:kern w:val="0"/>
                <w:sz w:val="18"/>
              </w:rPr>
              <w:t>（万元）</w:t>
            </w: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年初预算数</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全年预算数</w:t>
            </w: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全年执行数</w:t>
            </w: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分值</w:t>
            </w: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执行率</w:t>
            </w: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得分</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rPr>
                <w:rFonts w:ascii="宋体" w:hAnsi="宋体" w:eastAsia="宋体"/>
                <w:kern w:val="0"/>
                <w:sz w:val="18"/>
              </w:rPr>
            </w:pPr>
            <w:r>
              <w:rPr>
                <w:rFonts w:hint="eastAsia" w:ascii="宋体" w:hAnsi="宋体" w:eastAsia="宋体"/>
                <w:kern w:val="0"/>
                <w:sz w:val="18"/>
              </w:rPr>
              <w:t>年度资金总额</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40</w:t>
            </w: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100%</w:t>
            </w: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其中：当年财政拨款</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40</w:t>
            </w: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100%</w:t>
            </w: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10</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 xml:space="preserve">      上年结转资金</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842"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 xml:space="preserve">  其他资金</w:t>
            </w:r>
          </w:p>
        </w:tc>
        <w:tc>
          <w:tcPr>
            <w:tcW w:w="1134"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34"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9"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708"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300" w:hRule="exact"/>
        </w:trPr>
        <w:tc>
          <w:tcPr>
            <w:tcW w:w="588"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年度总体目标</w:t>
            </w:r>
          </w:p>
        </w:tc>
        <w:tc>
          <w:tcPr>
            <w:tcW w:w="5090" w:type="dxa"/>
            <w:gridSpan w:val="6"/>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预期目标</w:t>
            </w:r>
          </w:p>
        </w:tc>
        <w:tc>
          <w:tcPr>
            <w:tcW w:w="3402" w:type="dxa"/>
            <w:gridSpan w:val="7"/>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实际完成情况</w:t>
            </w:r>
          </w:p>
        </w:tc>
      </w:tr>
      <w:tr>
        <w:tblPrEx>
          <w:tblCellMar>
            <w:top w:w="0" w:type="dxa"/>
            <w:left w:w="108" w:type="dxa"/>
            <w:bottom w:w="0" w:type="dxa"/>
            <w:right w:w="108" w:type="dxa"/>
          </w:tblCellMar>
        </w:tblPrEx>
        <w:trPr>
          <w:trHeight w:val="597" w:hRule="exact"/>
        </w:trPr>
        <w:tc>
          <w:tcPr>
            <w:tcW w:w="588"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090" w:type="dxa"/>
            <w:gridSpan w:val="6"/>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left"/>
              <w:rPr>
                <w:rFonts w:ascii="宋体" w:hAnsi="宋体" w:eastAsia="宋体"/>
                <w:kern w:val="0"/>
                <w:sz w:val="18"/>
              </w:rPr>
            </w:pPr>
            <w:r>
              <w:rPr>
                <w:rFonts w:hint="eastAsia" w:eastAsia="宋体"/>
                <w:sz w:val="18"/>
              </w:rPr>
              <w:t>实现对所巡察单位的政治性巡察，提升被巡察单位的领导班子学习力、政策执行力、凝聚力。</w:t>
            </w:r>
          </w:p>
        </w:tc>
        <w:tc>
          <w:tcPr>
            <w:tcW w:w="3402" w:type="dxa"/>
            <w:gridSpan w:val="7"/>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已完成</w:t>
            </w:r>
          </w:p>
        </w:tc>
      </w:tr>
      <w:tr>
        <w:tblPrEx>
          <w:tblCellMar>
            <w:top w:w="0" w:type="dxa"/>
            <w:left w:w="108" w:type="dxa"/>
            <w:bottom w:w="0" w:type="dxa"/>
            <w:right w:w="108" w:type="dxa"/>
          </w:tblCellMar>
        </w:tblPrEx>
        <w:trPr>
          <w:trHeight w:val="533"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绩</w:t>
            </w:r>
            <w:r>
              <w:rPr>
                <w:rFonts w:hint="eastAsia" w:ascii="宋体" w:hAnsi="宋体" w:eastAsia="宋体"/>
                <w:kern w:val="0"/>
                <w:sz w:val="18"/>
              </w:rPr>
              <w:br w:type="textWrapping"/>
            </w:r>
            <w:r>
              <w:rPr>
                <w:rFonts w:hint="eastAsia" w:ascii="宋体" w:hAnsi="宋体" w:eastAsia="宋体"/>
                <w:kern w:val="0"/>
                <w:sz w:val="18"/>
              </w:rPr>
              <w:t>效</w:t>
            </w:r>
            <w:r>
              <w:rPr>
                <w:rFonts w:hint="eastAsia" w:ascii="宋体" w:hAnsi="宋体" w:eastAsia="宋体"/>
                <w:kern w:val="0"/>
                <w:sz w:val="18"/>
              </w:rPr>
              <w:br w:type="textWrapping"/>
            </w:r>
            <w:r>
              <w:rPr>
                <w:rFonts w:hint="eastAsia" w:ascii="宋体" w:hAnsi="宋体" w:eastAsia="宋体"/>
                <w:kern w:val="0"/>
                <w:sz w:val="18"/>
              </w:rPr>
              <w:t>指</w:t>
            </w:r>
            <w:r>
              <w:rPr>
                <w:rFonts w:hint="eastAsia" w:ascii="宋体" w:hAnsi="宋体" w:eastAsia="宋体"/>
                <w:kern w:val="0"/>
                <w:sz w:val="18"/>
              </w:rPr>
              <w:br w:type="textWrapping"/>
            </w:r>
            <w:r>
              <w:rPr>
                <w:rFonts w:hint="eastAsia" w:ascii="宋体" w:hAnsi="宋体" w:eastAsia="宋体"/>
                <w:kern w:val="0"/>
                <w:sz w:val="18"/>
              </w:rPr>
              <w:t>标</w:t>
            </w:r>
          </w:p>
        </w:tc>
        <w:tc>
          <w:tcPr>
            <w:tcW w:w="980"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一级指标</w:t>
            </w:r>
          </w:p>
        </w:tc>
        <w:tc>
          <w:tcPr>
            <w:tcW w:w="1112"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二级指标</w:t>
            </w:r>
          </w:p>
        </w:tc>
        <w:tc>
          <w:tcPr>
            <w:tcW w:w="2148" w:type="dxa"/>
            <w:gridSpan w:val="3"/>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三级指标</w:t>
            </w:r>
          </w:p>
        </w:tc>
        <w:tc>
          <w:tcPr>
            <w:tcW w:w="850"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年度</w:t>
            </w:r>
          </w:p>
          <w:p>
            <w:pPr>
              <w:widowControl/>
              <w:spacing w:line="240" w:lineRule="exact"/>
              <w:jc w:val="center"/>
              <w:rPr>
                <w:rFonts w:ascii="宋体" w:hAnsi="宋体" w:eastAsia="宋体"/>
                <w:kern w:val="0"/>
                <w:sz w:val="18"/>
              </w:rPr>
            </w:pPr>
            <w:r>
              <w:rPr>
                <w:rFonts w:hint="eastAsia" w:ascii="宋体" w:hAnsi="宋体" w:eastAsia="宋体"/>
                <w:kern w:val="0"/>
                <w:sz w:val="18"/>
              </w:rPr>
              <w:t>指标值</w:t>
            </w:r>
          </w:p>
        </w:tc>
        <w:tc>
          <w:tcPr>
            <w:tcW w:w="851" w:type="dxa"/>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实际</w:t>
            </w:r>
          </w:p>
          <w:p>
            <w:pPr>
              <w:widowControl/>
              <w:spacing w:line="240" w:lineRule="exact"/>
              <w:jc w:val="center"/>
              <w:rPr>
                <w:rFonts w:ascii="宋体" w:hAnsi="宋体" w:eastAsia="宋体"/>
                <w:kern w:val="0"/>
                <w:sz w:val="18"/>
              </w:rPr>
            </w:pPr>
            <w:r>
              <w:rPr>
                <w:rFonts w:hint="eastAsia" w:ascii="宋体" w:hAnsi="宋体" w:eastAsia="宋体"/>
                <w:kern w:val="0"/>
                <w:sz w:val="18"/>
              </w:rPr>
              <w:t>完成值</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分值</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得分</w:t>
            </w:r>
          </w:p>
        </w:tc>
        <w:tc>
          <w:tcPr>
            <w:tcW w:w="1417"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偏差原因分析及改进措施</w:t>
            </w:r>
          </w:p>
        </w:tc>
      </w:tr>
      <w:tr>
        <w:tblPrEx>
          <w:tblCellMar>
            <w:top w:w="0" w:type="dxa"/>
            <w:left w:w="108" w:type="dxa"/>
            <w:bottom w:w="0" w:type="dxa"/>
            <w:right w:w="108" w:type="dxa"/>
          </w:tblCellMar>
        </w:tblPrEx>
        <w:trPr>
          <w:trHeight w:val="405"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产出指标</w:t>
            </w: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数量指标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utoSpaceDN w:val="0"/>
              <w:jc w:val="left"/>
              <w:textAlignment w:val="center"/>
              <w:rPr>
                <w:rFonts w:ascii="宋体" w:hAnsi="宋体" w:eastAsia="宋体"/>
                <w:color w:val="000000"/>
                <w:kern w:val="0"/>
                <w:sz w:val="18"/>
              </w:rPr>
            </w:pPr>
            <w:r>
              <w:rPr>
                <w:rFonts w:hint="eastAsia" w:ascii="宋体" w:hAnsi="宋体" w:eastAsia="宋体"/>
                <w:color w:val="000000"/>
                <w:sz w:val="18"/>
              </w:rPr>
              <w:t>巡察覆盖率</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42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质量指标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tabs>
                <w:tab w:val="right" w:pos="1932"/>
              </w:tabs>
              <w:autoSpaceDN w:val="0"/>
              <w:jc w:val="left"/>
              <w:textAlignment w:val="center"/>
              <w:rPr>
                <w:rFonts w:ascii="宋体" w:hAnsi="宋体" w:eastAsia="宋体"/>
                <w:color w:val="000000"/>
                <w:kern w:val="0"/>
                <w:sz w:val="18"/>
              </w:rPr>
            </w:pPr>
            <w:r>
              <w:rPr>
                <w:rFonts w:hint="eastAsia" w:ascii="宋体" w:hAnsi="宋体" w:eastAsia="宋体"/>
                <w:color w:val="000000"/>
                <w:sz w:val="18"/>
              </w:rPr>
              <w:t>巡察整改问题完成情况</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585"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时效指标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autoSpaceDN w:val="0"/>
              <w:jc w:val="left"/>
              <w:textAlignment w:val="center"/>
              <w:rPr>
                <w:rFonts w:ascii="宋体" w:hAnsi="宋体" w:eastAsia="宋体"/>
                <w:color w:val="000000"/>
                <w:kern w:val="0"/>
                <w:sz w:val="18"/>
              </w:rPr>
            </w:pPr>
            <w:r>
              <w:rPr>
                <w:rFonts w:hint="eastAsia" w:ascii="宋体" w:hAnsi="宋体" w:eastAsia="宋体"/>
                <w:color w:val="000000"/>
                <w:sz w:val="18"/>
              </w:rPr>
              <w:t>巡察工作按照目标任务完成情况</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285"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成本指标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宋体" w:hAnsi="宋体" w:eastAsia="宋体"/>
                <w:color w:val="000000"/>
                <w:kern w:val="0"/>
                <w:sz w:val="18"/>
              </w:rPr>
              <w:t>无</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60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效益指标</w:t>
            </w: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经济效益</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Times New Roman" w:hAnsi="Times New Roman" w:eastAsia="宋体"/>
                <w:sz w:val="18"/>
              </w:rPr>
              <w:t>无</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51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社会效益</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巡察工作的社会认可度</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15</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13</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465"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生态效益</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ascii="宋体" w:hAnsi="宋体" w:eastAsia="宋体"/>
                <w:color w:val="000000"/>
                <w:kern w:val="0"/>
                <w:sz w:val="18"/>
              </w:rPr>
              <w:t>无</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54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可持续影响指标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巡察工作带来影响情况</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20</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18</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710" w:hRule="exact"/>
        </w:trPr>
        <w:tc>
          <w:tcPr>
            <w:tcW w:w="588"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980" w:type="dxa"/>
            <w:tcBorders>
              <w:top w:val="nil"/>
              <w:left w:val="single" w:color="auto" w:sz="4" w:space="0"/>
              <w:bottom w:val="nil"/>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满意度</w:t>
            </w:r>
          </w:p>
          <w:p>
            <w:pPr>
              <w:widowControl/>
              <w:spacing w:line="240" w:lineRule="exact"/>
              <w:jc w:val="center"/>
              <w:rPr>
                <w:rFonts w:ascii="宋体" w:hAnsi="宋体" w:eastAsia="宋体"/>
                <w:kern w:val="0"/>
                <w:sz w:val="18"/>
              </w:rPr>
            </w:pPr>
            <w:r>
              <w:rPr>
                <w:rFonts w:hint="eastAsia" w:ascii="宋体" w:hAnsi="宋体" w:eastAsia="宋体"/>
                <w:kern w:val="0"/>
                <w:sz w:val="18"/>
              </w:rPr>
              <w:t>指标</w:t>
            </w:r>
          </w:p>
        </w:tc>
        <w:tc>
          <w:tcPr>
            <w:tcW w:w="1112" w:type="dxa"/>
            <w:tcBorders>
              <w:top w:val="nil"/>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服务对象满意度指标</w:t>
            </w:r>
          </w:p>
        </w:tc>
        <w:tc>
          <w:tcPr>
            <w:tcW w:w="2148" w:type="dxa"/>
            <w:gridSpan w:val="3"/>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left"/>
              <w:rPr>
                <w:rFonts w:ascii="宋体" w:hAnsi="宋体" w:eastAsia="宋体"/>
                <w:color w:val="000000"/>
                <w:kern w:val="0"/>
                <w:sz w:val="18"/>
              </w:rPr>
            </w:pPr>
            <w:r>
              <w:rPr>
                <w:rFonts w:hint="eastAsia" w:eastAsia="宋体"/>
                <w:sz w:val="18"/>
              </w:rPr>
              <w:t>巡察工作群众满意度情况</w:t>
            </w:r>
          </w:p>
        </w:tc>
        <w:tc>
          <w:tcPr>
            <w:tcW w:w="850"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851" w:type="dxa"/>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20</w:t>
            </w:r>
          </w:p>
        </w:tc>
        <w:tc>
          <w:tcPr>
            <w:tcW w:w="56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r>
              <w:rPr>
                <w:rFonts w:hint="eastAsia" w:ascii="宋体" w:hAnsi="宋体" w:eastAsia="宋体"/>
                <w:kern w:val="0"/>
                <w:sz w:val="18"/>
              </w:rPr>
              <w:t>18</w:t>
            </w:r>
          </w:p>
        </w:tc>
        <w:tc>
          <w:tcPr>
            <w:tcW w:w="1417" w:type="dxa"/>
            <w:gridSpan w:val="2"/>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l2br w:val="nil"/>
              <w:tr2bl w:val="nil"/>
            </w:tcBorders>
            <w:vAlign w:val="center"/>
          </w:tcPr>
          <w:p>
            <w:pPr>
              <w:widowControl/>
              <w:spacing w:line="240" w:lineRule="exact"/>
              <w:jc w:val="center"/>
              <w:rPr>
                <w:rFonts w:ascii="宋体" w:hAnsi="宋体" w:eastAsia="宋体"/>
                <w:color w:val="000000"/>
                <w:kern w:val="0"/>
                <w:sz w:val="18"/>
              </w:rPr>
            </w:pPr>
            <w:r>
              <w:rPr>
                <w:rFonts w:hint="eastAsia" w:ascii="宋体" w:hAnsi="宋体" w:eastAsia="宋体"/>
                <w:color w:val="000000"/>
                <w:kern w:val="0"/>
                <w:sz w:val="18"/>
              </w:rPr>
              <w:t>总分</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color w:val="000000"/>
                <w:kern w:val="0"/>
                <w:sz w:val="18"/>
              </w:rPr>
            </w:pPr>
            <w:r>
              <w:rPr>
                <w:rFonts w:hint="eastAsia" w:ascii="宋体" w:hAnsi="宋体" w:eastAsia="宋体"/>
                <w:color w:val="000000"/>
                <w:kern w:val="0"/>
                <w:sz w:val="18"/>
              </w:rPr>
              <w:t>100</w:t>
            </w:r>
          </w:p>
        </w:tc>
        <w:tc>
          <w:tcPr>
            <w:tcW w:w="567" w:type="dxa"/>
            <w:gridSpan w:val="2"/>
            <w:tcBorders>
              <w:top w:val="nil"/>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color w:val="000000"/>
                <w:kern w:val="0"/>
                <w:sz w:val="18"/>
              </w:rPr>
            </w:pPr>
            <w:r>
              <w:rPr>
                <w:rFonts w:hint="eastAsia" w:ascii="宋体" w:hAnsi="宋体" w:eastAsia="宋体"/>
                <w:color w:val="000000"/>
                <w:kern w:val="0"/>
                <w:sz w:val="18"/>
              </w:rPr>
              <w:t>94</w:t>
            </w:r>
          </w:p>
        </w:tc>
        <w:tc>
          <w:tcPr>
            <w:tcW w:w="1417" w:type="dxa"/>
            <w:gridSpan w:val="2"/>
            <w:tcBorders>
              <w:top w:val="single" w:color="auto" w:sz="4" w:space="0"/>
              <w:left w:val="nil"/>
              <w:bottom w:val="single" w:color="auto" w:sz="4" w:space="0"/>
              <w:right w:val="single" w:color="auto" w:sz="4" w:space="0"/>
              <w:tl2br w:val="nil"/>
              <w:tr2bl w:val="nil"/>
            </w:tcBorders>
            <w:vAlign w:val="center"/>
          </w:tcPr>
          <w:p>
            <w:pPr>
              <w:widowControl/>
              <w:spacing w:line="240" w:lineRule="exact"/>
              <w:jc w:val="center"/>
              <w:rPr>
                <w:rFonts w:ascii="宋体" w:hAnsi="宋体" w:eastAsia="宋体"/>
                <w:kern w:val="0"/>
                <w:sz w:val="18"/>
              </w:rPr>
            </w:pPr>
          </w:p>
        </w:tc>
      </w:tr>
    </w:tbl>
    <w:p>
      <w:pPr>
        <w:adjustRightInd w:val="0"/>
        <w:snapToGrid w:val="0"/>
        <w:spacing w:line="5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效自评表附后）。全年预算数为40万元，执行数为40万元，完成预算的100%。项目绩效目标完成情况：实现对所巡察单位的政治性巡察，提升被巡察单位的领导班子学习力、政策执行力、凝聚力。</w:t>
      </w:r>
    </w:p>
    <w:tbl>
      <w:tblPr>
        <w:tblStyle w:val="7"/>
        <w:tblpPr w:leftFromText="180" w:rightFromText="180" w:vertAnchor="page" w:horzAnchor="page" w:tblpX="1555" w:tblpY="5043"/>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p>
          <w:p>
            <w:pPr>
              <w:widowControl/>
              <w:jc w:val="center"/>
              <w:rPr>
                <w:rFonts w:ascii="宋体" w:hAnsi="宋体" w:eastAsia="宋体" w:cs="宋体"/>
                <w:kern w:val="0"/>
                <w:sz w:val="22"/>
              </w:rPr>
            </w:pPr>
            <w:r>
              <w:rPr>
                <w:rFonts w:hint="eastAsia" w:ascii="宋体" w:hAnsi="宋体" w:eastAsia="宋体" w:cs="宋体"/>
                <w:b/>
                <w:bCs/>
                <w:kern w:val="0"/>
                <w:sz w:val="32"/>
                <w:szCs w:val="32"/>
              </w:rPr>
              <w:t>项目支出绩效自评表</w:t>
            </w:r>
          </w:p>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追加巡察工作开支预算</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无极县纪委</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无极县纪委</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Times New Roman" w:hAnsi="Times New Roman" w:eastAsia="宋体" w:cs="Times New Roman"/>
                <w:sz w:val="18"/>
                <w:szCs w:val="18"/>
              </w:rPr>
              <w:t>实现对所巡察单位的政治性巡察，提升被巡察单位的领导班子学习力、政策执行力、凝聚力。</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2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left"/>
              <w:textAlignment w:val="center"/>
              <w:rPr>
                <w:rFonts w:ascii="宋体" w:hAnsi="宋体" w:eastAsia="宋体" w:cs="宋体"/>
                <w:color w:val="000000"/>
                <w:kern w:val="0"/>
                <w:sz w:val="18"/>
                <w:szCs w:val="18"/>
              </w:rPr>
            </w:pPr>
            <w:r>
              <w:rPr>
                <w:rFonts w:ascii="宋体" w:hAnsi="宋体" w:eastAsia="宋体" w:cs="Times New Roman"/>
                <w:color w:val="000000"/>
                <w:sz w:val="18"/>
                <w:szCs w:val="18"/>
              </w:rPr>
              <w:t>巡察覆盖率</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6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tabs>
                <w:tab w:val="right" w:pos="1932"/>
              </w:tabs>
              <w:autoSpaceDN w:val="0"/>
              <w:jc w:val="left"/>
              <w:textAlignment w:val="center"/>
              <w:rPr>
                <w:rFonts w:ascii="宋体" w:hAnsi="宋体" w:eastAsia="宋体" w:cs="宋体"/>
                <w:color w:val="000000"/>
                <w:kern w:val="0"/>
                <w:sz w:val="18"/>
                <w:szCs w:val="18"/>
              </w:rPr>
            </w:pPr>
            <w:r>
              <w:rPr>
                <w:rFonts w:ascii="宋体" w:hAnsi="宋体" w:eastAsia="宋体" w:cs="Times New Roman"/>
                <w:color w:val="000000"/>
                <w:sz w:val="18"/>
                <w:szCs w:val="18"/>
              </w:rPr>
              <w:t>巡察整改问题完成情况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7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left"/>
              <w:textAlignment w:val="center"/>
              <w:rPr>
                <w:rFonts w:ascii="宋体" w:hAnsi="宋体" w:eastAsia="宋体" w:cs="宋体"/>
                <w:color w:val="000000"/>
                <w:kern w:val="0"/>
                <w:sz w:val="18"/>
                <w:szCs w:val="18"/>
              </w:rPr>
            </w:pPr>
            <w:r>
              <w:rPr>
                <w:rFonts w:ascii="宋体" w:hAnsi="宋体" w:eastAsia="宋体" w:cs="Times New Roman"/>
                <w:color w:val="000000"/>
                <w:sz w:val="18"/>
                <w:szCs w:val="18"/>
              </w:rPr>
              <w:t>巡察工作按照目标任务完成情况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6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Times New Roman" w:hAnsi="Times New Roman" w:eastAsia="宋体" w:cs="Times New Roman"/>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Times New Roman" w:hAnsi="Times New Roman" w:eastAsia="宋体" w:cs="Times New Roman"/>
                <w:sz w:val="18"/>
                <w:szCs w:val="18"/>
              </w:rPr>
              <w:t>巡察工作的社会认可度</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5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Times New Roman" w:hAnsi="Times New Roman" w:eastAsia="宋体" w:cs="Times New Roman"/>
                <w:sz w:val="18"/>
                <w:szCs w:val="18"/>
              </w:rPr>
              <w:t>巡察工作带来影响情况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3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Times New Roman" w:hAnsi="Times New Roman" w:eastAsia="宋体" w:cs="Times New Roman"/>
                <w:sz w:val="18"/>
                <w:szCs w:val="18"/>
              </w:rPr>
              <w:t>巡察工作群众满意度情况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追加巡察工作开支预算自评综述：根据年初设定的绩效目标，该项目绩效自评得分为94分（绩效自评表附后）。全年预算数为50万元，执行数为50万元，完成预算的100%。项目绩效目标完成情况：实现对所巡察单位的政治性巡察，提升被巡察单位的领导班子学习力、政策执行力、凝聚力。</w:t>
      </w:r>
    </w:p>
    <w:tbl>
      <w:tblPr>
        <w:tblStyle w:val="7"/>
        <w:tblpPr w:leftFromText="180" w:rightFromText="180" w:vertAnchor="page" w:horzAnchor="page" w:tblpX="1810" w:tblpY="5305"/>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追加村级巡察、监督检查工作开支预算</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无极县纪委</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无极县纪委</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36.8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36.8</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5"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sz w:val="18"/>
                <w:szCs w:val="18"/>
              </w:rPr>
              <w:t>实现对所巡察单位的政治性巡察，提升被巡察单位的领导班子学习力、政策执行力、凝聚力。</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left"/>
              <w:textAlignment w:val="center"/>
              <w:rPr>
                <w:rFonts w:ascii="宋体" w:hAnsi="宋体" w:eastAsia="宋体" w:cs="宋体"/>
                <w:color w:val="000000"/>
                <w:kern w:val="0"/>
                <w:sz w:val="18"/>
                <w:szCs w:val="18"/>
              </w:rPr>
            </w:pPr>
            <w:r>
              <w:rPr>
                <w:rFonts w:ascii="宋体" w:hAnsi="宋体" w:eastAsia="宋体"/>
                <w:color w:val="000000"/>
                <w:sz w:val="18"/>
                <w:szCs w:val="18"/>
              </w:rPr>
              <w:t>巡察覆盖率</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tabs>
                <w:tab w:val="right" w:pos="1932"/>
              </w:tabs>
              <w:autoSpaceDN w:val="0"/>
              <w:jc w:val="left"/>
              <w:textAlignment w:val="center"/>
              <w:rPr>
                <w:rFonts w:ascii="宋体" w:hAnsi="宋体" w:eastAsia="宋体" w:cs="宋体"/>
                <w:color w:val="000000"/>
                <w:kern w:val="0"/>
                <w:sz w:val="18"/>
                <w:szCs w:val="18"/>
              </w:rPr>
            </w:pPr>
            <w:r>
              <w:rPr>
                <w:rFonts w:ascii="宋体" w:hAnsi="宋体" w:eastAsia="宋体"/>
                <w:color w:val="000000"/>
                <w:sz w:val="18"/>
                <w:szCs w:val="18"/>
              </w:rPr>
              <w:t>巡察整改问题完成情况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4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left"/>
              <w:textAlignment w:val="center"/>
              <w:rPr>
                <w:rFonts w:ascii="宋体" w:hAnsi="宋体" w:eastAsia="宋体" w:cs="宋体"/>
                <w:color w:val="000000"/>
                <w:kern w:val="0"/>
                <w:sz w:val="18"/>
                <w:szCs w:val="18"/>
              </w:rPr>
            </w:pPr>
            <w:r>
              <w:rPr>
                <w:rFonts w:ascii="宋体" w:hAnsi="宋体" w:eastAsia="宋体"/>
                <w:color w:val="000000"/>
                <w:sz w:val="18"/>
                <w:szCs w:val="18"/>
              </w:rPr>
              <w:t>巡察工作按照目标任务完成情况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eastAsia="宋体"/>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4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sz w:val="18"/>
                <w:szCs w:val="18"/>
              </w:rPr>
              <w:t>巡察工作的社会认可度</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4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sz w:val="18"/>
                <w:szCs w:val="18"/>
              </w:rPr>
              <w:t>巡察工作带来影响情况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5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sz w:val="18"/>
                <w:szCs w:val="18"/>
              </w:rPr>
              <w:t>巡察工作群众满意度情况</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5"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追加村级巡察、监督检查工作开支预算自评综述：根据年初设定的绩效目标，该项目绩效自评得分为94分（绩效自评表附后）。全年预算数为36.8万元，执行数为36.8万元，完成预算的100%。项目绩效目标完成情况：实现对所巡察单位的政治性巡察，提升被巡察单位的领导班子学习力、政策执行力、凝聚力。</w:t>
      </w: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追加劳务派遣人员工资预算预算自评综述：根据年初设定的绩效目标，该项目绩效自评得分为90分（绩效自评表附后）。全年预算数为29.05万元，执行数为29.05万元，完成预算的100%。项目绩效目标完成情况：保障劳务派遣人员工资发放。</w:t>
      </w:r>
    </w:p>
    <w:tbl>
      <w:tblPr>
        <w:tblStyle w:val="7"/>
        <w:tblpPr w:leftFromText="180" w:rightFromText="180" w:vertAnchor="page" w:horzAnchor="page" w:tblpX="1480" w:tblpY="5012"/>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追加劳务派遣人员工资预算</w:t>
            </w:r>
          </w:p>
        </w:tc>
      </w:tr>
      <w:tr>
        <w:tblPrEx>
          <w:tblCellMar>
            <w:top w:w="0" w:type="dxa"/>
            <w:left w:w="108" w:type="dxa"/>
            <w:bottom w:w="0" w:type="dxa"/>
            <w:right w:w="108" w:type="dxa"/>
          </w:tblCellMar>
        </w:tblPrEx>
        <w:trPr>
          <w:trHeight w:val="245"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无极县纪委</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无极县纪委</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29.05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24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保障劳务派遣人员工资发放</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已完成</w:t>
            </w:r>
          </w:p>
        </w:tc>
      </w:tr>
      <w:tr>
        <w:tblPrEx>
          <w:tblCellMar>
            <w:top w:w="0" w:type="dxa"/>
            <w:left w:w="108" w:type="dxa"/>
            <w:bottom w:w="0" w:type="dxa"/>
            <w:right w:w="108" w:type="dxa"/>
          </w:tblCellMar>
        </w:tblPrEx>
        <w:trPr>
          <w:trHeight w:val="41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center"/>
              <w:textAlignment w:val="center"/>
              <w:rPr>
                <w:rFonts w:ascii="宋体" w:hAnsi="宋体" w:eastAsia="宋体" w:cs="宋体"/>
                <w:color w:val="000000"/>
                <w:kern w:val="0"/>
                <w:sz w:val="18"/>
                <w:szCs w:val="18"/>
              </w:rPr>
            </w:pPr>
            <w:r>
              <w:rPr>
                <w:rFonts w:ascii="宋体" w:hAnsi="宋体" w:eastAsia="宋体" w:cs="Times New Roman"/>
                <w:color w:val="000000"/>
                <w:sz w:val="18"/>
                <w:szCs w:val="18"/>
              </w:rPr>
              <w:t>发放标准是否符合规定</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center"/>
              <w:textAlignment w:val="center"/>
              <w:rPr>
                <w:rFonts w:ascii="宋体" w:hAnsi="宋体" w:eastAsia="宋体" w:cs="宋体"/>
                <w:color w:val="000000"/>
                <w:kern w:val="0"/>
                <w:sz w:val="18"/>
                <w:szCs w:val="18"/>
              </w:rPr>
            </w:pPr>
            <w:r>
              <w:rPr>
                <w:rFonts w:ascii="宋体" w:hAnsi="宋体" w:eastAsia="宋体" w:cs="Times New Roman"/>
                <w:color w:val="000000"/>
                <w:sz w:val="18"/>
                <w:szCs w:val="18"/>
              </w:rPr>
              <w:t>发放范围是否符合规定</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6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autoSpaceDN w:val="0"/>
              <w:jc w:val="center"/>
              <w:textAlignment w:val="center"/>
              <w:rPr>
                <w:rFonts w:ascii="宋体" w:hAnsi="宋体" w:eastAsia="宋体" w:cs="宋体"/>
                <w:color w:val="000000"/>
                <w:kern w:val="0"/>
                <w:sz w:val="18"/>
                <w:szCs w:val="18"/>
              </w:rPr>
            </w:pPr>
            <w:r>
              <w:rPr>
                <w:rFonts w:ascii="宋体" w:hAnsi="宋体" w:eastAsia="宋体" w:cs="Times New Roman"/>
                <w:color w:val="000000"/>
                <w:sz w:val="18"/>
                <w:szCs w:val="18"/>
              </w:rPr>
              <w:t>发放进度是否符合规定</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3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2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7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Times New Roman" w:hAnsi="Times New Roman" w:eastAsia="宋体" w:cs="Times New Roman"/>
                <w:sz w:val="18"/>
                <w:szCs w:val="18"/>
              </w:rPr>
              <w:t>激励劳务派遣人员工作积极性</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89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Times New Roman" w:hAnsi="Times New Roman" w:eastAsia="宋体" w:cs="Times New Roman"/>
                <w:sz w:val="18"/>
                <w:szCs w:val="18"/>
              </w:rPr>
              <w:t>劳务派遣人员对工资发放满意度</w:t>
            </w:r>
          </w:p>
        </w:tc>
        <w:tc>
          <w:tcPr>
            <w:tcW w:w="85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firstLine="640" w:firstLineChars="200"/>
        <w:rPr>
          <w:rFonts w:ascii="仿宋_GB2312" w:eastAsia="仿宋_GB2312" w:cs="DengXian-Regular"/>
          <w:sz w:val="32"/>
          <w:szCs w:val="32"/>
        </w:rPr>
      </w:pPr>
    </w:p>
    <w:p>
      <w:pPr>
        <w:rPr>
          <w:rFonts w:ascii="Times New Roman" w:hAnsi="Times New Roman" w:eastAsia="宋体" w:cs="Times New Roman"/>
          <w:szCs w:val="24"/>
        </w:rPr>
      </w:pPr>
    </w:p>
    <w:p>
      <w:pPr>
        <w:adjustRightInd w:val="0"/>
        <w:snapToGrid w:val="0"/>
        <w:spacing w:line="58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3.财政评价项目绩效评价结果</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 w:hAnsi="仿宋" w:eastAsia="仿宋" w:cs="仿宋"/>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本部门2019年度机关运行经费支出215.57万元，比2018年度增加36.3万元，增长20.24%。主要原因是</w:t>
      </w:r>
      <w:r>
        <w:rPr>
          <w:rFonts w:hint="eastAsia" w:ascii="仿宋_GB2312" w:eastAsia="仿宋_GB2312" w:cs="DengXian-Regular"/>
          <w:sz w:val="32"/>
          <w:szCs w:val="32"/>
        </w:rPr>
        <w:t>巡视巡察和人员增加经费支出。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7辆，比上年增加1辆，主要是巡察办机要应急车。其中，副部（省）级及以上领导用车0辆，主要领导干部用车0辆，机要通信用车2辆，应急保障用车0辆，执法执勤用车5辆，特种专业技术用车0辆，离退休干部用车0辆，其他用车0辆，其他用车主要是无；</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万元以上通用设备0台（套），比上年增加0套，主要是无增加减少，单位价值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万元以上专用设备0台（套）比上年增加0套，主要是无增加减少。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hAnsi="仿宋_GB2312" w:eastAsia="仿宋_GB2312" w:cs="仿宋_GB2312"/>
          <w:color w:val="000000"/>
          <w:kern w:val="0"/>
          <w:sz w:val="32"/>
          <w:szCs w:val="32"/>
        </w:rPr>
        <w:t>政府性基金预算财政拨款收入支出决算表、政府采购情况表、国有资本经营预算财政拨款支出决算表</w:t>
      </w:r>
      <w:r>
        <w:rPr>
          <w:rFonts w:hint="eastAsia" w:ascii="仿宋_GB2312" w:eastAsia="仿宋_GB2312" w:cs="DengXian-Regular"/>
          <w:sz w:val="32"/>
          <w:szCs w:val="32"/>
        </w:rPr>
        <w:t>无收支及结转结余情况，故上以表以空表列示。</w:t>
      </w:r>
    </w:p>
    <w:p>
      <w:pPr>
        <w:adjustRightInd w:val="0"/>
        <w:snapToGrid w:val="0"/>
        <w:spacing w:line="580" w:lineRule="exact"/>
        <w:ind w:firstLine="640" w:firstLineChars="200"/>
        <w:rPr>
          <w:rFonts w:ascii="仿宋" w:hAnsi="仿宋" w:eastAsia="仿宋" w:cs="仿宋"/>
          <w:sz w:val="32"/>
          <w:szCs w:val="32"/>
        </w:rPr>
        <w:sectPr>
          <w:type w:val="continuous"/>
          <w:pgSz w:w="11906" w:h="16838"/>
          <w:pgMar w:top="2041" w:right="1531" w:bottom="2041" w:left="1531" w:header="851" w:footer="992" w:gutter="0"/>
          <w:pgNumType w:fmt="numberInDash"/>
          <w:cols w:space="0" w:num="1"/>
          <w:titlePg/>
          <w:docGrid w:type="lines" w:linePitch="312" w:charSpace="0"/>
        </w:sect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r>
        <w:rPr>
          <w:rFonts w:hint="eastAsia" w:ascii="仿宋" w:hAnsi="仿宋" w:eastAsia="仿宋" w:cs="仿宋"/>
          <w:sz w:val="32"/>
          <w:szCs w:val="32"/>
        </w:rPr>
        <w:t>。</w:t>
      </w: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r>
        <w:drawing>
          <wp:inline distT="0" distB="0" distL="114300" distR="114300">
            <wp:extent cx="5610860" cy="7113905"/>
            <wp:effectExtent l="0" t="0" r="8890" b="10795"/>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pic:cNvPicPr>
                  </pic:nvPicPr>
                  <pic:blipFill>
                    <a:blip r:embed="rId36"/>
                    <a:stretch>
                      <a:fillRect/>
                    </a:stretch>
                  </pic:blipFill>
                  <pic:spPr>
                    <a:xfrm>
                      <a:off x="0" y="0"/>
                      <a:ext cx="5610860" cy="7113905"/>
                    </a:xfrm>
                    <a:prstGeom prst="rect">
                      <a:avLst/>
                    </a:prstGeom>
                    <a:noFill/>
                    <a:ln>
                      <a:noFill/>
                    </a:ln>
                  </pic:spPr>
                </pic:pic>
              </a:graphicData>
            </a:graphic>
          </wp:inline>
        </w:drawing>
      </w:r>
    </w:p>
    <w:p>
      <w:pPr>
        <w:jc w:val="left"/>
      </w:pPr>
      <w:r>
        <w:drawing>
          <wp:inline distT="0" distB="0" distL="114300" distR="114300">
            <wp:extent cx="5629275" cy="5586095"/>
            <wp:effectExtent l="0" t="0" r="9525" b="14605"/>
            <wp:docPr id="3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
                    <pic:cNvPicPr>
                      <a:picLocks noChangeAspect="1"/>
                    </pic:cNvPicPr>
                  </pic:nvPicPr>
                  <pic:blipFill>
                    <a:blip r:embed="rId37"/>
                    <a:stretch>
                      <a:fillRect/>
                    </a:stretch>
                  </pic:blipFill>
                  <pic:spPr>
                    <a:xfrm>
                      <a:off x="0" y="0"/>
                      <a:ext cx="5629275" cy="5586095"/>
                    </a:xfrm>
                    <a:prstGeom prst="rect">
                      <a:avLst/>
                    </a:prstGeom>
                    <a:noFill/>
                    <a:ln>
                      <a:noFill/>
                    </a:ln>
                  </pic:spPr>
                </pic:pic>
              </a:graphicData>
            </a:graphic>
          </wp:inline>
        </w:drawing>
      </w:r>
    </w:p>
    <w:p>
      <w:pPr>
        <w:jc w:val="left"/>
      </w:pPr>
      <w:r>
        <w:drawing>
          <wp:inline distT="0" distB="0" distL="114300" distR="114300">
            <wp:extent cx="5605780" cy="6075680"/>
            <wp:effectExtent l="0" t="0" r="13970" b="1270"/>
            <wp:docPr id="3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4"/>
                    <pic:cNvPicPr>
                      <a:picLocks noChangeAspect="1"/>
                    </pic:cNvPicPr>
                  </pic:nvPicPr>
                  <pic:blipFill>
                    <a:blip r:embed="rId38"/>
                    <a:stretch>
                      <a:fillRect/>
                    </a:stretch>
                  </pic:blipFill>
                  <pic:spPr>
                    <a:xfrm>
                      <a:off x="0" y="0"/>
                      <a:ext cx="5605780" cy="6075680"/>
                    </a:xfrm>
                    <a:prstGeom prst="rect">
                      <a:avLst/>
                    </a:prstGeom>
                    <a:noFill/>
                    <a:ln>
                      <a:noFill/>
                    </a:ln>
                  </pic:spPr>
                </pic:pic>
              </a:graphicData>
            </a:graphic>
          </wp:inline>
        </w:drawing>
      </w:r>
    </w:p>
    <w:p>
      <w:pPr>
        <w:jc w:val="left"/>
      </w:pPr>
    </w:p>
    <w:p>
      <w:pPr>
        <w:jc w:val="left"/>
      </w:pPr>
      <w:r>
        <w:drawing>
          <wp:inline distT="0" distB="0" distL="114300" distR="114300">
            <wp:extent cx="5614670" cy="6210935"/>
            <wp:effectExtent l="0" t="0" r="5080" b="18415"/>
            <wp:docPr id="3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5"/>
                    <pic:cNvPicPr>
                      <a:picLocks noChangeAspect="1"/>
                    </pic:cNvPicPr>
                  </pic:nvPicPr>
                  <pic:blipFill>
                    <a:blip r:embed="rId39"/>
                    <a:stretch>
                      <a:fillRect/>
                    </a:stretch>
                  </pic:blipFill>
                  <pic:spPr>
                    <a:xfrm>
                      <a:off x="0" y="0"/>
                      <a:ext cx="5614670" cy="6210935"/>
                    </a:xfrm>
                    <a:prstGeom prst="rect">
                      <a:avLst/>
                    </a:prstGeom>
                    <a:noFill/>
                    <a:ln>
                      <a:noFill/>
                    </a:ln>
                  </pic:spPr>
                </pic:pic>
              </a:graphicData>
            </a:graphic>
          </wp:inline>
        </w:drawing>
      </w:r>
    </w:p>
    <w:p>
      <w:pPr>
        <w:jc w:val="left"/>
      </w:pPr>
    </w:p>
    <w:p>
      <w:pPr>
        <w:jc w:val="left"/>
      </w:pPr>
    </w:p>
    <w:p>
      <w:pPr>
        <w:jc w:val="left"/>
      </w:pPr>
      <w:r>
        <w:drawing>
          <wp:inline distT="0" distB="0" distL="114300" distR="114300">
            <wp:extent cx="5610860" cy="5681980"/>
            <wp:effectExtent l="0" t="0" r="8890" b="13970"/>
            <wp:docPr id="3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6"/>
                    <pic:cNvPicPr>
                      <a:picLocks noChangeAspect="1"/>
                    </pic:cNvPicPr>
                  </pic:nvPicPr>
                  <pic:blipFill>
                    <a:blip r:embed="rId40"/>
                    <a:stretch>
                      <a:fillRect/>
                    </a:stretch>
                  </pic:blipFill>
                  <pic:spPr>
                    <a:xfrm>
                      <a:off x="0" y="0"/>
                      <a:ext cx="5610860" cy="5681980"/>
                    </a:xfrm>
                    <a:prstGeom prst="rect">
                      <a:avLst/>
                    </a:prstGeom>
                    <a:noFill/>
                    <a:ln>
                      <a:noFill/>
                    </a:ln>
                  </pic:spPr>
                </pic:pic>
              </a:graphicData>
            </a:graphic>
          </wp:inline>
        </w:drawing>
      </w:r>
    </w:p>
    <w:p>
      <w:pPr>
        <w:jc w:val="left"/>
      </w:pPr>
    </w:p>
    <w:p>
      <w:pPr>
        <w:jc w:val="left"/>
      </w:pPr>
      <w:r>
        <w:drawing>
          <wp:inline distT="0" distB="0" distL="114300" distR="114300">
            <wp:extent cx="5604510" cy="6061710"/>
            <wp:effectExtent l="0" t="0" r="15240" b="15240"/>
            <wp:docPr id="3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7"/>
                    <pic:cNvPicPr>
                      <a:picLocks noChangeAspect="1"/>
                    </pic:cNvPicPr>
                  </pic:nvPicPr>
                  <pic:blipFill>
                    <a:blip r:embed="rId41"/>
                    <a:stretch>
                      <a:fillRect/>
                    </a:stretch>
                  </pic:blipFill>
                  <pic:spPr>
                    <a:xfrm>
                      <a:off x="0" y="0"/>
                      <a:ext cx="5604510" cy="6061710"/>
                    </a:xfrm>
                    <a:prstGeom prst="rect">
                      <a:avLst/>
                    </a:prstGeom>
                    <a:noFill/>
                    <a:ln>
                      <a:noFill/>
                    </a:ln>
                  </pic:spPr>
                </pic:pic>
              </a:graphicData>
            </a:graphic>
          </wp:inline>
        </w:drawing>
      </w:r>
    </w:p>
    <w:p>
      <w:pPr>
        <w:jc w:val="left"/>
      </w:pPr>
    </w:p>
    <w:p>
      <w:pPr>
        <w:jc w:val="left"/>
      </w:pPr>
    </w:p>
    <w:p>
      <w:pPr>
        <w:jc w:val="left"/>
      </w:pPr>
    </w:p>
    <w:p>
      <w:pPr>
        <w:jc w:val="left"/>
      </w:pPr>
    </w:p>
    <w:p>
      <w:pPr>
        <w:jc w:val="left"/>
      </w:pPr>
    </w:p>
    <w:p>
      <w:pPr>
        <w:jc w:val="left"/>
      </w:pPr>
      <w:r>
        <w:drawing>
          <wp:inline distT="0" distB="0" distL="114300" distR="114300">
            <wp:extent cx="5612765" cy="1518920"/>
            <wp:effectExtent l="0" t="0" r="6985" b="5080"/>
            <wp:docPr id="3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8"/>
                    <pic:cNvPicPr>
                      <a:picLocks noChangeAspect="1"/>
                    </pic:cNvPicPr>
                  </pic:nvPicPr>
                  <pic:blipFill>
                    <a:blip r:embed="rId42"/>
                    <a:stretch>
                      <a:fillRect/>
                    </a:stretch>
                  </pic:blipFill>
                  <pic:spPr>
                    <a:xfrm>
                      <a:off x="0" y="0"/>
                      <a:ext cx="5612765" cy="1518920"/>
                    </a:xfrm>
                    <a:prstGeom prst="rect">
                      <a:avLst/>
                    </a:prstGeom>
                    <a:noFill/>
                    <a:ln>
                      <a:noFill/>
                    </a:ln>
                  </pic:spPr>
                </pic:pic>
              </a:graphicData>
            </a:graphic>
          </wp:inline>
        </w:drawing>
      </w: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r>
        <w:drawing>
          <wp:inline distT="0" distB="0" distL="114300" distR="114300">
            <wp:extent cx="5607685" cy="2040255"/>
            <wp:effectExtent l="0" t="0" r="12065" b="17145"/>
            <wp:docPr id="4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9"/>
                    <pic:cNvPicPr>
                      <a:picLocks noChangeAspect="1"/>
                    </pic:cNvPicPr>
                  </pic:nvPicPr>
                  <pic:blipFill>
                    <a:blip r:embed="rId43"/>
                    <a:stretch>
                      <a:fillRect/>
                    </a:stretch>
                  </pic:blipFill>
                  <pic:spPr>
                    <a:xfrm>
                      <a:off x="0" y="0"/>
                      <a:ext cx="5607685" cy="2040255"/>
                    </a:xfrm>
                    <a:prstGeom prst="rect">
                      <a:avLst/>
                    </a:prstGeom>
                    <a:noFill/>
                    <a:ln>
                      <a:noFill/>
                    </a:ln>
                  </pic:spPr>
                </pic:pic>
              </a:graphicData>
            </a:graphic>
          </wp:inline>
        </w:drawing>
      </w:r>
    </w:p>
    <w:p>
      <w:pPr>
        <w:jc w:val="left"/>
      </w:pPr>
      <w:r>
        <w:rPr>
          <w:rFonts w:hint="eastAsia"/>
        </w:rPr>
        <w:t>注：本单位无政府性基金预算财政拨款收入支出，故空表列式。</w:t>
      </w: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r>
        <w:drawing>
          <wp:inline distT="0" distB="0" distL="114300" distR="114300">
            <wp:extent cx="5615305" cy="2768600"/>
            <wp:effectExtent l="0" t="0" r="4445" b="12700"/>
            <wp:docPr id="4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0"/>
                    <pic:cNvPicPr>
                      <a:picLocks noChangeAspect="1"/>
                    </pic:cNvPicPr>
                  </pic:nvPicPr>
                  <pic:blipFill>
                    <a:blip r:embed="rId44"/>
                    <a:stretch>
                      <a:fillRect/>
                    </a:stretch>
                  </pic:blipFill>
                  <pic:spPr>
                    <a:xfrm>
                      <a:off x="0" y="0"/>
                      <a:ext cx="5615305" cy="2768600"/>
                    </a:xfrm>
                    <a:prstGeom prst="rect">
                      <a:avLst/>
                    </a:prstGeom>
                    <a:noFill/>
                    <a:ln>
                      <a:noFill/>
                    </a:ln>
                  </pic:spPr>
                </pic:pic>
              </a:graphicData>
            </a:graphic>
          </wp:inline>
        </w:drawing>
      </w:r>
    </w:p>
    <w:p>
      <w:pPr>
        <w:jc w:val="left"/>
      </w:pPr>
      <w:r>
        <w:rPr>
          <w:rFonts w:hint="eastAsia"/>
        </w:rPr>
        <w:t>注：本单位无国有资本经营预算财政拨款支出，故空表列式。</w:t>
      </w:r>
    </w:p>
    <w:p>
      <w:pPr>
        <w:jc w:val="left"/>
      </w:pPr>
    </w:p>
    <w:p>
      <w:pPr>
        <w:jc w:val="left"/>
      </w:pPr>
    </w:p>
    <w:p>
      <w:pPr>
        <w:jc w:val="left"/>
      </w:pPr>
    </w:p>
    <w:p>
      <w:pPr>
        <w:jc w:val="left"/>
      </w:pPr>
    </w:p>
    <w:p>
      <w:pPr>
        <w:jc w:val="left"/>
      </w:pPr>
    </w:p>
    <w:p>
      <w:pPr>
        <w:jc w:val="left"/>
      </w:pPr>
    </w:p>
    <w:p>
      <w:r>
        <w:br w:type="page"/>
      </w:r>
      <w:r>
        <w:pict>
          <v:rect id="_x0000_s1027" o:spid="_x0000_s1027"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Yu Gothic UI Semibold">
    <w:panose1 w:val="020B0700000000000000"/>
    <w:charset w:val="80"/>
    <w:family w:val="swiss"/>
    <w:pitch w:val="default"/>
    <w:sig w:usb0="E00002FF" w:usb1="2AC7FDFF" w:usb2="00000016" w:usb3="00000000" w:csb0="2002009F"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- 29 -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- 23 -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543BC2"/>
    <w:multiLevelType w:val="singleLevel"/>
    <w:tmpl w:val="32543BC2"/>
    <w:lvl w:ilvl="0" w:tentative="0">
      <w:start w:val="1"/>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D79CC7B"/>
    <w:multiLevelType w:val="singleLevel"/>
    <w:tmpl w:val="5D79CC7B"/>
    <w:lvl w:ilvl="0" w:tentative="0">
      <w:start w:val="1"/>
      <w:numFmt w:val="chineseCounting"/>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07063E"/>
    <w:rsid w:val="00073392"/>
    <w:rsid w:val="00073F4E"/>
    <w:rsid w:val="00086C89"/>
    <w:rsid w:val="000A39FB"/>
    <w:rsid w:val="00117746"/>
    <w:rsid w:val="00163F95"/>
    <w:rsid w:val="00172A27"/>
    <w:rsid w:val="00180A9A"/>
    <w:rsid w:val="001829C0"/>
    <w:rsid w:val="00184809"/>
    <w:rsid w:val="00192112"/>
    <w:rsid w:val="001B0127"/>
    <w:rsid w:val="001C12D5"/>
    <w:rsid w:val="001C69F7"/>
    <w:rsid w:val="001D12A4"/>
    <w:rsid w:val="001D6F97"/>
    <w:rsid w:val="002650EC"/>
    <w:rsid w:val="002A6C46"/>
    <w:rsid w:val="002C19B5"/>
    <w:rsid w:val="0035160A"/>
    <w:rsid w:val="003A4EE8"/>
    <w:rsid w:val="00442CC2"/>
    <w:rsid w:val="00446244"/>
    <w:rsid w:val="00473C20"/>
    <w:rsid w:val="004D61CB"/>
    <w:rsid w:val="004E3E80"/>
    <w:rsid w:val="004F3273"/>
    <w:rsid w:val="005011D6"/>
    <w:rsid w:val="00503F2E"/>
    <w:rsid w:val="00552226"/>
    <w:rsid w:val="00566120"/>
    <w:rsid w:val="005739FA"/>
    <w:rsid w:val="00582E6D"/>
    <w:rsid w:val="005954D5"/>
    <w:rsid w:val="005A53FA"/>
    <w:rsid w:val="005D1293"/>
    <w:rsid w:val="00644D5F"/>
    <w:rsid w:val="00657F86"/>
    <w:rsid w:val="006727AD"/>
    <w:rsid w:val="00691425"/>
    <w:rsid w:val="006A516E"/>
    <w:rsid w:val="006B0830"/>
    <w:rsid w:val="006C66BB"/>
    <w:rsid w:val="00716E2B"/>
    <w:rsid w:val="007210D2"/>
    <w:rsid w:val="00770F18"/>
    <w:rsid w:val="00773B74"/>
    <w:rsid w:val="0078290C"/>
    <w:rsid w:val="007C06CA"/>
    <w:rsid w:val="008163FB"/>
    <w:rsid w:val="0082605B"/>
    <w:rsid w:val="00835243"/>
    <w:rsid w:val="00855C36"/>
    <w:rsid w:val="00857DBE"/>
    <w:rsid w:val="008701BC"/>
    <w:rsid w:val="00883D92"/>
    <w:rsid w:val="008A5362"/>
    <w:rsid w:val="008F21F1"/>
    <w:rsid w:val="008F221B"/>
    <w:rsid w:val="008F5A2D"/>
    <w:rsid w:val="0092151C"/>
    <w:rsid w:val="00921602"/>
    <w:rsid w:val="00933DBB"/>
    <w:rsid w:val="00957EA1"/>
    <w:rsid w:val="00966E5B"/>
    <w:rsid w:val="009760A6"/>
    <w:rsid w:val="009B4EF0"/>
    <w:rsid w:val="009D271F"/>
    <w:rsid w:val="00A40C22"/>
    <w:rsid w:val="00A929C2"/>
    <w:rsid w:val="00AD097F"/>
    <w:rsid w:val="00B22EAD"/>
    <w:rsid w:val="00B844F4"/>
    <w:rsid w:val="00BA06A1"/>
    <w:rsid w:val="00BA770A"/>
    <w:rsid w:val="00BF5408"/>
    <w:rsid w:val="00C02F6C"/>
    <w:rsid w:val="00C054DE"/>
    <w:rsid w:val="00C46087"/>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031B7"/>
    <w:rsid w:val="00F23EAD"/>
    <w:rsid w:val="00F665F4"/>
    <w:rsid w:val="00FD225F"/>
    <w:rsid w:val="05B00A30"/>
    <w:rsid w:val="0B011416"/>
    <w:rsid w:val="11246B2C"/>
    <w:rsid w:val="13FC0A5D"/>
    <w:rsid w:val="1579001C"/>
    <w:rsid w:val="1824666E"/>
    <w:rsid w:val="1EE069CA"/>
    <w:rsid w:val="25EC6B17"/>
    <w:rsid w:val="2CCD4488"/>
    <w:rsid w:val="30D672A2"/>
    <w:rsid w:val="31C2036A"/>
    <w:rsid w:val="320D02A5"/>
    <w:rsid w:val="348E566F"/>
    <w:rsid w:val="352D635D"/>
    <w:rsid w:val="377C68DE"/>
    <w:rsid w:val="3A226944"/>
    <w:rsid w:val="3AEE6A48"/>
    <w:rsid w:val="3C1620AA"/>
    <w:rsid w:val="3D8F080F"/>
    <w:rsid w:val="3EC16B03"/>
    <w:rsid w:val="40D11730"/>
    <w:rsid w:val="43B54BD8"/>
    <w:rsid w:val="441E0030"/>
    <w:rsid w:val="44CE1FA4"/>
    <w:rsid w:val="4631049B"/>
    <w:rsid w:val="487F73ED"/>
    <w:rsid w:val="49821EC2"/>
    <w:rsid w:val="4A347EAE"/>
    <w:rsid w:val="50D30D84"/>
    <w:rsid w:val="52600405"/>
    <w:rsid w:val="529B4319"/>
    <w:rsid w:val="57773DD6"/>
    <w:rsid w:val="578B79AB"/>
    <w:rsid w:val="583346B6"/>
    <w:rsid w:val="5C260AB3"/>
    <w:rsid w:val="5C5312F7"/>
    <w:rsid w:val="5CCD3FD5"/>
    <w:rsid w:val="5F6379B4"/>
    <w:rsid w:val="5FEE6838"/>
    <w:rsid w:val="61FA5F9D"/>
    <w:rsid w:val="64CD6910"/>
    <w:rsid w:val="6789158D"/>
    <w:rsid w:val="67D81BA4"/>
    <w:rsid w:val="6AAF1C96"/>
    <w:rsid w:val="6B2517B9"/>
    <w:rsid w:val="6F594110"/>
    <w:rsid w:val="75681757"/>
    <w:rsid w:val="75A346A8"/>
    <w:rsid w:val="75C813BA"/>
    <w:rsid w:val="79B9382C"/>
    <w:rsid w:val="7A6A3BB5"/>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8" Type="http://schemas.openxmlformats.org/officeDocument/2006/relationships/fontTable" Target="fontTable.xml"/><Relationship Id="rId47" Type="http://schemas.openxmlformats.org/officeDocument/2006/relationships/customXml" Target="../customXml/item2.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11.emf"/><Relationship Id="rId43" Type="http://schemas.openxmlformats.org/officeDocument/2006/relationships/image" Target="media/image10.emf"/><Relationship Id="rId42" Type="http://schemas.openxmlformats.org/officeDocument/2006/relationships/image" Target="media/image9.emf"/><Relationship Id="rId41" Type="http://schemas.openxmlformats.org/officeDocument/2006/relationships/image" Target="media/image8.emf"/><Relationship Id="rId40" Type="http://schemas.openxmlformats.org/officeDocument/2006/relationships/image" Target="media/image7.emf"/><Relationship Id="rId4" Type="http://schemas.openxmlformats.org/officeDocument/2006/relationships/header" Target="header2.xml"/><Relationship Id="rId39" Type="http://schemas.openxmlformats.org/officeDocument/2006/relationships/image" Target="media/image6.emf"/><Relationship Id="rId38" Type="http://schemas.openxmlformats.org/officeDocument/2006/relationships/image" Target="media/image5.emf"/><Relationship Id="rId37" Type="http://schemas.openxmlformats.org/officeDocument/2006/relationships/image" Target="media/image4.emf"/><Relationship Id="rId36" Type="http://schemas.openxmlformats.org/officeDocument/2006/relationships/image" Target="media/image3.emf"/><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image" Target="media/image2.emf"/><Relationship Id="rId31" Type="http://schemas.openxmlformats.org/officeDocument/2006/relationships/chart" Target="charts/chart1.xml"/><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H:\&#32426;&#22996;2019&#20915;&#31639;&#20844;&#24320;\&#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32426;&#22996;2019&#20915;&#31639;&#20844;&#24320;\&#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32426;&#22996;2019&#20915;&#31639;&#20844;&#24320;\&#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9"/>
        </c:manualLayout>
      </c:layout>
      <c:pieChart>
        <c:varyColors val="1"/>
        <c:ser>
          <c:idx val="0"/>
          <c:order val="0"/>
          <c:explosion val="0"/>
          <c:dPt>
            <c:idx val="0"/>
            <c:bubble3D val="0"/>
            <c:explosion val="14"/>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876.48</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500"/>
              <a:t>图3:2018-2019年财政拨款收支对比</a:t>
            </a:r>
            <a:r>
              <a:t>情况</a:t>
            </a:r>
          </a:p>
        </c:rich>
      </c:tx>
      <c:layout>
        <c:manualLayout>
          <c:xMode val="edge"/>
          <c:yMode val="edge"/>
          <c:x val="0.176952543094275"/>
          <c:y val="0.00694444444444445"/>
        </c:manualLayout>
      </c:layout>
      <c:overlay val="0"/>
      <c:spPr>
        <a:noFill/>
        <a:ln>
          <a:noFill/>
        </a:ln>
        <a:effectLst/>
      </c:spPr>
    </c:title>
    <c:autoTitleDeleted val="0"/>
    <c:plotArea>
      <c:layout>
        <c:manualLayout>
          <c:layoutTarget val="inner"/>
          <c:xMode val="edge"/>
          <c:yMode val="edge"/>
          <c:x val="0.019897850606512"/>
          <c:y val="0.198611111111111"/>
          <c:w val="0.953181527984678"/>
          <c:h val="0.584814814814815"/>
        </c:manualLayout>
      </c:layout>
      <c:barChart>
        <c:barDir val="col"/>
        <c:grouping val="clustered"/>
        <c:varyColors val="0"/>
        <c:ser>
          <c:idx val="0"/>
          <c:order val="0"/>
          <c:tx>
            <c:strRef>
              <c:f>[工作簿1]Sheet1!$A$4</c:f>
              <c:strCache>
                <c:ptCount val="1"/>
                <c:pt idx="0">
                  <c:v>2018</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[工作簿1]Sheet1!$B$3:$C$3</c:f>
              <c:strCache>
                <c:ptCount val="2"/>
                <c:pt idx="0">
                  <c:v>财政拨款收入</c:v>
                </c:pt>
                <c:pt idx="1">
                  <c:v>财政拨款支出</c:v>
                </c:pt>
              </c:strCache>
            </c:strRef>
          </c:cat>
          <c:val>
            <c:numRef>
              <c:f>[工作簿1]Sheet1!$B$4:$C$4</c:f>
              <c:numCache>
                <c:formatCode>General</c:formatCode>
                <c:ptCount val="2"/>
                <c:pt idx="0">
                  <c:v>566.3</c:v>
                </c:pt>
                <c:pt idx="1">
                  <c:v>566.3</c:v>
                </c:pt>
              </c:numCache>
            </c:numRef>
          </c:val>
        </c:ser>
        <c:ser>
          <c:idx val="1"/>
          <c:order val="1"/>
          <c:tx>
            <c:strRef>
              <c:f>[工作簿1]Sheet1!$A$5</c:f>
              <c:strCache>
                <c:ptCount val="1"/>
                <c:pt idx="0">
                  <c:v>2019</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[工作簿1]Sheet1!$B$3:$C$3</c:f>
              <c:strCache>
                <c:ptCount val="2"/>
                <c:pt idx="0">
                  <c:v>财政拨款收入</c:v>
                </c:pt>
                <c:pt idx="1">
                  <c:v>财政拨款支出</c:v>
                </c:pt>
              </c:strCache>
            </c:strRef>
          </c:cat>
          <c:val>
            <c:numRef>
              <c:f>[工作簿1]Sheet1!$B$5:$C$5</c:f>
              <c:numCache>
                <c:formatCode>General</c:formatCode>
                <c:ptCount val="2"/>
                <c:pt idx="0">
                  <c:v>876.48</c:v>
                </c:pt>
                <c:pt idx="1">
                  <c:v>876.48</c:v>
                </c:pt>
              </c:numCache>
            </c:numRef>
          </c:val>
        </c:ser>
        <c:dLbls>
          <c:showLegendKey val="0"/>
          <c:showVal val="1"/>
          <c:showCatName val="0"/>
          <c:showSerName val="0"/>
          <c:showPercent val="0"/>
          <c:showBubbleSize val="0"/>
        </c:dLbls>
        <c:gapWidth val="65"/>
        <c:axId val="268159616"/>
        <c:axId val="268169600"/>
      </c:barChart>
      <c:catAx>
        <c:axId val="268159616"/>
        <c:scaling>
          <c:orientation val="minMax"/>
        </c:scaling>
        <c:delete val="0"/>
        <c:axPos val="b"/>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268169600"/>
        <c:crosses val="autoZero"/>
        <c:auto val="1"/>
        <c:lblAlgn val="ctr"/>
        <c:lblOffset val="100"/>
        <c:noMultiLvlLbl val="0"/>
      </c:catAx>
      <c:valAx>
        <c:axId val="2681696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prstDash val="solid"/>
              <a:round/>
            </a:ln>
            <a:effectLst/>
          </c:spPr>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68159616"/>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77985668019106"/>
          <c:y val="0.889324076161057"/>
        </c:manualLayout>
      </c:layout>
      <c:overlay val="0"/>
    </c:title>
    <c:autoTitleDeleted val="0"/>
    <c:plotArea>
      <c:layout>
        <c:manualLayout>
          <c:layoutTarget val="inner"/>
          <c:xMode val="edge"/>
          <c:yMode val="edge"/>
          <c:x val="0.0601803067556492"/>
          <c:y val="0.124659237868771"/>
          <c:w val="0.869289370078741"/>
          <c:h val="0.768818002863281"/>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680.93</c:v>
                </c:pt>
                <c:pt idx="1">
                  <c:v>680.93</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876.48</c:v>
                </c:pt>
                <c:pt idx="1">
                  <c:v>876.48</c:v>
                </c:pt>
              </c:numCache>
            </c:numRef>
          </c:val>
        </c:ser>
        <c:dLbls>
          <c:showLegendKey val="0"/>
          <c:showVal val="1"/>
          <c:showCatName val="0"/>
          <c:showSerName val="0"/>
          <c:showPercent val="0"/>
          <c:showBubbleSize val="0"/>
        </c:dLbls>
        <c:gapWidth val="75"/>
        <c:axId val="253941248"/>
        <c:axId val="253942784"/>
      </c:barChart>
      <c:catAx>
        <c:axId val="25394124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3942784"/>
        <c:crosses val="autoZero"/>
        <c:auto val="1"/>
        <c:lblAlgn val="ctr"/>
        <c:lblOffset val="100"/>
        <c:noMultiLvlLbl val="0"/>
      </c:catAx>
      <c:valAx>
        <c:axId val="25394278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3941248"/>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273053892215569"/>
          <c:y val="0.815571776155718"/>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0364788183993992"/>
                  <c:y val="0.066849816849816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112468883151968"/>
                  <c:y val="0.00091575091575091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750.62</c:v>
                </c:pt>
                <c:pt idx="5">
                  <c:v>103.73</c:v>
                </c:pt>
                <c:pt idx="6">
                  <c:v>22.13</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36"/>
    <customShpInfo spid="_x0000_s1035"/>
    <customShpInfo spid="_x0000_s1034"/>
    <customShpInfo spid="_x0000_s1026"/>
    <customShpInfo spid="_x0000_s1039"/>
    <customShpInfo spid="_x0000_s1038"/>
    <customShpInfo spid="_x0000_s1037"/>
    <customShpInfo spid="_x0000_s1033"/>
    <customShpInfo spid="_x0000_s1041"/>
    <customShpInfo spid="_x0000_s1040"/>
    <customShpInfo spid="_x0000_s1042"/>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36</Pages>
  <Words>1229</Words>
  <Characters>7011</Characters>
  <Lines>58</Lines>
  <Paragraphs>16</Paragraphs>
  <TotalTime>8</TotalTime>
  <ScaleCrop>false</ScaleCrop>
  <LinksUpToDate>false</LinksUpToDate>
  <CharactersWithSpaces>8224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浮生</cp:lastModifiedBy>
  <cp:lastPrinted>2021-05-19T01:17:00Z</cp:lastPrinted>
  <dcterms:modified xsi:type="dcterms:W3CDTF">2025-04-22T07:51:54Z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21A0A0A63A414CBD870D94D3EE5187CA</vt:lpwstr>
  </property>
</Properties>
</file>