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3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36" o:spid="_x0000_s103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3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3" o:spid="_x0000_s1033"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4" o:spid="_x0000_s1034"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无极县统计局</w:t>
      </w:r>
    </w:p>
    <w:p>
      <w:pPr>
        <w:snapToGrid w:val="0"/>
        <w:jc w:val="center"/>
        <w:rPr>
          <w:rFonts w:ascii="黑体" w:hAnsi="Times New Roman" w:eastAsia="黑体" w:cs="Times New Roman"/>
          <w:sz w:val="48"/>
          <w:szCs w:val="48"/>
        </w:rPr>
      </w:pPr>
      <w:r>
        <w:rPr>
          <w:rFonts w:hint="eastAsia" w:ascii="楷体_GB2312" w:hAnsi="楷体_GB2312" w:eastAsia="楷体_GB2312" w:cs="楷体_GB2312"/>
          <w:color w:val="000000" w:themeColor="text1"/>
          <w:kern w:val="0"/>
          <w:sz w:val="44"/>
          <w:szCs w:val="44"/>
        </w:rPr>
        <w:t>二〇二〇年八月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1" o:spid="_x0000_s103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28"/>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（一）组织领导和协调全县统计工作，确保统计数据真实、准确、完整、及时。</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二）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（四）拟订重大县情县力普查调查计划、方案，组织实施全县人口、经济、农业等重大普查调查，汇总、整理和提供有关县情县力方面的统计数据。</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五）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（六）组织实施县域经济发展、农业产业化、特色小镇、节能降耗、绿色发展、城镇化发展、妇女儿童监测、新产业新业态新商业模式（以下简称新经济）等统计监测，收集、整理和提供统计数据。</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（七）综合整理和提供财政、金融、旅游、交通运输、邮政、文化、教育、体育、卫生、社会保障、公用事业、对外经济、收入、价格等基本统计数据。</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（八）组织各乡（镇）和各部门的经济、社会、科技、服务业统计调查，统一核定、管理、公布全县性基本统计资料，定期发布全县国民经济和社会发展情况的统计信息，组织建立统计信息共享制度和发布制度。</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（九）对国民经济、社会发展、科技进步和资源环境等情况进行统计分析、统计预测和统计监督，向县委、县政府及有关部门提供统计信息和咨询建议。</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十）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（十一）负责全县统计信息化系统和统计数据库体系建设工作，管理全县统计数据库网络，组织全县统计信息化系统建设。</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（十二）负责名录库建设、全面建成小康社会统计监测、社情民意调查等工作；监督管理全县中央统计经费和县财政提供的统计经费。</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eastAsia="仿宋_GB2312" w:cs="ArialUnicodeMS"/>
          <w:kern w:val="0"/>
          <w:sz w:val="32"/>
          <w:szCs w:val="32"/>
        </w:rPr>
        <w:t>（十四）完成县委、县政府和市统计局交办的其他任务。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无极县统计局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0" o:spid="_x0000_s103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29" o:spid="_x0000_s1029"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本部门2019年度收支总计（含结转和结余）453.09万元。与2018年度决算相比，收支各增加131.45万元，增长40.9%，主要原因是项目支出增多。</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本部门2019年度本年收入合计452.63万元，其中：财政拨款收入452.63万元，占100%；如图所示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eastAsia="仿宋_GB2312" w:cs="DengXian-Regular"/>
          <w:sz w:val="32"/>
          <w:szCs w:val="32"/>
        </w:rPr>
        <w:drawing>
          <wp:anchor distT="0" distB="0" distL="0" distR="0" simplePos="0" relativeHeight="251692032" behindDoc="0" locked="0" layoutInCell="1" allowOverlap="1">
            <wp:simplePos x="0" y="0"/>
            <wp:positionH relativeFrom="column">
              <wp:posOffset>641350</wp:posOffset>
            </wp:positionH>
            <wp:positionV relativeFrom="paragraph">
              <wp:posOffset>262890</wp:posOffset>
            </wp:positionV>
            <wp:extent cx="4391025" cy="2552700"/>
            <wp:effectExtent l="6350" t="6350" r="22225" b="12700"/>
            <wp:wrapSquare wrapText="bothSides"/>
            <wp:docPr id="34"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本部门2019年度本年支出合计452.58万元，其中：基本支出328.41万元，占72.56%；项目支出124.17万元，占27.44%；如图所示：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eastAsia="仿宋_GB2312" w:cs="DengXian-Regular"/>
          <w:sz w:val="32"/>
          <w:szCs w:val="32"/>
        </w:rPr>
        <w:drawing>
          <wp:anchor distT="0" distB="0" distL="0" distR="0" simplePos="0" relativeHeight="251693056" behindDoc="0" locked="0" layoutInCell="1" allowOverlap="1">
            <wp:simplePos x="0" y="0"/>
            <wp:positionH relativeFrom="column">
              <wp:posOffset>706755</wp:posOffset>
            </wp:positionH>
            <wp:positionV relativeFrom="paragraph">
              <wp:posOffset>-66040</wp:posOffset>
            </wp:positionV>
            <wp:extent cx="4219575" cy="2514600"/>
            <wp:effectExtent l="6350" t="6350" r="22225" b="12700"/>
            <wp:wrapSquare wrapText="bothSides"/>
            <wp:docPr id="35"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452.63万元,比2018年度增加141.97万元，增长45.7%，主要是项目收入增加；本年支出452.58万元，增加131.59万元，增长41%，主要是项目支出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eastAsia="仿宋_GB2312" w:cs="DengXian-Regular"/>
          <w:sz w:val="32"/>
          <w:szCs w:val="32"/>
        </w:rPr>
        <w:drawing>
          <wp:anchor distT="0" distB="0" distL="0" distR="0" simplePos="0" relativeHeight="251694080" behindDoc="0" locked="0" layoutInCell="1" allowOverlap="1">
            <wp:simplePos x="0" y="0"/>
            <wp:positionH relativeFrom="column">
              <wp:posOffset>476250</wp:posOffset>
            </wp:positionH>
            <wp:positionV relativeFrom="paragraph">
              <wp:posOffset>302260</wp:posOffset>
            </wp:positionV>
            <wp:extent cx="4392295" cy="2854960"/>
            <wp:effectExtent l="6350" t="6350" r="20955" b="15240"/>
            <wp:wrapSquare wrapText="bothSides"/>
            <wp:docPr id="3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452.63万元，完成年初预算的120%（如图4）,比年初预算增加74.58万元，决算数大于预算数主要原因是项目支出增加；本年支出452.58万元，完成年初预算的120%,比年初预算增加74.53万元，决算数大于预算数主要原因是主要是项目支出增加。</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eastAsia="仿宋_GB2312" w:cs="DengXian-Regular"/>
          <w:sz w:val="32"/>
          <w:szCs w:val="32"/>
        </w:rPr>
        <w:drawing>
          <wp:anchor distT="0" distB="0" distL="0" distR="0" simplePos="0" relativeHeight="251695104" behindDoc="0" locked="0" layoutInCell="1" allowOverlap="1">
            <wp:simplePos x="0" y="0"/>
            <wp:positionH relativeFrom="column">
              <wp:posOffset>582295</wp:posOffset>
            </wp:positionH>
            <wp:positionV relativeFrom="paragraph">
              <wp:posOffset>191135</wp:posOffset>
            </wp:positionV>
            <wp:extent cx="4572000" cy="3486150"/>
            <wp:effectExtent l="6350" t="6350" r="12700" b="12700"/>
            <wp:wrapSquare wrapText="bothSides"/>
            <wp:docPr id="37"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年度财政拨款支出452.58万元，主要用于以下方面：一般公共服务（类）支出381.04万元，占84%，；社会保障和就业（类）支出 58.74万元，占13%；卫生健康（类）支出12.79万元，占3%。</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271145</wp:posOffset>
            </wp:positionH>
            <wp:positionV relativeFrom="paragraph">
              <wp:posOffset>229235</wp:posOffset>
            </wp:positionV>
            <wp:extent cx="4572000" cy="3524885"/>
            <wp:effectExtent l="4445" t="4445" r="14605" b="13970"/>
            <wp:wrapSquare wrapText="bothSides"/>
            <wp:docPr id="3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年度财政拨款基本支出328.41万元，其中：人员经费 292.4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36.01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本部门2019年度“三公”经费支出共计2.01万元，完成预算的0.67%,较预算减少0.99万元，降低0.33%，主要是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；较2018年度减少0.4万元，降低16.6%，主要是</w:t>
      </w:r>
      <w:r>
        <w:rPr>
          <w:rFonts w:hint="eastAsia" w:ascii="仿宋_GB2312" w:eastAsia="仿宋_GB2312" w:cs="DengXian-Regular"/>
          <w:sz w:val="32"/>
          <w:szCs w:val="32"/>
        </w:rPr>
        <w:t>缩减三公经费</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本部门2019年度未发生“因公出国（境）费支出”。与预算持平，无增减变化；与2018年决算持平，无增减变化。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（二）公务用车购置及运行维护费支出2.01万元。</w:t>
      </w:r>
      <w:r>
        <w:rPr>
          <w:rFonts w:hint="eastAsia" w:ascii="仿宋_GB2312" w:hAnsi="Times New Roman" w:eastAsia="仿宋_GB2312" w:cs="DengXian-Regular"/>
          <w:sz w:val="32"/>
          <w:szCs w:val="32"/>
        </w:rPr>
        <w:t>本部门2019年度公务用车购置及运行维护费较预算减少0.99万元，降低0.33%,主要是</w:t>
      </w:r>
      <w:r>
        <w:rPr>
          <w:rFonts w:hint="eastAsia" w:ascii="仿宋_GB2312" w:eastAsia="仿宋_GB2312" w:cs="DengXian-Regular"/>
          <w:sz w:val="32"/>
          <w:szCs w:val="32"/>
        </w:rPr>
        <w:t>缩减三公经费</w:t>
      </w:r>
      <w:r>
        <w:rPr>
          <w:rFonts w:hint="eastAsia" w:ascii="仿宋_GB2312" w:hAnsi="Times New Roman" w:eastAsia="仿宋_GB2312" w:cs="DengXian-Regular"/>
          <w:sz w:val="32"/>
          <w:szCs w:val="32"/>
        </w:rPr>
        <w:t>；较上年减少0.4万元，降低16.6%,主要是</w:t>
      </w:r>
      <w:r>
        <w:rPr>
          <w:rFonts w:hint="eastAsia" w:ascii="仿宋_GB2312" w:eastAsia="仿宋_GB2312" w:cs="DengXian-Regular"/>
          <w:sz w:val="32"/>
          <w:szCs w:val="32"/>
        </w:rPr>
        <w:t>缩减三公经费</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bookmarkStart w:id="0" w:name="_GoBack"/>
      <w:bookmarkEnd w:id="0"/>
    </w:p>
    <w:p>
      <w:pPr>
        <w:numPr>
          <w:ilvl w:val="0"/>
          <w:numId w:val="2"/>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eastAsia="仿宋_GB2312" w:cs="DengXian-Regular"/>
          <w:sz w:val="32"/>
          <w:szCs w:val="32"/>
        </w:rPr>
        <w:t>未发生“公务用车购置”经费支出。</w:t>
      </w:r>
      <w:r>
        <w:rPr>
          <w:rFonts w:hint="eastAsia" w:ascii="仿宋_GB2312" w:hAnsi="Times New Roman" w:eastAsia="仿宋_GB2312" w:cs="DengXian-Regular"/>
          <w:sz w:val="32"/>
          <w:szCs w:val="32"/>
        </w:rPr>
        <w:t>与预算持平，无增减变化；与2018年决算持平，无增减变化。</w:t>
      </w:r>
    </w:p>
    <w:p>
      <w:pPr>
        <w:adjustRightInd w:val="0"/>
        <w:snapToGrid w:val="0"/>
        <w:spacing w:line="580" w:lineRule="exact"/>
        <w:ind w:firstLine="640" w:firstLineChars="200"/>
        <w:rPr>
          <w:rFonts w:ascii="仿宋_GB2312" w:hAnsi="Times New Roman" w:eastAsia="仿宋_GB2312" w:cs="DengXian-Regular"/>
          <w:color w:val="000000"/>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本部门2019年度单位公务用车保有量1辆。公车运行维护费支出较预算减少0.99万元，降低0.33%,主要是</w:t>
      </w:r>
      <w:r>
        <w:rPr>
          <w:rFonts w:hint="eastAsia" w:ascii="仿宋_GB2312" w:eastAsia="仿宋_GB2312" w:cs="DengXian-Regular"/>
          <w:sz w:val="32"/>
          <w:szCs w:val="32"/>
        </w:rPr>
        <w:t>缩减三公经费</w:t>
      </w:r>
      <w:r>
        <w:rPr>
          <w:rFonts w:hint="eastAsia" w:ascii="仿宋_GB2312" w:hAnsi="Times New Roman" w:eastAsia="仿宋_GB2312" w:cs="DengXian-Regular"/>
          <w:sz w:val="32"/>
          <w:szCs w:val="32"/>
        </w:rPr>
        <w:t>；较上年减少0.4万元，降低16.6%，主要是</w:t>
      </w:r>
      <w:r>
        <w:rPr>
          <w:rFonts w:hint="eastAsia" w:ascii="仿宋_GB2312" w:eastAsia="仿宋_GB2312" w:cs="DengXian-Regular"/>
          <w:sz w:val="32"/>
          <w:szCs w:val="32"/>
        </w:rPr>
        <w:t>缩减三公经费</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本部门2019年度未发生“公务接待费”。与预算持平，无增减变化；与2018年决算持平，无增减变化。</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根据预算绩效管理要求，本部门组织对2019年度一般公共预算项目支出全面开展绩效自评，其中，一级项目5个，共涉及资金103.65万元，占一般公共预算项目支出总额的23%。组织对“</w:t>
      </w:r>
      <w:r>
        <w:rPr>
          <w:rFonts w:hint="eastAsia" w:ascii="仿宋_GB2312" w:eastAsia="仿宋_GB2312" w:cs="DengXian-Regular"/>
          <w:sz w:val="32"/>
          <w:szCs w:val="32"/>
        </w:rPr>
        <w:t>第四次全国经济普查”、“住户抽样调查”、“粮食产量抽样调查”</w:t>
      </w:r>
      <w:r>
        <w:rPr>
          <w:rFonts w:hint="eastAsia" w:ascii="仿宋_GB2312" w:hAnsi="仿宋_GB2312" w:eastAsia="仿宋_GB2312" w:cs="仿宋_GB2312"/>
          <w:sz w:val="32"/>
          <w:szCs w:val="32"/>
        </w:rPr>
        <w:t>等5个项目开展了部门评价，涉及一般公共预算支出103.65万元。从评价情况来看</w:t>
      </w:r>
      <w:r>
        <w:rPr>
          <w:rFonts w:hint="eastAsia" w:ascii="仿宋_GB2312" w:eastAsia="仿宋_GB2312" w:cs="DengXian-Regular"/>
          <w:sz w:val="32"/>
          <w:szCs w:val="32"/>
        </w:rPr>
        <w:t>优秀的项目有2个，良好的项目有3个</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eastAsia="仿宋_GB2312" w:cs="DengXian-Regular"/>
          <w:sz w:val="32"/>
          <w:szCs w:val="32"/>
        </w:rPr>
        <w:t>第四次全国经济普查</w:t>
      </w:r>
      <w:r>
        <w:rPr>
          <w:rFonts w:hint="eastAsia" w:ascii="仿宋_GB2312" w:hAnsi="仿宋_GB2312" w:eastAsia="仿宋_GB2312" w:cs="仿宋_GB2312"/>
          <w:sz w:val="32"/>
          <w:szCs w:val="32"/>
        </w:rPr>
        <w:t>项目等5个项目绩效自评结果。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第四次全国经济普查</w:t>
      </w:r>
      <w:r>
        <w:rPr>
          <w:rFonts w:hint="eastAsia" w:ascii="仿宋_GB2312" w:hAnsi="仿宋_GB2312" w:eastAsia="仿宋_GB2312" w:cs="仿宋_GB2312"/>
          <w:sz w:val="32"/>
          <w:szCs w:val="32"/>
        </w:rPr>
        <w:t>项目自评综述：根据年初设定的绩效目标，</w:t>
      </w:r>
      <w:r>
        <w:rPr>
          <w:rFonts w:hint="eastAsia" w:ascii="仿宋_GB2312" w:eastAsia="仿宋_GB2312" w:cs="DengXian-Regular"/>
          <w:sz w:val="32"/>
          <w:szCs w:val="32"/>
        </w:rPr>
        <w:t>第四次全国经济普查</w:t>
      </w:r>
      <w:r>
        <w:rPr>
          <w:rFonts w:hint="eastAsia" w:ascii="仿宋_GB2312" w:hAnsi="仿宋_GB2312" w:eastAsia="仿宋_GB2312" w:cs="仿宋_GB2312"/>
          <w:sz w:val="32"/>
          <w:szCs w:val="32"/>
        </w:rPr>
        <w:t>项目绩效自评得分为9.2分（绩效自评表附后）。全年预算数为83.041万元，执行数为76.7335万元，完成预算的91.5%；</w:t>
      </w:r>
      <w:r>
        <w:rPr>
          <w:rFonts w:hint="eastAsia" w:ascii="仿宋_GB2312" w:eastAsia="仿宋_GB2312" w:cs="DengXian-Regular"/>
          <w:sz w:val="32"/>
          <w:szCs w:val="32"/>
        </w:rPr>
        <w:t>统计专项经费</w:t>
      </w:r>
      <w:r>
        <w:rPr>
          <w:rFonts w:hint="eastAsia" w:ascii="仿宋_GB2312" w:hAnsi="仿宋_GB2312" w:eastAsia="仿宋_GB2312" w:cs="仿宋_GB2312"/>
          <w:sz w:val="32"/>
          <w:szCs w:val="32"/>
        </w:rPr>
        <w:t>项目绩效自评得分为9.6分（绩效自评表附后）。全年预算数为14万元，执行数为13.06万元，完成预算的96%；</w:t>
      </w:r>
      <w:r>
        <w:rPr>
          <w:rFonts w:hint="eastAsia" w:ascii="仿宋_GB2312" w:eastAsia="仿宋_GB2312" w:cs="DengXian-Regular"/>
          <w:sz w:val="32"/>
          <w:szCs w:val="32"/>
        </w:rPr>
        <w:t>住户抽样调查</w:t>
      </w:r>
      <w:r>
        <w:rPr>
          <w:rFonts w:hint="eastAsia" w:ascii="仿宋_GB2312" w:hAnsi="仿宋_GB2312" w:eastAsia="仿宋_GB2312" w:cs="仿宋_GB2312"/>
          <w:sz w:val="32"/>
          <w:szCs w:val="32"/>
        </w:rPr>
        <w:t>项目绩效自评得分为8.7分（绩效自评表附后）。全年预算数为14万元，执行数为9.047万元，完成预算的87%；</w:t>
      </w:r>
      <w:r>
        <w:rPr>
          <w:rFonts w:hint="eastAsia" w:ascii="仿宋_GB2312" w:eastAsia="仿宋_GB2312" w:cs="DengXian-Regular"/>
          <w:sz w:val="32"/>
          <w:szCs w:val="32"/>
        </w:rPr>
        <w:t>粮食产量抽样调查</w:t>
      </w:r>
      <w:r>
        <w:rPr>
          <w:rFonts w:hint="eastAsia" w:ascii="仿宋_GB2312" w:hAnsi="仿宋_GB2312" w:eastAsia="仿宋_GB2312" w:cs="仿宋_GB2312"/>
          <w:sz w:val="32"/>
          <w:szCs w:val="32"/>
        </w:rPr>
        <w:t>项目绩效自评得分为8分（绩效自评表附后）。全年预算数为6万元，执行数为4.72万元，完成预算的80%；</w:t>
      </w:r>
      <w:r>
        <w:rPr>
          <w:rFonts w:hint="eastAsia" w:ascii="仿宋_GB2312" w:eastAsia="仿宋_GB2312" w:cs="DengXian-Regular"/>
          <w:sz w:val="32"/>
          <w:szCs w:val="32"/>
        </w:rPr>
        <w:t>人口变动抽样调查</w:t>
      </w:r>
      <w:r>
        <w:rPr>
          <w:rFonts w:hint="eastAsia" w:ascii="仿宋_GB2312" w:hAnsi="仿宋_GB2312" w:eastAsia="仿宋_GB2312" w:cs="仿宋_GB2312"/>
          <w:sz w:val="32"/>
          <w:szCs w:val="32"/>
        </w:rPr>
        <w:t>项目绩效自评得分为8.3分（绩效自评表附后）。全年预算数为1万元，执行数为0.0925万元，完成预算的83%。项目绩效目标完成情况：一是完成率，按照要求和计划完成任务的项目在所有立项项目中的比例（百分比）；二是群众满意度。发现的主要问题及原因：一是预算编制的合理性有待进一步提高；二是统计人员的业务水平还不能满足绩效管理工作要求，专业素质有待提高。下一步改进措施：一是加强对统计系统干部的政治理论和业务知识的培训教育，进一步做好统计服务、统计监测和预警工作；二是做好统计信息和统计分析的撰写，更多地提供优质服务产品。</w:t>
      </w:r>
    </w:p>
    <w:tbl>
      <w:tblPr>
        <w:tblStyle w:val="6"/>
        <w:tblW w:w="8920" w:type="dxa"/>
        <w:tblInd w:w="0" w:type="dxa"/>
        <w:tblLayout w:type="fixed"/>
        <w:tblCellMar>
          <w:top w:w="15" w:type="dxa"/>
          <w:left w:w="15" w:type="dxa"/>
          <w:bottom w:w="15" w:type="dxa"/>
          <w:right w:w="15" w:type="dxa"/>
        </w:tblCellMar>
      </w:tblPr>
      <w:tblGrid>
        <w:gridCol w:w="637"/>
        <w:gridCol w:w="637"/>
        <w:gridCol w:w="637"/>
        <w:gridCol w:w="637"/>
        <w:gridCol w:w="637"/>
        <w:gridCol w:w="638"/>
        <w:gridCol w:w="637"/>
        <w:gridCol w:w="637"/>
        <w:gridCol w:w="637"/>
        <w:gridCol w:w="637"/>
        <w:gridCol w:w="638"/>
        <w:gridCol w:w="636"/>
        <w:gridCol w:w="638"/>
        <w:gridCol w:w="637"/>
      </w:tblGrid>
      <w:tr>
        <w:tblPrEx>
          <w:tblCellMar>
            <w:top w:w="15" w:type="dxa"/>
            <w:left w:w="15" w:type="dxa"/>
            <w:bottom w:w="15" w:type="dxa"/>
            <w:right w:w="15" w:type="dxa"/>
          </w:tblCellMar>
        </w:tblPrEx>
        <w:trPr>
          <w:trHeight w:val="550" w:hRule="atLeast"/>
        </w:trPr>
        <w:tc>
          <w:tcPr>
            <w:tcW w:w="8920" w:type="dxa"/>
            <w:gridSpan w:val="14"/>
            <w:shd w:val="clear" w:color="auto" w:fill="auto"/>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15" w:type="dxa"/>
            <w:left w:w="15" w:type="dxa"/>
            <w:bottom w:w="15" w:type="dxa"/>
            <w:right w:w="15" w:type="dxa"/>
          </w:tblCellMar>
        </w:tblPrEx>
        <w:trPr>
          <w:trHeight w:val="291" w:hRule="atLeast"/>
        </w:trPr>
        <w:tc>
          <w:tcPr>
            <w:tcW w:w="8920" w:type="dxa"/>
            <w:gridSpan w:val="14"/>
            <w:shd w:val="clear" w:color="auto" w:fill="auto"/>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（2019年度）</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764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第四次全国经济普查</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18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318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76.441</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83.041</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76.7335</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91.50%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9.2</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0" w:hRule="atLeast"/>
        </w:trPr>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382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44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15" w:type="dxa"/>
            <w:left w:w="15" w:type="dxa"/>
            <w:bottom w:w="15" w:type="dxa"/>
            <w:right w:w="15" w:type="dxa"/>
          </w:tblCellMar>
        </w:tblPrEx>
        <w:trPr>
          <w:trHeight w:val="300"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382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保质保量完成工作</w:t>
            </w:r>
          </w:p>
        </w:tc>
        <w:tc>
          <w:tcPr>
            <w:tcW w:w="44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保质保量完成工作</w:t>
            </w:r>
          </w:p>
        </w:tc>
      </w:tr>
      <w:tr>
        <w:tblPrEx>
          <w:tblCellMar>
            <w:top w:w="15" w:type="dxa"/>
            <w:left w:w="15" w:type="dxa"/>
            <w:bottom w:w="15" w:type="dxa"/>
            <w:right w:w="15" w:type="dxa"/>
          </w:tblCellMar>
        </w:tblPrEx>
        <w:trPr>
          <w:trHeight w:val="300" w:hRule="atLeast"/>
        </w:trPr>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19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127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7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2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15" w:type="dxa"/>
            <w:left w:w="15" w:type="dxa"/>
            <w:bottom w:w="15" w:type="dxa"/>
            <w:right w:w="15" w:type="dxa"/>
          </w:tblCellMar>
        </w:tblPrEx>
        <w:trPr>
          <w:trHeight w:val="296"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9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127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614"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时效指标</w:t>
            </w:r>
          </w:p>
        </w:tc>
        <w:tc>
          <w:tcPr>
            <w:tcW w:w="19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完成率，按照要求和计划完成任务的项目在所有立项项目中的比例（百分比）</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99%</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558"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19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群众满意度</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308" w:hRule="atLeast"/>
        </w:trPr>
        <w:tc>
          <w:tcPr>
            <w:tcW w:w="509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r>
    </w:tbl>
    <w:p>
      <w:pPr>
        <w:adjustRightInd w:val="0"/>
        <w:snapToGrid w:val="0"/>
        <w:spacing w:line="580" w:lineRule="exact"/>
        <w:rPr>
          <w:rFonts w:ascii="仿宋_GB2312" w:hAnsi="仿宋_GB2312" w:eastAsia="仿宋_GB2312" w:cs="仿宋_GB2312"/>
          <w:sz w:val="32"/>
          <w:szCs w:val="32"/>
        </w:rPr>
      </w:pPr>
    </w:p>
    <w:tbl>
      <w:tblPr>
        <w:tblStyle w:val="6"/>
        <w:tblW w:w="8700" w:type="dxa"/>
        <w:tblInd w:w="0" w:type="dxa"/>
        <w:tblLayout w:type="fixed"/>
        <w:tblCellMar>
          <w:top w:w="15" w:type="dxa"/>
          <w:left w:w="15" w:type="dxa"/>
          <w:bottom w:w="15" w:type="dxa"/>
          <w:right w:w="15" w:type="dxa"/>
        </w:tblCellMar>
      </w:tblPr>
      <w:tblGrid>
        <w:gridCol w:w="621"/>
        <w:gridCol w:w="622"/>
        <w:gridCol w:w="621"/>
        <w:gridCol w:w="622"/>
        <w:gridCol w:w="621"/>
        <w:gridCol w:w="621"/>
        <w:gridCol w:w="622"/>
        <w:gridCol w:w="621"/>
        <w:gridCol w:w="622"/>
        <w:gridCol w:w="621"/>
        <w:gridCol w:w="622"/>
        <w:gridCol w:w="621"/>
        <w:gridCol w:w="622"/>
        <w:gridCol w:w="621"/>
      </w:tblGrid>
      <w:tr>
        <w:tblPrEx>
          <w:tblCellMar>
            <w:top w:w="15" w:type="dxa"/>
            <w:left w:w="15" w:type="dxa"/>
            <w:bottom w:w="15" w:type="dxa"/>
            <w:right w:w="15" w:type="dxa"/>
          </w:tblCellMar>
        </w:tblPrEx>
        <w:trPr>
          <w:trHeight w:val="599" w:hRule="atLeast"/>
        </w:trPr>
        <w:tc>
          <w:tcPr>
            <w:tcW w:w="8700" w:type="dxa"/>
            <w:gridSpan w:val="14"/>
            <w:shd w:val="clear" w:color="auto" w:fill="auto"/>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15" w:type="dxa"/>
            <w:left w:w="15" w:type="dxa"/>
            <w:bottom w:w="15" w:type="dxa"/>
            <w:right w:w="15" w:type="dxa"/>
          </w:tblCellMar>
        </w:tblPrEx>
        <w:trPr>
          <w:trHeight w:val="317" w:hRule="atLeast"/>
        </w:trPr>
        <w:tc>
          <w:tcPr>
            <w:tcW w:w="8700" w:type="dxa"/>
            <w:gridSpan w:val="14"/>
            <w:shd w:val="clear" w:color="auto" w:fill="auto"/>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（2019年度）</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745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统计工作专项经费</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10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310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13.06</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96.00%</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9.6</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26" w:hRule="atLeast"/>
        </w:trPr>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26" w:hRule="atLeast"/>
        </w:trPr>
        <w:tc>
          <w:tcPr>
            <w:tcW w:w="6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37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43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15" w:type="dxa"/>
            <w:left w:w="15" w:type="dxa"/>
            <w:bottom w:w="15" w:type="dxa"/>
            <w:right w:w="15" w:type="dxa"/>
          </w:tblCellMar>
        </w:tblPrEx>
        <w:trPr>
          <w:trHeight w:val="326" w:hRule="atLeast"/>
        </w:trPr>
        <w:tc>
          <w:tcPr>
            <w:tcW w:w="6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37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完成统计目标</w:t>
            </w:r>
          </w:p>
        </w:tc>
        <w:tc>
          <w:tcPr>
            <w:tcW w:w="43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完成了统计目标</w:t>
            </w:r>
          </w:p>
        </w:tc>
      </w:tr>
      <w:tr>
        <w:tblPrEx>
          <w:tblCellMar>
            <w:top w:w="15" w:type="dxa"/>
            <w:left w:w="15" w:type="dxa"/>
            <w:bottom w:w="15" w:type="dxa"/>
            <w:right w:w="15" w:type="dxa"/>
          </w:tblCellMar>
        </w:tblPrEx>
        <w:trPr>
          <w:trHeight w:val="326" w:hRule="atLeast"/>
        </w:trPr>
        <w:tc>
          <w:tcPr>
            <w:tcW w:w="6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6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6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186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12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24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15" w:type="dxa"/>
            <w:left w:w="15" w:type="dxa"/>
            <w:bottom w:w="15" w:type="dxa"/>
            <w:right w:w="15" w:type="dxa"/>
          </w:tblCellMar>
        </w:tblPrEx>
        <w:trPr>
          <w:trHeight w:val="323" w:hRule="atLeast"/>
        </w:trPr>
        <w:tc>
          <w:tcPr>
            <w:tcW w:w="6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86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12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4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608" w:hRule="atLeast"/>
        </w:trPr>
        <w:tc>
          <w:tcPr>
            <w:tcW w:w="6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质量指标</w:t>
            </w:r>
          </w:p>
        </w:tc>
        <w:tc>
          <w:tcPr>
            <w:tcW w:w="18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优良率，结项鉴定优秀等级项目数量占结项总数量的比例（百分比）</w:t>
            </w:r>
          </w:p>
        </w:tc>
        <w:tc>
          <w:tcPr>
            <w:tcW w:w="6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96%</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608" w:hRule="atLeast"/>
        </w:trPr>
        <w:tc>
          <w:tcPr>
            <w:tcW w:w="6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2" w:type="dxa"/>
            <w:tcBorders>
              <w:top w:val="single" w:color="000000" w:sz="4" w:space="0"/>
              <w:left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满意度指标</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18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群众满意度</w:t>
            </w:r>
          </w:p>
        </w:tc>
        <w:tc>
          <w:tcPr>
            <w:tcW w:w="6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335" w:hRule="atLeast"/>
        </w:trPr>
        <w:tc>
          <w:tcPr>
            <w:tcW w:w="497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97</w:t>
            </w:r>
          </w:p>
        </w:tc>
        <w:tc>
          <w:tcPr>
            <w:tcW w:w="1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r>
    </w:tbl>
    <w:p>
      <w:pPr>
        <w:keepNext/>
        <w:keepLines/>
        <w:snapToGrid w:val="0"/>
        <w:spacing w:line="580" w:lineRule="exact"/>
        <w:ind w:firstLine="640" w:firstLineChars="200"/>
        <w:outlineLvl w:val="1"/>
        <w:rPr>
          <w:rFonts w:ascii="仿宋_GB2312" w:hAnsi="仿宋_GB2312" w:eastAsia="仿宋_GB2312" w:cs="仿宋_GB2312"/>
          <w:sz w:val="32"/>
          <w:szCs w:val="32"/>
        </w:rPr>
      </w:pPr>
    </w:p>
    <w:tbl>
      <w:tblPr>
        <w:tblStyle w:val="6"/>
        <w:tblW w:w="8780" w:type="dxa"/>
        <w:tblInd w:w="0" w:type="dxa"/>
        <w:tblLayout w:type="fixed"/>
        <w:tblCellMar>
          <w:top w:w="15" w:type="dxa"/>
          <w:left w:w="15" w:type="dxa"/>
          <w:bottom w:w="15" w:type="dxa"/>
          <w:right w:w="15" w:type="dxa"/>
        </w:tblCellMar>
      </w:tblPr>
      <w:tblGrid>
        <w:gridCol w:w="627"/>
        <w:gridCol w:w="627"/>
        <w:gridCol w:w="627"/>
        <w:gridCol w:w="627"/>
        <w:gridCol w:w="627"/>
        <w:gridCol w:w="628"/>
        <w:gridCol w:w="627"/>
        <w:gridCol w:w="627"/>
        <w:gridCol w:w="627"/>
        <w:gridCol w:w="627"/>
        <w:gridCol w:w="628"/>
        <w:gridCol w:w="626"/>
        <w:gridCol w:w="628"/>
        <w:gridCol w:w="627"/>
      </w:tblGrid>
      <w:tr>
        <w:tblPrEx>
          <w:tblCellMar>
            <w:top w:w="15" w:type="dxa"/>
            <w:left w:w="15" w:type="dxa"/>
            <w:bottom w:w="15" w:type="dxa"/>
            <w:right w:w="15" w:type="dxa"/>
          </w:tblCellMar>
        </w:tblPrEx>
        <w:trPr>
          <w:trHeight w:val="556" w:hRule="atLeast"/>
        </w:trPr>
        <w:tc>
          <w:tcPr>
            <w:tcW w:w="8780" w:type="dxa"/>
            <w:gridSpan w:val="14"/>
            <w:shd w:val="clear" w:color="auto" w:fill="auto"/>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15" w:type="dxa"/>
            <w:left w:w="15" w:type="dxa"/>
            <w:bottom w:w="15" w:type="dxa"/>
            <w:right w:w="15" w:type="dxa"/>
          </w:tblCellMar>
        </w:tblPrEx>
        <w:trPr>
          <w:trHeight w:val="295" w:hRule="atLeast"/>
        </w:trPr>
        <w:tc>
          <w:tcPr>
            <w:tcW w:w="8780" w:type="dxa"/>
            <w:gridSpan w:val="14"/>
            <w:shd w:val="clear" w:color="auto" w:fill="auto"/>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（2019年度）</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752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住户抽样调查</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13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313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9.047</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87.00%</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8.7</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3" w:hRule="atLeast"/>
        </w:trPr>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03" w:hRule="atLeast"/>
        </w:trPr>
        <w:tc>
          <w:tcPr>
            <w:tcW w:w="6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37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439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15" w:type="dxa"/>
            <w:left w:w="15" w:type="dxa"/>
            <w:bottom w:w="15" w:type="dxa"/>
            <w:right w:w="15" w:type="dxa"/>
          </w:tblCellMar>
        </w:tblPrEx>
        <w:trPr>
          <w:trHeight w:val="303" w:hRule="atLeast"/>
        </w:trPr>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37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完成调查</w:t>
            </w:r>
          </w:p>
        </w:tc>
        <w:tc>
          <w:tcPr>
            <w:tcW w:w="439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完成调查</w:t>
            </w:r>
          </w:p>
        </w:tc>
      </w:tr>
      <w:tr>
        <w:tblPrEx>
          <w:tblCellMar>
            <w:top w:w="15" w:type="dxa"/>
            <w:left w:w="15" w:type="dxa"/>
            <w:bottom w:w="15" w:type="dxa"/>
            <w:right w:w="15" w:type="dxa"/>
          </w:tblCellMar>
        </w:tblPrEx>
        <w:trPr>
          <w:trHeight w:val="303" w:hRule="atLeast"/>
        </w:trPr>
        <w:tc>
          <w:tcPr>
            <w:tcW w:w="6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6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6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188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12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2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15" w:type="dxa"/>
            <w:left w:w="15" w:type="dxa"/>
            <w:bottom w:w="15" w:type="dxa"/>
            <w:right w:w="15" w:type="dxa"/>
          </w:tblCellMar>
        </w:tblPrEx>
        <w:trPr>
          <w:trHeight w:val="300" w:hRule="atLeast"/>
        </w:trPr>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8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12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565" w:hRule="atLeast"/>
        </w:trPr>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时效指标</w:t>
            </w:r>
          </w:p>
        </w:tc>
        <w:tc>
          <w:tcPr>
            <w:tcW w:w="188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完成率，按照要求和计划完成任务的项目在所有立项项目中的比例（百分比）</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95%</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659" w:hRule="atLeast"/>
        </w:trPr>
        <w:tc>
          <w:tcPr>
            <w:tcW w:w="6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27" w:type="dxa"/>
            <w:tcBorders>
              <w:top w:val="single" w:color="000000" w:sz="4" w:space="0"/>
              <w:left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满意度指标</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188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群众满意度</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312" w:hRule="atLeast"/>
        </w:trPr>
        <w:tc>
          <w:tcPr>
            <w:tcW w:w="501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1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96</w:t>
            </w:r>
          </w:p>
        </w:tc>
        <w:tc>
          <w:tcPr>
            <w:tcW w:w="12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r>
    </w:tbl>
    <w:p>
      <w:pPr>
        <w:keepNext/>
        <w:keepLines/>
        <w:snapToGrid w:val="0"/>
        <w:spacing w:line="580" w:lineRule="exact"/>
        <w:ind w:firstLine="640" w:firstLineChars="200"/>
        <w:outlineLvl w:val="1"/>
        <w:rPr>
          <w:rFonts w:ascii="仿宋_GB2312" w:hAnsi="仿宋_GB2312" w:eastAsia="仿宋_GB2312" w:cs="仿宋_GB2312"/>
          <w:sz w:val="32"/>
          <w:szCs w:val="32"/>
        </w:rPr>
      </w:pPr>
    </w:p>
    <w:tbl>
      <w:tblPr>
        <w:tblStyle w:val="6"/>
        <w:tblW w:w="8840" w:type="dxa"/>
        <w:tblInd w:w="0" w:type="dxa"/>
        <w:tblLayout w:type="fixed"/>
        <w:tblCellMar>
          <w:top w:w="15" w:type="dxa"/>
          <w:left w:w="15" w:type="dxa"/>
          <w:bottom w:w="15" w:type="dxa"/>
          <w:right w:w="15" w:type="dxa"/>
        </w:tblCellMar>
      </w:tblPr>
      <w:tblGrid>
        <w:gridCol w:w="631"/>
        <w:gridCol w:w="632"/>
        <w:gridCol w:w="631"/>
        <w:gridCol w:w="632"/>
        <w:gridCol w:w="631"/>
        <w:gridCol w:w="631"/>
        <w:gridCol w:w="632"/>
        <w:gridCol w:w="631"/>
        <w:gridCol w:w="632"/>
        <w:gridCol w:w="631"/>
        <w:gridCol w:w="632"/>
        <w:gridCol w:w="631"/>
        <w:gridCol w:w="632"/>
        <w:gridCol w:w="631"/>
      </w:tblGrid>
      <w:tr>
        <w:tblPrEx>
          <w:tblCellMar>
            <w:top w:w="15" w:type="dxa"/>
            <w:left w:w="15" w:type="dxa"/>
            <w:bottom w:w="15" w:type="dxa"/>
            <w:right w:w="15" w:type="dxa"/>
          </w:tblCellMar>
        </w:tblPrEx>
        <w:trPr>
          <w:trHeight w:val="690" w:hRule="atLeast"/>
        </w:trPr>
        <w:tc>
          <w:tcPr>
            <w:tcW w:w="8840" w:type="dxa"/>
            <w:gridSpan w:val="14"/>
            <w:shd w:val="clear" w:color="auto" w:fill="auto"/>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15" w:type="dxa"/>
            <w:left w:w="15" w:type="dxa"/>
            <w:bottom w:w="15" w:type="dxa"/>
            <w:right w:w="15" w:type="dxa"/>
          </w:tblCellMar>
        </w:tblPrEx>
        <w:trPr>
          <w:trHeight w:val="365" w:hRule="atLeast"/>
        </w:trPr>
        <w:tc>
          <w:tcPr>
            <w:tcW w:w="8840" w:type="dxa"/>
            <w:gridSpan w:val="14"/>
            <w:shd w:val="clear" w:color="auto" w:fill="auto"/>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（2019年度）</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757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粮食产量抽样调查</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15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315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4.72</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80.00%</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76" w:hRule="atLeast"/>
        </w:trPr>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76" w:hRule="atLeast"/>
        </w:trPr>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37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44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15" w:type="dxa"/>
            <w:left w:w="15" w:type="dxa"/>
            <w:bottom w:w="15" w:type="dxa"/>
            <w:right w:w="15" w:type="dxa"/>
          </w:tblCellMar>
        </w:tblPrEx>
        <w:trPr>
          <w:trHeight w:val="376" w:hRule="atLeast"/>
        </w:trPr>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37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完成统计目标</w:t>
            </w:r>
          </w:p>
        </w:tc>
        <w:tc>
          <w:tcPr>
            <w:tcW w:w="44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完成了统计目标</w:t>
            </w:r>
          </w:p>
        </w:tc>
      </w:tr>
      <w:tr>
        <w:tblPrEx>
          <w:tblCellMar>
            <w:top w:w="15" w:type="dxa"/>
            <w:left w:w="15" w:type="dxa"/>
            <w:bottom w:w="15" w:type="dxa"/>
            <w:right w:w="15" w:type="dxa"/>
          </w:tblCellMar>
        </w:tblPrEx>
        <w:trPr>
          <w:trHeight w:val="376" w:hRule="atLeast"/>
        </w:trPr>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6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6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18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15" w:type="dxa"/>
            <w:left w:w="15" w:type="dxa"/>
            <w:bottom w:w="15" w:type="dxa"/>
            <w:right w:w="15" w:type="dxa"/>
          </w:tblCellMar>
        </w:tblPrEx>
        <w:trPr>
          <w:trHeight w:val="371" w:hRule="atLeast"/>
        </w:trPr>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8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834" w:hRule="atLeast"/>
        </w:trPr>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时效指标</w:t>
            </w:r>
          </w:p>
        </w:tc>
        <w:tc>
          <w:tcPr>
            <w:tcW w:w="18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完成率，按照要求和计划完成任务的项目在所有立项项目中的比例（百分比）</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97%</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929" w:hRule="atLeast"/>
        </w:trPr>
        <w:tc>
          <w:tcPr>
            <w:tcW w:w="6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2" w:type="dxa"/>
            <w:tcBorders>
              <w:top w:val="single" w:color="000000" w:sz="4" w:space="0"/>
              <w:left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满意度指标</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18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群众满意度</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386" w:hRule="atLeast"/>
        </w:trPr>
        <w:tc>
          <w:tcPr>
            <w:tcW w:w="505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97</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r>
    </w:tbl>
    <w:p>
      <w:pPr>
        <w:keepNext/>
        <w:keepLines/>
        <w:snapToGrid w:val="0"/>
        <w:spacing w:line="580" w:lineRule="exact"/>
        <w:ind w:firstLine="640" w:firstLineChars="200"/>
        <w:outlineLvl w:val="1"/>
        <w:rPr>
          <w:rFonts w:ascii="仿宋_GB2312" w:hAnsi="仿宋_GB2312" w:eastAsia="仿宋_GB2312" w:cs="仿宋_GB2312"/>
          <w:sz w:val="32"/>
          <w:szCs w:val="32"/>
        </w:rPr>
      </w:pPr>
    </w:p>
    <w:tbl>
      <w:tblPr>
        <w:tblStyle w:val="6"/>
        <w:tblW w:w="8920" w:type="dxa"/>
        <w:tblInd w:w="0" w:type="dxa"/>
        <w:tblLayout w:type="fixed"/>
        <w:tblCellMar>
          <w:top w:w="15" w:type="dxa"/>
          <w:left w:w="15" w:type="dxa"/>
          <w:bottom w:w="15" w:type="dxa"/>
          <w:right w:w="15" w:type="dxa"/>
        </w:tblCellMar>
      </w:tblPr>
      <w:tblGrid>
        <w:gridCol w:w="637"/>
        <w:gridCol w:w="637"/>
        <w:gridCol w:w="637"/>
        <w:gridCol w:w="637"/>
        <w:gridCol w:w="637"/>
        <w:gridCol w:w="638"/>
        <w:gridCol w:w="637"/>
        <w:gridCol w:w="637"/>
        <w:gridCol w:w="637"/>
        <w:gridCol w:w="637"/>
        <w:gridCol w:w="638"/>
        <w:gridCol w:w="636"/>
        <w:gridCol w:w="638"/>
        <w:gridCol w:w="637"/>
      </w:tblGrid>
      <w:tr>
        <w:tblPrEx>
          <w:tblCellMar>
            <w:top w:w="15" w:type="dxa"/>
            <w:left w:w="15" w:type="dxa"/>
            <w:bottom w:w="15" w:type="dxa"/>
            <w:right w:w="15" w:type="dxa"/>
          </w:tblCellMar>
        </w:tblPrEx>
        <w:trPr>
          <w:trHeight w:val="663" w:hRule="atLeast"/>
        </w:trPr>
        <w:tc>
          <w:tcPr>
            <w:tcW w:w="8920" w:type="dxa"/>
            <w:gridSpan w:val="14"/>
            <w:shd w:val="clear" w:color="auto" w:fill="auto"/>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15" w:type="dxa"/>
            <w:left w:w="15" w:type="dxa"/>
            <w:bottom w:w="15" w:type="dxa"/>
            <w:right w:w="15" w:type="dxa"/>
          </w:tblCellMar>
        </w:tblPrEx>
        <w:trPr>
          <w:trHeight w:val="350" w:hRule="atLeast"/>
        </w:trPr>
        <w:tc>
          <w:tcPr>
            <w:tcW w:w="8920" w:type="dxa"/>
            <w:gridSpan w:val="14"/>
            <w:shd w:val="clear" w:color="auto" w:fill="auto"/>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（2019年度）</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764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人口变动抽样调查经费</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18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318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无极县统计局</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0.0925</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83.00%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8.3</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60" w:hRule="atLeast"/>
        </w:trPr>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15" w:type="dxa"/>
            <w:left w:w="15" w:type="dxa"/>
            <w:bottom w:w="15" w:type="dxa"/>
            <w:right w:w="15" w:type="dxa"/>
          </w:tblCellMar>
        </w:tblPrEx>
        <w:trPr>
          <w:trHeight w:val="360" w:hRule="atLeast"/>
        </w:trPr>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382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44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15" w:type="dxa"/>
            <w:left w:w="15" w:type="dxa"/>
            <w:bottom w:w="15" w:type="dxa"/>
            <w:right w:w="15" w:type="dxa"/>
          </w:tblCellMar>
        </w:tblPrEx>
        <w:trPr>
          <w:trHeight w:val="360"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382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完成统计目标</w:t>
            </w:r>
          </w:p>
        </w:tc>
        <w:tc>
          <w:tcPr>
            <w:tcW w:w="44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完成了统计目标</w:t>
            </w:r>
          </w:p>
        </w:tc>
      </w:tr>
      <w:tr>
        <w:tblPrEx>
          <w:tblCellMar>
            <w:top w:w="15" w:type="dxa"/>
            <w:left w:w="15" w:type="dxa"/>
            <w:bottom w:w="15" w:type="dxa"/>
            <w:right w:w="15" w:type="dxa"/>
          </w:tblCellMar>
        </w:tblPrEx>
        <w:trPr>
          <w:trHeight w:val="360" w:hRule="atLeast"/>
        </w:trPr>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6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19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127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127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2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15" w:type="dxa"/>
            <w:left w:w="15" w:type="dxa"/>
            <w:bottom w:w="15" w:type="dxa"/>
            <w:right w:w="15" w:type="dxa"/>
          </w:tblCellMar>
        </w:tblPrEx>
        <w:trPr>
          <w:trHeight w:val="356"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9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127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12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740"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时效指标</w:t>
            </w:r>
          </w:p>
        </w:tc>
        <w:tc>
          <w:tcPr>
            <w:tcW w:w="19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完成率，按照要求和计划完成任务的项目在所有立项项目中的比例（百分比）</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673" w:hRule="atLeast"/>
        </w:trPr>
        <w:tc>
          <w:tcPr>
            <w:tcW w:w="6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c>
          <w:tcPr>
            <w:tcW w:w="637" w:type="dxa"/>
            <w:tcBorders>
              <w:top w:val="single" w:color="000000" w:sz="4" w:space="0"/>
              <w:left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满意度指标</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19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群众满意度</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98%</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18"/>
                <w:szCs w:val="18"/>
              </w:rPr>
            </w:pPr>
          </w:p>
        </w:tc>
      </w:tr>
      <w:tr>
        <w:tblPrEx>
          <w:tblCellMar>
            <w:top w:w="15" w:type="dxa"/>
            <w:left w:w="15" w:type="dxa"/>
            <w:bottom w:w="15" w:type="dxa"/>
            <w:right w:w="15" w:type="dxa"/>
          </w:tblCellMar>
        </w:tblPrEx>
        <w:trPr>
          <w:trHeight w:val="371" w:hRule="atLeast"/>
        </w:trPr>
        <w:tc>
          <w:tcPr>
            <w:tcW w:w="509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12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89</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szCs w:val="24"/>
              </w:rPr>
            </w:pPr>
          </w:p>
        </w:tc>
      </w:tr>
    </w:tbl>
    <w:p>
      <w:pPr>
        <w:keepNext/>
        <w:keepLines/>
        <w:snapToGrid w:val="0"/>
        <w:spacing w:line="580" w:lineRule="exact"/>
        <w:ind w:firstLine="640" w:firstLineChars="200"/>
        <w:outlineLvl w:val="1"/>
        <w:rPr>
          <w:rFonts w:ascii="仿宋_GB2312" w:hAnsi="仿宋_GB2312" w:eastAsia="仿宋_GB2312" w:cs="仿宋_GB2312"/>
          <w:sz w:val="32"/>
          <w:szCs w:val="32"/>
        </w:rPr>
      </w:pPr>
    </w:p>
    <w:p>
      <w:pPr>
        <w:keepNext/>
        <w:keepLines/>
        <w:numPr>
          <w:ilvl w:val="0"/>
          <w:numId w:val="3"/>
        </w:numPr>
        <w:snapToGrid w:val="0"/>
        <w:spacing w:line="580" w:lineRule="exact"/>
        <w:ind w:firstLine="640" w:firstLineChars="200"/>
        <w:outlineLvl w:val="1"/>
        <w:rPr>
          <w:rFonts w:ascii="仿宋_GB2312" w:hAnsi="仿宋_GB2312" w:eastAsia="仿宋_GB2312" w:cs="仿宋_GB2312"/>
          <w:sz w:val="32"/>
          <w:szCs w:val="32"/>
        </w:rPr>
      </w:pPr>
      <w:r>
        <w:rPr>
          <w:rFonts w:hint="eastAsia" w:ascii="仿宋_GB2312" w:eastAsia="仿宋_GB2312" w:cs="DengXian-Regular"/>
          <w:sz w:val="32"/>
          <w:szCs w:val="32"/>
        </w:rPr>
        <w:t>第四次全国经济普查</w:t>
      </w:r>
      <w:r>
        <w:rPr>
          <w:rFonts w:hint="eastAsia" w:ascii="仿宋_GB2312" w:hAnsi="仿宋_GB2312" w:eastAsia="仿宋_GB2312" w:cs="仿宋_GB2312"/>
          <w:sz w:val="32"/>
          <w:szCs w:val="32"/>
        </w:rPr>
        <w:t>项目绩效自评综述：保质保量完成经济普查工作；</w:t>
      </w:r>
      <w:r>
        <w:rPr>
          <w:rFonts w:hint="eastAsia" w:ascii="仿宋_GB2312" w:eastAsia="仿宋_GB2312" w:cs="DengXian-Regular"/>
          <w:sz w:val="32"/>
          <w:szCs w:val="32"/>
        </w:rPr>
        <w:t>统计专项经费</w:t>
      </w:r>
      <w:r>
        <w:rPr>
          <w:rFonts w:hint="eastAsia" w:ascii="仿宋_GB2312" w:hAnsi="仿宋_GB2312" w:eastAsia="仿宋_GB2312" w:cs="仿宋_GB2312"/>
          <w:sz w:val="32"/>
          <w:szCs w:val="32"/>
        </w:rPr>
        <w:t>项目绩效自评综述：完成统计局统计工作；</w:t>
      </w:r>
      <w:r>
        <w:rPr>
          <w:rFonts w:hint="eastAsia" w:ascii="仿宋_GB2312" w:eastAsia="仿宋_GB2312" w:cs="DengXian-Regular"/>
          <w:sz w:val="32"/>
          <w:szCs w:val="32"/>
        </w:rPr>
        <w:t>住户抽样调查</w:t>
      </w:r>
      <w:r>
        <w:rPr>
          <w:rFonts w:hint="eastAsia" w:ascii="仿宋_GB2312" w:hAnsi="仿宋_GB2312" w:eastAsia="仿宋_GB2312" w:cs="仿宋_GB2312"/>
          <w:sz w:val="32"/>
          <w:szCs w:val="32"/>
        </w:rPr>
        <w:t>项目绩效自评综述：完成住户调查工作；</w:t>
      </w:r>
      <w:r>
        <w:rPr>
          <w:rFonts w:hint="eastAsia" w:ascii="仿宋_GB2312" w:eastAsia="仿宋_GB2312" w:cs="DengXian-Regular"/>
          <w:sz w:val="32"/>
          <w:szCs w:val="32"/>
        </w:rPr>
        <w:t>粮食产量抽样调查</w:t>
      </w:r>
      <w:r>
        <w:rPr>
          <w:rFonts w:hint="eastAsia" w:ascii="仿宋_GB2312" w:hAnsi="仿宋_GB2312" w:eastAsia="仿宋_GB2312" w:cs="仿宋_GB2312"/>
          <w:sz w:val="32"/>
          <w:szCs w:val="32"/>
        </w:rPr>
        <w:t>项目绩效自评综述：完成粮食产量调查工作；</w:t>
      </w:r>
      <w:r>
        <w:rPr>
          <w:rFonts w:hint="eastAsia" w:ascii="仿宋_GB2312" w:eastAsia="仿宋_GB2312" w:cs="DengXian-Regular"/>
          <w:sz w:val="32"/>
          <w:szCs w:val="32"/>
        </w:rPr>
        <w:t>人口变动抽样调查</w:t>
      </w:r>
      <w:r>
        <w:rPr>
          <w:rFonts w:hint="eastAsia" w:ascii="仿宋_GB2312" w:hAnsi="仿宋_GB2312" w:eastAsia="仿宋_GB2312" w:cs="仿宋_GB2312"/>
          <w:sz w:val="32"/>
          <w:szCs w:val="32"/>
        </w:rPr>
        <w:t>项目绩效自评综述：完成人口调查工作。</w:t>
      </w:r>
    </w:p>
    <w:p>
      <w:pPr>
        <w:keepNext/>
        <w:keepLines/>
        <w:numPr>
          <w:ilvl w:val="0"/>
          <w:numId w:val="4"/>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left="420" w:leftChars="200"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本部门2019年度机关运行经费支出36.01万元，比2018年度减少0.06万元，降低0.1%。主要原因是</w:t>
      </w:r>
      <w:r>
        <w:rPr>
          <w:rFonts w:hint="eastAsia" w:ascii="仿宋_GB2312" w:eastAsia="仿宋_GB2312" w:cs="DengXian-Regular"/>
          <w:sz w:val="32"/>
          <w:szCs w:val="32"/>
        </w:rPr>
        <w:t>维修（护）费的减少</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w:t>
      </w:r>
      <w:r>
        <w:rPr>
          <w:rFonts w:hint="eastAsia" w:ascii="仿宋" w:hAnsi="仿宋" w:eastAsia="仿宋" w:cs="宋体"/>
          <w:sz w:val="32"/>
          <w:szCs w:val="32"/>
        </w:rPr>
        <w:t>较上年比无变化</w:t>
      </w:r>
      <w:r>
        <w:rPr>
          <w:rFonts w:hint="eastAsia" w:ascii="仿宋_GB2312" w:hAnsi="Times New Roman" w:eastAsia="仿宋_GB2312" w:cs="DengXian-Regular"/>
          <w:sz w:val="32"/>
          <w:szCs w:val="32"/>
        </w:rPr>
        <w:t>。其中，副部（省）级及以上领导用车0辆，主要领导干部用车0辆，机要通信用车1辆，应急保障用车0辆，执法执勤用车0辆，特种专业技术用车0辆，离退休干部用车0辆，其他用车0辆，其他用车主要是无；</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万元以上通用设备0台（套），比上年增加0套，主要是无增加减少，单位价值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政府性基金预算财政拨款、国有资本经营预算财政拨款，故政府性基金预算财政拨款收入支出决算表、国有资本经营预算财政拨款支出决算表、以空表列示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8" o:spid="_x0000_s1028"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28"/>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w:pict>
          <v:shape id="_x0000_s1027" o:spid="_x0000_s1027"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28"/>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jc w:val="left"/>
        <w:rPr>
          <w:rFonts w:eastAsia="宋体"/>
        </w:rPr>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452.63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452.63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452.58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0.46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0.51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453.09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453.09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p>
      <w:pPr>
        <w:jc w:val="left"/>
      </w:pPr>
    </w:p>
    <w:tbl>
      <w:tblPr>
        <w:tblStyle w:val="6"/>
        <w:tblW w:w="8840" w:type="dxa"/>
        <w:tblInd w:w="0" w:type="dxa"/>
        <w:tblLayout w:type="fixed"/>
        <w:tblCellMar>
          <w:top w:w="15" w:type="dxa"/>
          <w:left w:w="15" w:type="dxa"/>
          <w:bottom w:w="15" w:type="dxa"/>
          <w:right w:w="15" w:type="dxa"/>
        </w:tblCellMar>
      </w:tblPr>
      <w:tblGrid>
        <w:gridCol w:w="473"/>
        <w:gridCol w:w="472"/>
        <w:gridCol w:w="491"/>
        <w:gridCol w:w="2496"/>
        <w:gridCol w:w="1152"/>
        <w:gridCol w:w="697"/>
        <w:gridCol w:w="612"/>
        <w:gridCol w:w="613"/>
        <w:gridCol w:w="613"/>
        <w:gridCol w:w="613"/>
        <w:gridCol w:w="608"/>
      </w:tblGrid>
      <w:tr>
        <w:tblPrEx>
          <w:tblCellMar>
            <w:top w:w="15" w:type="dxa"/>
            <w:left w:w="15" w:type="dxa"/>
            <w:bottom w:w="15" w:type="dxa"/>
            <w:right w:w="15" w:type="dxa"/>
          </w:tblCellMar>
        </w:tblPrEx>
        <w:trPr>
          <w:trHeight w:val="656" w:hRule="atLeast"/>
        </w:trPr>
        <w:tc>
          <w:tcPr>
            <w:tcW w:w="8840" w:type="dxa"/>
            <w:gridSpan w:val="11"/>
            <w:shd w:val="clear" w:color="auto" w:fill="auto"/>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收入决算表</w:t>
            </w:r>
          </w:p>
        </w:tc>
      </w:tr>
      <w:tr>
        <w:tblPrEx>
          <w:tblCellMar>
            <w:top w:w="15" w:type="dxa"/>
            <w:left w:w="15" w:type="dxa"/>
            <w:bottom w:w="15" w:type="dxa"/>
            <w:right w:w="15" w:type="dxa"/>
          </w:tblCellMar>
        </w:tblPrEx>
        <w:trPr>
          <w:trHeight w:val="343" w:hRule="atLeast"/>
        </w:trPr>
        <w:tc>
          <w:tcPr>
            <w:tcW w:w="473" w:type="dxa"/>
            <w:shd w:val="clear" w:color="auto" w:fill="auto"/>
            <w:vAlign w:val="bottom"/>
          </w:tcPr>
          <w:p>
            <w:pPr>
              <w:rPr>
                <w:rFonts w:ascii="Arial" w:hAnsi="Arial" w:cs="Arial"/>
                <w:color w:val="000000"/>
                <w:sz w:val="20"/>
                <w:szCs w:val="20"/>
              </w:rPr>
            </w:pPr>
          </w:p>
        </w:tc>
        <w:tc>
          <w:tcPr>
            <w:tcW w:w="472" w:type="dxa"/>
            <w:shd w:val="clear" w:color="auto" w:fill="auto"/>
            <w:vAlign w:val="bottom"/>
          </w:tcPr>
          <w:p>
            <w:pPr>
              <w:rPr>
                <w:rFonts w:ascii="Arial" w:hAnsi="Arial" w:cs="Arial"/>
                <w:color w:val="000000"/>
                <w:sz w:val="20"/>
                <w:szCs w:val="20"/>
              </w:rPr>
            </w:pPr>
          </w:p>
        </w:tc>
        <w:tc>
          <w:tcPr>
            <w:tcW w:w="491" w:type="dxa"/>
            <w:shd w:val="clear" w:color="auto" w:fill="auto"/>
            <w:vAlign w:val="bottom"/>
          </w:tcPr>
          <w:p>
            <w:pPr>
              <w:rPr>
                <w:rFonts w:ascii="Arial" w:hAnsi="Arial" w:cs="Arial"/>
                <w:color w:val="000000"/>
                <w:sz w:val="20"/>
                <w:szCs w:val="20"/>
              </w:rPr>
            </w:pPr>
          </w:p>
        </w:tc>
        <w:tc>
          <w:tcPr>
            <w:tcW w:w="2496" w:type="dxa"/>
            <w:shd w:val="clear" w:color="auto" w:fill="auto"/>
            <w:vAlign w:val="bottom"/>
          </w:tcPr>
          <w:p>
            <w:pPr>
              <w:rPr>
                <w:rFonts w:ascii="Arial" w:hAnsi="Arial" w:cs="Arial"/>
                <w:color w:val="000000"/>
                <w:sz w:val="20"/>
                <w:szCs w:val="20"/>
              </w:rPr>
            </w:pPr>
          </w:p>
        </w:tc>
        <w:tc>
          <w:tcPr>
            <w:tcW w:w="1152" w:type="dxa"/>
            <w:shd w:val="clear" w:color="auto" w:fill="auto"/>
            <w:vAlign w:val="bottom"/>
          </w:tcPr>
          <w:p>
            <w:pPr>
              <w:rPr>
                <w:rFonts w:ascii="Arial" w:hAnsi="Arial" w:cs="Arial"/>
                <w:color w:val="000000"/>
                <w:sz w:val="20"/>
                <w:szCs w:val="20"/>
              </w:rPr>
            </w:pPr>
          </w:p>
        </w:tc>
        <w:tc>
          <w:tcPr>
            <w:tcW w:w="697" w:type="dxa"/>
            <w:shd w:val="clear" w:color="auto" w:fill="auto"/>
            <w:vAlign w:val="bottom"/>
          </w:tcPr>
          <w:p>
            <w:pPr>
              <w:rPr>
                <w:rFonts w:ascii="Arial" w:hAnsi="Arial" w:cs="Arial"/>
                <w:color w:val="000000"/>
                <w:sz w:val="20"/>
                <w:szCs w:val="20"/>
              </w:rPr>
            </w:pPr>
          </w:p>
        </w:tc>
        <w:tc>
          <w:tcPr>
            <w:tcW w:w="3059" w:type="dxa"/>
            <w:gridSpan w:val="5"/>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15" w:type="dxa"/>
            <w:left w:w="15" w:type="dxa"/>
            <w:bottom w:w="15" w:type="dxa"/>
            <w:right w:w="15" w:type="dxa"/>
          </w:tblCellMar>
        </w:tblPrEx>
        <w:trPr>
          <w:trHeight w:val="343" w:hRule="atLeast"/>
        </w:trPr>
        <w:tc>
          <w:tcPr>
            <w:tcW w:w="5781" w:type="dxa"/>
            <w:gridSpan w:val="6"/>
            <w:shd w:val="clear" w:color="auto" w:fill="auto"/>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3059" w:type="dxa"/>
            <w:gridSpan w:val="5"/>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15" w:type="dxa"/>
            <w:left w:w="15" w:type="dxa"/>
            <w:bottom w:w="15" w:type="dxa"/>
            <w:right w:w="15" w:type="dxa"/>
          </w:tblCellMar>
        </w:tblPrEx>
        <w:trPr>
          <w:trHeight w:val="353" w:hRule="atLeast"/>
        </w:trPr>
        <w:tc>
          <w:tcPr>
            <w:tcW w:w="393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2"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697"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12"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13"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613"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13"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608"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15" w:type="dxa"/>
            <w:left w:w="15" w:type="dxa"/>
            <w:bottom w:w="15" w:type="dxa"/>
            <w:right w:w="15" w:type="dxa"/>
          </w:tblCellMar>
        </w:tblPrEx>
        <w:trPr>
          <w:trHeight w:val="341" w:hRule="atLeast"/>
        </w:trPr>
        <w:tc>
          <w:tcPr>
            <w:tcW w:w="1436" w:type="dxa"/>
            <w:gridSpan w:val="3"/>
            <w:vMerge w:val="restart"/>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496"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08"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41" w:hRule="atLeast"/>
        </w:trPr>
        <w:tc>
          <w:tcPr>
            <w:tcW w:w="1436"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496"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15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08"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41" w:hRule="atLeast"/>
        </w:trPr>
        <w:tc>
          <w:tcPr>
            <w:tcW w:w="1436"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496"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15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2"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1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08"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3932"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1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13"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13"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13"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08"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15" w:type="dxa"/>
            <w:left w:w="15" w:type="dxa"/>
            <w:bottom w:w="15" w:type="dxa"/>
            <w:right w:w="15" w:type="dxa"/>
          </w:tblCellMar>
        </w:tblPrEx>
        <w:trPr>
          <w:trHeight w:val="353" w:hRule="atLeast"/>
        </w:trPr>
        <w:tc>
          <w:tcPr>
            <w:tcW w:w="3932"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452.63</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452.63</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381.09</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统计信息事务</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381.09</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2010501</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257.38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257.38</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2010503</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2010505</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专项统计业务</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2010507</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专项普查活动</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76.44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76.44</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2010508</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统计抽样调查</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143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496"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15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12"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1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08"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3" w:hRule="atLeast"/>
        </w:trPr>
        <w:tc>
          <w:tcPr>
            <w:tcW w:w="8840" w:type="dxa"/>
            <w:gridSpan w:val="11"/>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r>
        <w:br w:type="page"/>
      </w:r>
    </w:p>
    <w:tbl>
      <w:tblPr>
        <w:tblStyle w:val="6"/>
        <w:tblW w:w="9040" w:type="dxa"/>
        <w:tblInd w:w="0" w:type="dxa"/>
        <w:tblLayout w:type="fixed"/>
        <w:tblCellMar>
          <w:top w:w="15" w:type="dxa"/>
          <w:left w:w="15" w:type="dxa"/>
          <w:bottom w:w="15" w:type="dxa"/>
          <w:right w:w="15" w:type="dxa"/>
        </w:tblCellMar>
      </w:tblPr>
      <w:tblGrid>
        <w:gridCol w:w="520"/>
        <w:gridCol w:w="520"/>
        <w:gridCol w:w="540"/>
        <w:gridCol w:w="2755"/>
        <w:gridCol w:w="1266"/>
        <w:gridCol w:w="697"/>
        <w:gridCol w:w="697"/>
        <w:gridCol w:w="675"/>
        <w:gridCol w:w="676"/>
        <w:gridCol w:w="694"/>
      </w:tblGrid>
      <w:tr>
        <w:tblPrEx>
          <w:tblCellMar>
            <w:top w:w="15" w:type="dxa"/>
            <w:left w:w="15" w:type="dxa"/>
            <w:bottom w:w="15" w:type="dxa"/>
            <w:right w:w="15" w:type="dxa"/>
          </w:tblCellMar>
        </w:tblPrEx>
        <w:trPr>
          <w:trHeight w:val="390" w:hRule="atLeast"/>
        </w:trPr>
        <w:tc>
          <w:tcPr>
            <w:tcW w:w="9040" w:type="dxa"/>
            <w:gridSpan w:val="10"/>
            <w:shd w:val="clear" w:color="auto" w:fill="auto"/>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支出决算表</w:t>
            </w:r>
          </w:p>
        </w:tc>
      </w:tr>
      <w:tr>
        <w:tblPrEx>
          <w:tblCellMar>
            <w:top w:w="15" w:type="dxa"/>
            <w:left w:w="15" w:type="dxa"/>
            <w:bottom w:w="15" w:type="dxa"/>
            <w:right w:w="15" w:type="dxa"/>
          </w:tblCellMar>
        </w:tblPrEx>
        <w:trPr>
          <w:trHeight w:val="286" w:hRule="atLeast"/>
        </w:trPr>
        <w:tc>
          <w:tcPr>
            <w:tcW w:w="520" w:type="dxa"/>
            <w:shd w:val="clear" w:color="auto" w:fill="auto"/>
            <w:vAlign w:val="bottom"/>
          </w:tcPr>
          <w:p>
            <w:pPr>
              <w:rPr>
                <w:rFonts w:ascii="Arial" w:hAnsi="Arial" w:cs="Arial"/>
                <w:color w:val="000000"/>
                <w:sz w:val="20"/>
                <w:szCs w:val="20"/>
              </w:rPr>
            </w:pPr>
          </w:p>
        </w:tc>
        <w:tc>
          <w:tcPr>
            <w:tcW w:w="520" w:type="dxa"/>
            <w:shd w:val="clear" w:color="auto" w:fill="auto"/>
            <w:vAlign w:val="bottom"/>
          </w:tcPr>
          <w:p>
            <w:pPr>
              <w:rPr>
                <w:rFonts w:ascii="Arial" w:hAnsi="Arial" w:cs="Arial"/>
                <w:color w:val="000000"/>
                <w:sz w:val="20"/>
                <w:szCs w:val="20"/>
              </w:rPr>
            </w:pPr>
          </w:p>
        </w:tc>
        <w:tc>
          <w:tcPr>
            <w:tcW w:w="540" w:type="dxa"/>
            <w:shd w:val="clear" w:color="auto" w:fill="auto"/>
            <w:vAlign w:val="bottom"/>
          </w:tcPr>
          <w:p>
            <w:pPr>
              <w:rPr>
                <w:rFonts w:ascii="Arial" w:hAnsi="Arial" w:cs="Arial"/>
                <w:color w:val="000000"/>
                <w:sz w:val="20"/>
                <w:szCs w:val="20"/>
              </w:rPr>
            </w:pPr>
          </w:p>
        </w:tc>
        <w:tc>
          <w:tcPr>
            <w:tcW w:w="2755" w:type="dxa"/>
            <w:shd w:val="clear" w:color="auto" w:fill="auto"/>
            <w:vAlign w:val="bottom"/>
          </w:tcPr>
          <w:p>
            <w:pPr>
              <w:rPr>
                <w:rFonts w:ascii="Arial" w:hAnsi="Arial" w:cs="Arial"/>
                <w:color w:val="000000"/>
                <w:sz w:val="20"/>
                <w:szCs w:val="20"/>
              </w:rPr>
            </w:pPr>
          </w:p>
        </w:tc>
        <w:tc>
          <w:tcPr>
            <w:tcW w:w="1266" w:type="dxa"/>
            <w:shd w:val="clear" w:color="auto" w:fill="auto"/>
            <w:vAlign w:val="bottom"/>
          </w:tcPr>
          <w:p>
            <w:pPr>
              <w:rPr>
                <w:rFonts w:ascii="Arial" w:hAnsi="Arial" w:cs="Arial"/>
                <w:color w:val="000000"/>
                <w:sz w:val="20"/>
                <w:szCs w:val="20"/>
              </w:rPr>
            </w:pPr>
          </w:p>
        </w:tc>
        <w:tc>
          <w:tcPr>
            <w:tcW w:w="697" w:type="dxa"/>
            <w:shd w:val="clear" w:color="auto" w:fill="auto"/>
            <w:vAlign w:val="bottom"/>
          </w:tcPr>
          <w:p>
            <w:pPr>
              <w:rPr>
                <w:rFonts w:ascii="Arial" w:hAnsi="Arial" w:cs="Arial"/>
                <w:color w:val="000000"/>
                <w:sz w:val="20"/>
                <w:szCs w:val="20"/>
              </w:rPr>
            </w:pPr>
          </w:p>
        </w:tc>
        <w:tc>
          <w:tcPr>
            <w:tcW w:w="2742" w:type="dxa"/>
            <w:gridSpan w:val="4"/>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15" w:type="dxa"/>
            <w:left w:w="15" w:type="dxa"/>
            <w:bottom w:w="15" w:type="dxa"/>
            <w:right w:w="15" w:type="dxa"/>
          </w:tblCellMar>
        </w:tblPrEx>
        <w:trPr>
          <w:trHeight w:val="286" w:hRule="atLeast"/>
        </w:trPr>
        <w:tc>
          <w:tcPr>
            <w:tcW w:w="6298" w:type="dxa"/>
            <w:gridSpan w:val="6"/>
            <w:shd w:val="clear" w:color="auto" w:fill="auto"/>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2742" w:type="dxa"/>
            <w:gridSpan w:val="4"/>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15" w:type="dxa"/>
            <w:left w:w="15" w:type="dxa"/>
            <w:bottom w:w="15" w:type="dxa"/>
            <w:right w:w="15" w:type="dxa"/>
          </w:tblCellMar>
        </w:tblPrEx>
        <w:trPr>
          <w:trHeight w:val="301" w:hRule="atLeast"/>
        </w:trPr>
        <w:tc>
          <w:tcPr>
            <w:tcW w:w="43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266"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697"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697"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75"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76"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694"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15" w:type="dxa"/>
            <w:left w:w="15" w:type="dxa"/>
            <w:bottom w:w="15" w:type="dxa"/>
            <w:right w:w="15" w:type="dxa"/>
          </w:tblCellMar>
        </w:tblPrEx>
        <w:trPr>
          <w:trHeight w:val="312" w:hRule="atLeast"/>
        </w:trPr>
        <w:tc>
          <w:tcPr>
            <w:tcW w:w="1580" w:type="dxa"/>
            <w:gridSpan w:val="3"/>
            <w:vMerge w:val="restart"/>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755"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26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5"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12" w:hRule="atLeast"/>
        </w:trPr>
        <w:tc>
          <w:tcPr>
            <w:tcW w:w="1580"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755"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26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5"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12" w:hRule="atLeast"/>
        </w:trPr>
        <w:tc>
          <w:tcPr>
            <w:tcW w:w="1580"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755"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26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5"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6"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4335"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266"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75"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76"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4"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15" w:type="dxa"/>
            <w:left w:w="15" w:type="dxa"/>
            <w:bottom w:w="15" w:type="dxa"/>
            <w:right w:w="15" w:type="dxa"/>
          </w:tblCellMar>
        </w:tblPrEx>
        <w:trPr>
          <w:trHeight w:val="301" w:hRule="atLeast"/>
        </w:trPr>
        <w:tc>
          <w:tcPr>
            <w:tcW w:w="4335"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452.58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328.41</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124.17</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124.17</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统计信息事务</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124.17</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2010501</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2010503</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2010505</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专项统计业务</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2010507</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专项普查活动</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76.90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76.90</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2010508</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统计抽样调查</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1580"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75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266"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5"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6"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9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01" w:hRule="atLeast"/>
        </w:trPr>
        <w:tc>
          <w:tcPr>
            <w:tcW w:w="9040" w:type="dxa"/>
            <w:gridSpan w:val="10"/>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831"/>
        <w:gridCol w:w="91"/>
        <w:gridCol w:w="332"/>
        <w:gridCol w:w="93"/>
        <w:gridCol w:w="662"/>
        <w:gridCol w:w="2422"/>
        <w:gridCol w:w="396"/>
        <w:gridCol w:w="128"/>
        <w:gridCol w:w="507"/>
        <w:gridCol w:w="414"/>
        <w:gridCol w:w="969"/>
        <w:gridCol w:w="675"/>
      </w:tblGrid>
      <w:tr>
        <w:tblPrEx>
          <w:tblCellMar>
            <w:top w:w="0" w:type="dxa"/>
            <w:left w:w="0" w:type="dxa"/>
            <w:bottom w:w="0" w:type="dxa"/>
            <w:right w:w="0" w:type="dxa"/>
          </w:tblCellMar>
        </w:tblPrEx>
        <w:trPr>
          <w:trHeight w:val="475"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8"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272" w:hRule="atLeast"/>
          <w:jc w:val="center"/>
        </w:trPr>
        <w:tc>
          <w:tcPr>
            <w:tcW w:w="2922"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42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08" w:hRule="atLeast"/>
          <w:jc w:val="center"/>
        </w:trPr>
        <w:tc>
          <w:tcPr>
            <w:tcW w:w="400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83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5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4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49"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83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452.63</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381.04</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381.04</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58.74</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58.74</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12.79</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12.79</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452.63</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452.58</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452.58</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0.51</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0.51</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3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7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453.09</w:t>
            </w:r>
          </w:p>
        </w:tc>
        <w:tc>
          <w:tcPr>
            <w:tcW w:w="24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104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453.09</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453.09</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8940" w:type="dxa"/>
        <w:tblInd w:w="0" w:type="dxa"/>
        <w:tblLayout w:type="fixed"/>
        <w:tblCellMar>
          <w:top w:w="15" w:type="dxa"/>
          <w:left w:w="15" w:type="dxa"/>
          <w:bottom w:w="15" w:type="dxa"/>
          <w:right w:w="15" w:type="dxa"/>
        </w:tblCellMar>
      </w:tblPr>
      <w:tblGrid>
        <w:gridCol w:w="571"/>
        <w:gridCol w:w="572"/>
        <w:gridCol w:w="594"/>
        <w:gridCol w:w="3537"/>
        <w:gridCol w:w="2182"/>
        <w:gridCol w:w="742"/>
        <w:gridCol w:w="742"/>
      </w:tblGrid>
      <w:tr>
        <w:tblPrEx>
          <w:tblCellMar>
            <w:top w:w="15" w:type="dxa"/>
            <w:left w:w="15" w:type="dxa"/>
            <w:bottom w:w="15" w:type="dxa"/>
            <w:right w:w="15" w:type="dxa"/>
          </w:tblCellMar>
        </w:tblPrEx>
        <w:trPr>
          <w:trHeight w:val="651" w:hRule="atLeast"/>
        </w:trPr>
        <w:tc>
          <w:tcPr>
            <w:tcW w:w="8940" w:type="dxa"/>
            <w:gridSpan w:val="7"/>
            <w:shd w:val="clear" w:color="auto" w:fill="auto"/>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一般公共预算财政拨款支出决算表</w:t>
            </w:r>
          </w:p>
        </w:tc>
      </w:tr>
      <w:tr>
        <w:tblPrEx>
          <w:tblCellMar>
            <w:top w:w="15" w:type="dxa"/>
            <w:left w:w="15" w:type="dxa"/>
            <w:bottom w:w="15" w:type="dxa"/>
            <w:right w:w="15" w:type="dxa"/>
          </w:tblCellMar>
        </w:tblPrEx>
        <w:trPr>
          <w:trHeight w:val="341" w:hRule="atLeast"/>
        </w:trPr>
        <w:tc>
          <w:tcPr>
            <w:tcW w:w="571" w:type="dxa"/>
            <w:shd w:val="clear" w:color="auto" w:fill="auto"/>
            <w:vAlign w:val="bottom"/>
          </w:tcPr>
          <w:p>
            <w:pPr>
              <w:rPr>
                <w:rFonts w:ascii="Arial" w:hAnsi="Arial" w:cs="Arial"/>
                <w:color w:val="000000"/>
                <w:sz w:val="20"/>
                <w:szCs w:val="20"/>
              </w:rPr>
            </w:pPr>
          </w:p>
        </w:tc>
        <w:tc>
          <w:tcPr>
            <w:tcW w:w="572" w:type="dxa"/>
            <w:shd w:val="clear" w:color="auto" w:fill="auto"/>
            <w:vAlign w:val="bottom"/>
          </w:tcPr>
          <w:p>
            <w:pPr>
              <w:rPr>
                <w:rFonts w:ascii="Arial" w:hAnsi="Arial" w:cs="Arial"/>
                <w:color w:val="000000"/>
                <w:sz w:val="20"/>
                <w:szCs w:val="20"/>
              </w:rPr>
            </w:pPr>
          </w:p>
        </w:tc>
        <w:tc>
          <w:tcPr>
            <w:tcW w:w="594" w:type="dxa"/>
            <w:shd w:val="clear" w:color="auto" w:fill="auto"/>
            <w:vAlign w:val="bottom"/>
          </w:tcPr>
          <w:p>
            <w:pPr>
              <w:rPr>
                <w:rFonts w:ascii="Arial" w:hAnsi="Arial" w:cs="Arial"/>
                <w:color w:val="000000"/>
                <w:sz w:val="20"/>
                <w:szCs w:val="20"/>
              </w:rPr>
            </w:pPr>
          </w:p>
        </w:tc>
        <w:tc>
          <w:tcPr>
            <w:tcW w:w="3537" w:type="dxa"/>
            <w:shd w:val="clear" w:color="auto" w:fill="auto"/>
            <w:vAlign w:val="bottom"/>
          </w:tcPr>
          <w:p>
            <w:pPr>
              <w:rPr>
                <w:rFonts w:ascii="Arial" w:hAnsi="Arial" w:cs="Arial"/>
                <w:color w:val="000000"/>
                <w:sz w:val="20"/>
                <w:szCs w:val="20"/>
              </w:rPr>
            </w:pPr>
          </w:p>
        </w:tc>
        <w:tc>
          <w:tcPr>
            <w:tcW w:w="2182" w:type="dxa"/>
            <w:shd w:val="clear" w:color="auto" w:fill="auto"/>
            <w:vAlign w:val="bottom"/>
          </w:tcPr>
          <w:p>
            <w:pPr>
              <w:rPr>
                <w:rFonts w:ascii="Arial" w:hAnsi="Arial" w:cs="Arial"/>
                <w:color w:val="000000"/>
                <w:sz w:val="20"/>
                <w:szCs w:val="20"/>
              </w:rPr>
            </w:pPr>
          </w:p>
        </w:tc>
        <w:tc>
          <w:tcPr>
            <w:tcW w:w="1484" w:type="dxa"/>
            <w:gridSpan w:val="2"/>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15" w:type="dxa"/>
            <w:left w:w="15" w:type="dxa"/>
            <w:bottom w:w="15" w:type="dxa"/>
            <w:right w:w="15" w:type="dxa"/>
          </w:tblCellMar>
        </w:tblPrEx>
        <w:trPr>
          <w:trHeight w:val="341" w:hRule="atLeast"/>
        </w:trPr>
        <w:tc>
          <w:tcPr>
            <w:tcW w:w="5274" w:type="dxa"/>
            <w:gridSpan w:val="4"/>
            <w:shd w:val="clear" w:color="auto" w:fill="auto"/>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2182" w:type="dxa"/>
            <w:shd w:val="clear" w:color="auto" w:fill="auto"/>
            <w:vAlign w:val="bottom"/>
          </w:tcPr>
          <w:p>
            <w:pPr>
              <w:rPr>
                <w:rFonts w:ascii="Arial" w:hAnsi="Arial" w:cs="Arial"/>
                <w:color w:val="000000"/>
                <w:sz w:val="20"/>
                <w:szCs w:val="20"/>
              </w:rPr>
            </w:pPr>
          </w:p>
        </w:tc>
        <w:tc>
          <w:tcPr>
            <w:tcW w:w="1484" w:type="dxa"/>
            <w:gridSpan w:val="2"/>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15" w:type="dxa"/>
            <w:left w:w="15" w:type="dxa"/>
            <w:bottom w:w="15" w:type="dxa"/>
            <w:right w:w="15" w:type="dxa"/>
          </w:tblCellMar>
        </w:tblPrEx>
        <w:trPr>
          <w:trHeight w:val="351" w:hRule="atLeast"/>
        </w:trPr>
        <w:tc>
          <w:tcPr>
            <w:tcW w:w="527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666" w:type="dxa"/>
            <w:gridSpan w:val="3"/>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15" w:type="dxa"/>
            <w:left w:w="15" w:type="dxa"/>
            <w:bottom w:w="15" w:type="dxa"/>
            <w:right w:w="15" w:type="dxa"/>
          </w:tblCellMar>
        </w:tblPrEx>
        <w:trPr>
          <w:trHeight w:val="339" w:hRule="atLeast"/>
        </w:trPr>
        <w:tc>
          <w:tcPr>
            <w:tcW w:w="1737" w:type="dxa"/>
            <w:gridSpan w:val="3"/>
            <w:vMerge w:val="restart"/>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537"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182"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42"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742"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15" w:type="dxa"/>
            <w:left w:w="15" w:type="dxa"/>
            <w:bottom w:w="15" w:type="dxa"/>
            <w:right w:w="15" w:type="dxa"/>
          </w:tblCellMar>
        </w:tblPrEx>
        <w:trPr>
          <w:trHeight w:val="312" w:hRule="atLeast"/>
        </w:trPr>
        <w:tc>
          <w:tcPr>
            <w:tcW w:w="1737"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3537"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18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39" w:hRule="atLeast"/>
        </w:trPr>
        <w:tc>
          <w:tcPr>
            <w:tcW w:w="1737"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3537"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18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51" w:hRule="atLeast"/>
        </w:trPr>
        <w:tc>
          <w:tcPr>
            <w:tcW w:w="5274"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18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4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4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15" w:type="dxa"/>
            <w:left w:w="15" w:type="dxa"/>
            <w:bottom w:w="15" w:type="dxa"/>
            <w:right w:w="15" w:type="dxa"/>
          </w:tblCellMar>
        </w:tblPrEx>
        <w:trPr>
          <w:trHeight w:val="351" w:hRule="atLeast"/>
        </w:trPr>
        <w:tc>
          <w:tcPr>
            <w:tcW w:w="5274"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452.58</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328.41</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124.17</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124.17</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统计信息事务</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381.04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124.17</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2010501</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256.87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2010503</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18.08</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2010505</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专项统计业务</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15.01</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2010507</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专项普查活动</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76.90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76.90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2010508</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统计抽样调查</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14.17</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58.74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57.50</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23.95</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2080506</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机关事业单位职业年金缴费支出</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0.77</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0.48</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51"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60" w:hRule="atLeast"/>
        </w:trPr>
        <w:tc>
          <w:tcPr>
            <w:tcW w:w="1737"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537"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18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742"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6"/>
        <w:tblW w:w="9020" w:type="dxa"/>
        <w:tblInd w:w="0" w:type="dxa"/>
        <w:tblLayout w:type="fixed"/>
        <w:tblCellMar>
          <w:top w:w="15" w:type="dxa"/>
          <w:left w:w="15" w:type="dxa"/>
          <w:bottom w:w="15" w:type="dxa"/>
          <w:right w:w="15" w:type="dxa"/>
        </w:tblCellMar>
      </w:tblPr>
      <w:tblGrid>
        <w:gridCol w:w="582"/>
        <w:gridCol w:w="1488"/>
        <w:gridCol w:w="821"/>
        <w:gridCol w:w="582"/>
        <w:gridCol w:w="1199"/>
        <w:gridCol w:w="801"/>
        <w:gridCol w:w="582"/>
        <w:gridCol w:w="1791"/>
        <w:gridCol w:w="1174"/>
      </w:tblGrid>
      <w:tr>
        <w:tblPrEx>
          <w:tblCellMar>
            <w:top w:w="15" w:type="dxa"/>
            <w:left w:w="15" w:type="dxa"/>
            <w:bottom w:w="15" w:type="dxa"/>
            <w:right w:w="15" w:type="dxa"/>
          </w:tblCellMar>
        </w:tblPrEx>
        <w:trPr>
          <w:trHeight w:val="713" w:hRule="atLeast"/>
        </w:trPr>
        <w:tc>
          <w:tcPr>
            <w:tcW w:w="9020" w:type="dxa"/>
            <w:gridSpan w:val="9"/>
            <w:shd w:val="clear" w:color="auto" w:fill="auto"/>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一般公共预算财政拨款基本支出决算表</w:t>
            </w:r>
          </w:p>
        </w:tc>
      </w:tr>
      <w:tr>
        <w:tblPrEx>
          <w:tblCellMar>
            <w:top w:w="15" w:type="dxa"/>
            <w:left w:w="15" w:type="dxa"/>
            <w:bottom w:w="15" w:type="dxa"/>
            <w:right w:w="15" w:type="dxa"/>
          </w:tblCellMar>
        </w:tblPrEx>
        <w:trPr>
          <w:trHeight w:val="373" w:hRule="atLeast"/>
        </w:trPr>
        <w:tc>
          <w:tcPr>
            <w:tcW w:w="582" w:type="dxa"/>
            <w:shd w:val="clear" w:color="auto" w:fill="auto"/>
            <w:vAlign w:val="bottom"/>
          </w:tcPr>
          <w:p>
            <w:pPr>
              <w:rPr>
                <w:rFonts w:ascii="Arial" w:hAnsi="Arial" w:cs="Arial"/>
                <w:color w:val="000000"/>
                <w:sz w:val="20"/>
                <w:szCs w:val="20"/>
              </w:rPr>
            </w:pPr>
          </w:p>
        </w:tc>
        <w:tc>
          <w:tcPr>
            <w:tcW w:w="1488" w:type="dxa"/>
            <w:shd w:val="clear" w:color="auto" w:fill="auto"/>
            <w:vAlign w:val="bottom"/>
          </w:tcPr>
          <w:p>
            <w:pPr>
              <w:rPr>
                <w:rFonts w:ascii="Arial" w:hAnsi="Arial" w:cs="Arial"/>
                <w:color w:val="000000"/>
                <w:sz w:val="20"/>
                <w:szCs w:val="20"/>
              </w:rPr>
            </w:pPr>
          </w:p>
        </w:tc>
        <w:tc>
          <w:tcPr>
            <w:tcW w:w="821" w:type="dxa"/>
            <w:shd w:val="clear" w:color="auto" w:fill="auto"/>
            <w:vAlign w:val="bottom"/>
          </w:tcPr>
          <w:p>
            <w:pPr>
              <w:rPr>
                <w:rFonts w:ascii="Arial" w:hAnsi="Arial" w:cs="Arial"/>
                <w:color w:val="000000"/>
                <w:sz w:val="20"/>
                <w:szCs w:val="20"/>
              </w:rPr>
            </w:pPr>
          </w:p>
        </w:tc>
        <w:tc>
          <w:tcPr>
            <w:tcW w:w="582" w:type="dxa"/>
            <w:shd w:val="clear" w:color="auto" w:fill="auto"/>
            <w:vAlign w:val="bottom"/>
          </w:tcPr>
          <w:p>
            <w:pPr>
              <w:rPr>
                <w:rFonts w:ascii="Arial" w:hAnsi="Arial" w:cs="Arial"/>
                <w:color w:val="000000"/>
                <w:sz w:val="20"/>
                <w:szCs w:val="20"/>
              </w:rPr>
            </w:pPr>
          </w:p>
        </w:tc>
        <w:tc>
          <w:tcPr>
            <w:tcW w:w="5547" w:type="dxa"/>
            <w:gridSpan w:val="5"/>
            <w:shd w:val="clear" w:color="auto" w:fill="auto"/>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15" w:type="dxa"/>
            <w:left w:w="15" w:type="dxa"/>
            <w:bottom w:w="15" w:type="dxa"/>
            <w:right w:w="15" w:type="dxa"/>
          </w:tblCellMar>
        </w:tblPrEx>
        <w:trPr>
          <w:trHeight w:val="373" w:hRule="atLeast"/>
        </w:trPr>
        <w:tc>
          <w:tcPr>
            <w:tcW w:w="3473" w:type="dxa"/>
            <w:gridSpan w:val="4"/>
            <w:shd w:val="clear" w:color="auto" w:fill="auto"/>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5547" w:type="dxa"/>
            <w:gridSpan w:val="5"/>
            <w:shd w:val="clear" w:color="auto" w:fill="auto"/>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15" w:type="dxa"/>
            <w:left w:w="15" w:type="dxa"/>
            <w:bottom w:w="15" w:type="dxa"/>
            <w:right w:w="15" w:type="dxa"/>
          </w:tblCellMar>
        </w:tblPrEx>
        <w:trPr>
          <w:trHeight w:val="384" w:hRule="atLeast"/>
        </w:trPr>
        <w:tc>
          <w:tcPr>
            <w:tcW w:w="28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129" w:type="dxa"/>
            <w:gridSpan w:val="6"/>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15" w:type="dxa"/>
            <w:left w:w="15" w:type="dxa"/>
            <w:bottom w:w="15" w:type="dxa"/>
            <w:right w:w="15" w:type="dxa"/>
          </w:tblCellMar>
        </w:tblPrEx>
        <w:trPr>
          <w:trHeight w:val="371" w:hRule="atLeast"/>
        </w:trPr>
        <w:tc>
          <w:tcPr>
            <w:tcW w:w="582" w:type="dxa"/>
            <w:vMerge w:val="restart"/>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488"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21"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582"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199"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01"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582"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791"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74"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15" w:type="dxa"/>
            <w:left w:w="15" w:type="dxa"/>
            <w:bottom w:w="15" w:type="dxa"/>
            <w:right w:w="15" w:type="dxa"/>
          </w:tblCellMar>
        </w:tblPrEx>
        <w:trPr>
          <w:trHeight w:val="371" w:hRule="atLeast"/>
        </w:trPr>
        <w:tc>
          <w:tcPr>
            <w:tcW w:w="582" w:type="dxa"/>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88"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1"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58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199"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01"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582"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791"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174"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工资福利支出</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265.50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商品和服务支出</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27.04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债务利息及费用支出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30101</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基本工资</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116.72</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30201</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办公费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30701</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国内债务付息</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30102</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津贴补贴</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82.24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30202</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印刷费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30702</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国外债务付息</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30103</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奖金</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30203</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咨询费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资本性支出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8.97</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30106</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伙食补助费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30204</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手续费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31001</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房屋建筑物购建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30107</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绩效工资</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9.93</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30205</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水费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31002</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办公设备购置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2.37</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30108</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33.11</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30206</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电费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31003</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专用设备购置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6.60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30109</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职业年金缴费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30207</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邮电费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1.09</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31005</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基础设施建设</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30110</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职工基本医疗保险缴费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12.79</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30208</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取暖费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31006</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大型修缮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30111</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公务员医疗补助缴费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30209</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物业管理费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31007</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信息网络及软件购置更新</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30112</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其他社会保障缴费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30211</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差旅费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31008</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物资储备</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30113</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30212</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因公出国（境）费用</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31009</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土地补偿</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30114</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医疗费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30213</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维修（护）费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2.18</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31010</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安置补助</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30199</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其他工资福利支出</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30214</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租赁费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31011</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地上附着物和青苗补偿</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对个人和家庭的补助</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26.90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30215</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会议费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31012</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拆迁补偿</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30301</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离休费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30216</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培训费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31013</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公务用车购置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30302</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退休费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25.34</w:t>
            </w:r>
          </w:p>
        </w:tc>
        <w:tc>
          <w:tcPr>
            <w:tcW w:w="582"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公务接待费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31019</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其他交通工具购置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30303</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退职（役）费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30218</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专用材料费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31021</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文物和陈列品购置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30304</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抚恤金</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30224</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被装购置费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31022</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无形资产购置</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30305</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生活补助</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30225</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专用燃料费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31099</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其他资本性支出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30306</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救济费</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30226</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劳务费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0.74</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30307</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医疗费补助</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30227</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委托业务费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39906</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赠与</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30308</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助学金</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30228</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工会经费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1.03</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39907</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国家赔偿费用支出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30309</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奖励金</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30229</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福利费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39908</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对民间非营利组织和群众性自治组织补贴</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30310</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个人农业生产补贴</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30231</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公务用车运行维护费</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1.99</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39999</w:t>
            </w:r>
          </w:p>
        </w:tc>
        <w:tc>
          <w:tcPr>
            <w:tcW w:w="1791"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30399</w:t>
            </w:r>
          </w:p>
        </w:tc>
        <w:tc>
          <w:tcPr>
            <w:tcW w:w="1488"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其他对个人和家庭的补助</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0.75</w:t>
            </w: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30239</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其他交通费用</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11.98</w:t>
            </w:r>
          </w:p>
        </w:tc>
        <w:tc>
          <w:tcPr>
            <w:tcW w:w="582"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791"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1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488"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821"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30240</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税金及附加费用</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791"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1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84" w:hRule="atLeast"/>
        </w:trPr>
        <w:tc>
          <w:tcPr>
            <w:tcW w:w="582" w:type="dxa"/>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488"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821"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582"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30299</w:t>
            </w:r>
          </w:p>
        </w:tc>
        <w:tc>
          <w:tcPr>
            <w:tcW w:w="1199"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其他商品和服务支出</w:t>
            </w:r>
          </w:p>
        </w:tc>
        <w:tc>
          <w:tcPr>
            <w:tcW w:w="80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2"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791"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1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95" w:hRule="atLeast"/>
        </w:trPr>
        <w:tc>
          <w:tcPr>
            <w:tcW w:w="2070" w:type="dxa"/>
            <w:gridSpan w:val="2"/>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人员经费合计</w:t>
            </w:r>
          </w:p>
        </w:tc>
        <w:tc>
          <w:tcPr>
            <w:tcW w:w="821"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292.40</w:t>
            </w:r>
          </w:p>
        </w:tc>
        <w:tc>
          <w:tcPr>
            <w:tcW w:w="4955" w:type="dxa"/>
            <w:gridSpan w:val="5"/>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公用经费合计</w:t>
            </w:r>
          </w:p>
        </w:tc>
        <w:tc>
          <w:tcPr>
            <w:tcW w:w="117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36.01</w:t>
            </w:r>
          </w:p>
        </w:tc>
      </w:tr>
    </w:tbl>
    <w:p>
      <w:pPr>
        <w:jc w:val="left"/>
      </w:pPr>
    </w:p>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部门：无极县统计局</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2.01</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261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部门：无极县统计局</w:t>
            </w: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本单位无政府性基金预算财政拨款支出，按要求以空表列示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部门：无极县统计局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本单位本年无国有资本经营预算财政拨款支出，按要求以空表列示</w:t>
      </w:r>
    </w:p>
    <w:p/>
    <w:p/>
    <w:p/>
    <w:p/>
    <w:p/>
    <w:p/>
    <w:p/>
    <w:p/>
    <w:p/>
    <w:p/>
    <w:p/>
    <w:p/>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- 23 -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5F51AC58"/>
    <w:multiLevelType w:val="singleLevel"/>
    <w:tmpl w:val="5F51AC58"/>
    <w:lvl w:ilvl="0" w:tentative="0">
      <w:start w:val="1"/>
      <w:numFmt w:val="chineseCounting"/>
      <w:suff w:val="nothing"/>
      <w:lvlText w:val="（%1）"/>
      <w:lvlJc w:val="left"/>
    </w:lvl>
  </w:abstractNum>
  <w:abstractNum w:abstractNumId="3">
    <w:nsid w:val="60A6053B"/>
    <w:multiLevelType w:val="singleLevel"/>
    <w:tmpl w:val="60A6053B"/>
    <w:lvl w:ilvl="0" w:tentative="0">
      <w:start w:val="3"/>
      <w:numFmt w:val="decimal"/>
      <w:suff w:val="space"/>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40520"/>
    <w:rsid w:val="0007063E"/>
    <w:rsid w:val="00073392"/>
    <w:rsid w:val="00073F4E"/>
    <w:rsid w:val="00086C89"/>
    <w:rsid w:val="000A39FB"/>
    <w:rsid w:val="00117746"/>
    <w:rsid w:val="00163F95"/>
    <w:rsid w:val="00180A9A"/>
    <w:rsid w:val="001829C0"/>
    <w:rsid w:val="00184809"/>
    <w:rsid w:val="00192112"/>
    <w:rsid w:val="00197CC8"/>
    <w:rsid w:val="001B0127"/>
    <w:rsid w:val="001C12D5"/>
    <w:rsid w:val="001C69F7"/>
    <w:rsid w:val="001D6F97"/>
    <w:rsid w:val="002650EC"/>
    <w:rsid w:val="002A6C46"/>
    <w:rsid w:val="002C19B5"/>
    <w:rsid w:val="00312862"/>
    <w:rsid w:val="003A4EE8"/>
    <w:rsid w:val="00442CC2"/>
    <w:rsid w:val="00446244"/>
    <w:rsid w:val="00473C20"/>
    <w:rsid w:val="004D61CB"/>
    <w:rsid w:val="005011D6"/>
    <w:rsid w:val="00503F2E"/>
    <w:rsid w:val="00552226"/>
    <w:rsid w:val="00566120"/>
    <w:rsid w:val="00582E6D"/>
    <w:rsid w:val="005954D5"/>
    <w:rsid w:val="005A53FA"/>
    <w:rsid w:val="005D1293"/>
    <w:rsid w:val="005F6204"/>
    <w:rsid w:val="00644D5F"/>
    <w:rsid w:val="00657F86"/>
    <w:rsid w:val="006727AD"/>
    <w:rsid w:val="00691425"/>
    <w:rsid w:val="006A516E"/>
    <w:rsid w:val="006B0830"/>
    <w:rsid w:val="00716E2B"/>
    <w:rsid w:val="00770F18"/>
    <w:rsid w:val="00773B74"/>
    <w:rsid w:val="0078290C"/>
    <w:rsid w:val="007A2178"/>
    <w:rsid w:val="007C06CA"/>
    <w:rsid w:val="008163FB"/>
    <w:rsid w:val="0082605B"/>
    <w:rsid w:val="00855C36"/>
    <w:rsid w:val="00856D43"/>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BB140F"/>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8675A3"/>
    <w:rsid w:val="05B00A30"/>
    <w:rsid w:val="05D21319"/>
    <w:rsid w:val="08722AEE"/>
    <w:rsid w:val="0B011416"/>
    <w:rsid w:val="0F47429B"/>
    <w:rsid w:val="1337439E"/>
    <w:rsid w:val="16387FA2"/>
    <w:rsid w:val="22337E8C"/>
    <w:rsid w:val="23CB7917"/>
    <w:rsid w:val="31C2036A"/>
    <w:rsid w:val="320D02A5"/>
    <w:rsid w:val="33E33564"/>
    <w:rsid w:val="348E566F"/>
    <w:rsid w:val="3A226944"/>
    <w:rsid w:val="3AEE6A48"/>
    <w:rsid w:val="3C1620AA"/>
    <w:rsid w:val="3D8F080F"/>
    <w:rsid w:val="3E5B4669"/>
    <w:rsid w:val="44CE1FA4"/>
    <w:rsid w:val="487F73ED"/>
    <w:rsid w:val="4A347EAE"/>
    <w:rsid w:val="52600405"/>
    <w:rsid w:val="529B4319"/>
    <w:rsid w:val="550679D0"/>
    <w:rsid w:val="57773DD6"/>
    <w:rsid w:val="578B79AB"/>
    <w:rsid w:val="5CCD3FD5"/>
    <w:rsid w:val="61FA5F9D"/>
    <w:rsid w:val="63381992"/>
    <w:rsid w:val="64CD6910"/>
    <w:rsid w:val="6789158D"/>
    <w:rsid w:val="67D81BA4"/>
    <w:rsid w:val="6AAF1C96"/>
    <w:rsid w:val="6D6A2A7A"/>
    <w:rsid w:val="6E08481E"/>
    <w:rsid w:val="75681757"/>
    <w:rsid w:val="75A346A8"/>
    <w:rsid w:val="79B9382C"/>
    <w:rsid w:val="7B043B76"/>
    <w:rsid w:val="7C041A6A"/>
    <w:rsid w:val="7C991608"/>
    <w:rsid w:val="7DD3611F"/>
    <w:rsid w:val="7E327570"/>
    <w:rsid w:val="7E383BA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GIF"/><Relationship Id="rId27" Type="http://schemas.openxmlformats.org/officeDocument/2006/relationships/theme" Target="theme/theme1.xml"/><Relationship Id="rId26" Type="http://schemas.openxmlformats.org/officeDocument/2006/relationships/footer" Target="footer10.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header" Target="header10.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1\AppData\Local\Temp\wps.bq9416\Work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40520493506642"/>
          <c:y val="0.854477611940299"/>
        </c:manualLayout>
      </c:layout>
      <c:overlay val="0"/>
    </c:title>
    <c:autoTitleDeleted val="0"/>
    <c:plotArea>
      <c:layout>
        <c:manualLayout>
          <c:layoutTarget val="inner"/>
          <c:xMode val="edge"/>
          <c:yMode val="edge"/>
          <c:x val="0.0943148809218805"/>
          <c:y val="0.057524581815333"/>
          <c:w val="0.811370238156239"/>
          <c:h val="0.76554785129471"/>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452.63</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1"/>
        </c:manualLayout>
      </c:layout>
      <c:overlay val="0"/>
    </c:title>
    <c:autoTitleDeleted val="0"/>
    <c:plotArea>
      <c:layout>
        <c:manualLayout>
          <c:layoutTarget val="inner"/>
          <c:xMode val="edge"/>
          <c:yMode val="edge"/>
          <c:x val="0.101627059597234"/>
          <c:y val="0.103243458204088"/>
          <c:w val="0.808785007968814"/>
          <c:h val="0.655154696572022"/>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328.41</c:v>
                </c:pt>
                <c:pt idx="1">
                  <c:v>124.17</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452.63</c:v>
                </c:pt>
                <c:pt idx="1">
                  <c:v>452.58</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310.66</c:v>
                </c:pt>
                <c:pt idx="1">
                  <c:v>320.99</c:v>
                </c:pt>
              </c:numCache>
            </c:numRef>
          </c:val>
        </c:ser>
        <c:dLbls>
          <c:showLegendKey val="0"/>
          <c:showVal val="1"/>
          <c:showCatName val="0"/>
          <c:showSerName val="0"/>
          <c:showPercent val="0"/>
          <c:showBubbleSize val="0"/>
        </c:dLbls>
        <c:gapWidth val="75"/>
        <c:axId val="184840192"/>
        <c:axId val="184841728"/>
      </c:barChart>
      <c:catAx>
        <c:axId val="1848401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841728"/>
        <c:crosses val="autoZero"/>
        <c:auto val="1"/>
        <c:lblAlgn val="ctr"/>
        <c:lblOffset val="100"/>
        <c:noMultiLvlLbl val="0"/>
      </c:catAx>
      <c:valAx>
        <c:axId val="1848417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840192"/>
        <c:crosses val="autoZero"/>
        <c:crossBetween val="between"/>
      </c:valAx>
    </c:plotArea>
    <c:legend>
      <c:legendPos val="b"/>
      <c:layout>
        <c:manualLayout>
          <c:xMode val="edge"/>
          <c:yMode val="edge"/>
          <c:x val="0.426340551181102"/>
          <c:y val="0.75683529974089"/>
          <c:w val="0.208429790026247"/>
          <c:h val="0.0770305149555991"/>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378.05</c:v>
                </c:pt>
                <c:pt idx="1">
                  <c:v>378.05</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452.63</c:v>
                </c:pt>
                <c:pt idx="1">
                  <c:v>452.58</c:v>
                </c:pt>
              </c:numCache>
            </c:numRef>
          </c:val>
        </c:ser>
        <c:dLbls>
          <c:showLegendKey val="0"/>
          <c:showVal val="1"/>
          <c:showCatName val="0"/>
          <c:showSerName val="0"/>
          <c:showPercent val="0"/>
          <c:showBubbleSize val="0"/>
        </c:dLbls>
        <c:gapWidth val="75"/>
        <c:axId val="244451968"/>
        <c:axId val="244453760"/>
      </c:barChart>
      <c:catAx>
        <c:axId val="2444519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4453760"/>
        <c:crosses val="autoZero"/>
        <c:auto val="1"/>
        <c:lblAlgn val="ctr"/>
        <c:lblOffset val="100"/>
        <c:noMultiLvlLbl val="0"/>
      </c:catAx>
      <c:valAx>
        <c:axId val="24445376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4451968"/>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Pt>
            <c:idx val="19"/>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支出决算结构!$A$5:$A$24</c:f>
              <c:strCache>
                <c:ptCount val="20"/>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医疗卫生与计划生育支出</c:v>
                </c:pt>
                <c:pt idx="8">
                  <c:v>节能环保支出</c:v>
                </c:pt>
                <c:pt idx="9">
                  <c:v>城乡社区支出</c:v>
                </c:pt>
                <c:pt idx="10">
                  <c:v>农林水支出</c:v>
                </c:pt>
                <c:pt idx="11">
                  <c:v>交通运输支出</c:v>
                </c:pt>
                <c:pt idx="12">
                  <c:v>资源勘探信息等支出</c:v>
                </c:pt>
                <c:pt idx="13">
                  <c:v>商业服务业等支出</c:v>
                </c:pt>
                <c:pt idx="14">
                  <c:v>国土海洋气象等支出</c:v>
                </c:pt>
                <c:pt idx="15">
                  <c:v>住房保障支出</c:v>
                </c:pt>
                <c:pt idx="16">
                  <c:v>粮油物资储备支出</c:v>
                </c:pt>
                <c:pt idx="17">
                  <c:v>其他支出</c:v>
                </c:pt>
                <c:pt idx="18">
                  <c:v>债务还本支出</c:v>
                </c:pt>
                <c:pt idx="19">
                  <c:v>债务付息支出</c:v>
                </c:pt>
              </c:strCache>
            </c:strRef>
          </c:cat>
          <c:val>
            <c:numRef>
              <c:f>支出决算结构!$B$5:$B$24</c:f>
              <c:numCache>
                <c:formatCode>General</c:formatCode>
                <c:ptCount val="20"/>
                <c:pt idx="0">
                  <c:v>381.04</c:v>
                </c:pt>
                <c:pt idx="5">
                  <c:v>58.74</c:v>
                </c:pt>
                <c:pt idx="6">
                  <c:v>12.79</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76631B-D219-4DBA-B946-98E0C5FC5921}">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37</Pages>
  <Words>2233</Words>
  <Characters>12732</Characters>
  <Lines>106</Lines>
  <Paragraphs>29</Paragraphs>
  <TotalTime>6</TotalTime>
  <ScaleCrop>false</ScaleCrop>
  <LinksUpToDate>false</LinksUpToDate>
  <CharactersWithSpaces>14936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古德纽斯</cp:lastModifiedBy>
  <cp:lastPrinted>2020-07-30T02:37:00Z</cp:lastPrinted>
  <dcterms:modified xsi:type="dcterms:W3CDTF">2023-08-28T08:10:19Z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C0951042C4F54D4F9FBD6132839AC2D5</vt:lpwstr>
  </property>
</Properties>
</file>