
<file path=[Content_Types].xml><?xml version="1.0" encoding="utf-8"?>
<Types xmlns="http://schemas.openxmlformats.org/package/2006/content-types">
  <Default Extension="xml" ContentType="application/xml"/>
  <Default Extension="xlsx" ContentType="application/vnd.openxmlformats-officedocument.spreadsheetml.sheet"/>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二〇二〇年九月</w:t>
                  </w:r>
                </w:p>
              </w:txbxContent>
            </v:textbox>
          </v:shape>
        </w:pict>
      </w:r>
      <w:r>
        <w:pict>
          <v:shape id="椭圆 8" o:spid="_x0000_s104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3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36" o:spid="_x0000_s103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3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3" o:spid="_x0000_s1033"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4" o:spid="_x0000_s1034"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中国人民政治协商会议无极县委员会办公室</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二〇二〇年九月</w:t>
      </w:r>
    </w:p>
    <w:p>
      <w:pPr>
        <w:widowControl/>
        <w:spacing w:line="600" w:lineRule="exact"/>
        <w:jc w:val="left"/>
        <w:rPr>
          <w:rFonts w:ascii="黑体" w:hAnsi="黑体" w:eastAsia="黑体" w:cs="黑体"/>
          <w:bCs/>
          <w:sz w:val="32"/>
          <w:szCs w:val="32"/>
          <w:highlight w:val="yellow"/>
        </w:r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1" o:spid="_x0000_s1031"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960" w:firstLineChars="300"/>
        <w:jc w:val="left"/>
        <w:outlineLvl w:val="0"/>
        <w:rPr>
          <w:rFonts w:ascii="仿宋" w:hAnsi="仿宋" w:eastAsia="仿宋" w:cs="仿宋"/>
          <w:sz w:val="32"/>
          <w:szCs w:val="32"/>
        </w:rPr>
      </w:pPr>
      <w:r>
        <w:rPr>
          <w:rFonts w:hint="eastAsia" w:ascii="仿宋" w:hAnsi="仿宋" w:eastAsia="仿宋" w:cs="仿宋"/>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中国人民政治协商会议无极县委员会办公室</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0" o:spid="_x0000_s1030" o:spt="202" type="#_x0000_t202" style="position:absolute;left:0pt;margin-left:-85.7pt;margin-top:238.15pt;height:173.25pt;width:613.65pt;z-index:25167257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29" o:spid="_x0000_s1029" o:spt="202" type="#_x0000_t202" style="position:absolute;left:0pt;margin-left:-90.8pt;margin-top:4.35pt;height:263.1pt;width:613.65pt;z-index:25168076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本部门2019年度收支总计（含结转和结余）484.15万元。与2018年度决算相比，收支各增加155.97万元，增长47.53%，主要原因是人员工资的调整和抚恤金支出增加。</w:t>
      </w:r>
    </w:p>
    <w:p>
      <w:pPr>
        <w:keepNext/>
        <w:keepLines/>
        <w:snapToGrid w:val="0"/>
        <w:spacing w:line="52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2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本部门2019年度本年收入合计476.91万元，其中：财政拨款收入476.91万元，占100%。</w:t>
      </w:r>
    </w:p>
    <w:p>
      <w:pPr>
        <w:adjustRightInd w:val="0"/>
        <w:snapToGrid w:val="0"/>
        <w:ind w:firstLine="1920" w:firstLineChars="600"/>
        <w:rPr>
          <w:rFonts w:ascii="仿宋_GB2312" w:hAnsi="Times New Roman" w:eastAsia="仿宋_GB2312" w:cs="DengXian-Regular"/>
          <w:sz w:val="32"/>
          <w:szCs w:val="32"/>
        </w:rPr>
      </w:pPr>
    </w:p>
    <w:p>
      <w:pPr>
        <w:adjustRightInd w:val="0"/>
        <w:snapToGrid w:val="0"/>
        <w:ind w:firstLine="1470" w:firstLineChars="700"/>
        <w:rPr>
          <w:rFonts w:ascii="仿宋_GB2312" w:hAnsi="Times New Roman" w:eastAsia="仿宋_GB2312" w:cs="DengXian-Regular"/>
          <w:sz w:val="32"/>
          <w:szCs w:val="32"/>
        </w:rPr>
      </w:pPr>
      <w:r>
        <w:drawing>
          <wp:inline distT="0" distB="0" distL="0" distR="0">
            <wp:extent cx="3086100" cy="2057400"/>
            <wp:effectExtent l="0" t="0" r="19050" b="19050"/>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keepNext/>
        <w:keepLines/>
        <w:snapToGrid w:val="0"/>
        <w:spacing w:line="52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本部门2019年度本年支出合计484.07万元，其中：基本支出458.32万元，占95%；项目支出25.75万元，占5%。如图所示：</w:t>
      </w:r>
    </w:p>
    <w:p>
      <w:pPr>
        <w:adjustRightInd w:val="0"/>
        <w:snapToGrid w:val="0"/>
        <w:ind w:firstLine="1575" w:firstLineChars="750"/>
        <w:rPr>
          <w:rFonts w:ascii="仿宋_GB2312" w:hAnsi="Times New Roman" w:eastAsia="仿宋_GB2312" w:cs="DengXian-Regular"/>
          <w:sz w:val="32"/>
          <w:szCs w:val="32"/>
        </w:rPr>
      </w:pPr>
      <w:r>
        <w:drawing>
          <wp:inline distT="0" distB="0" distL="0" distR="0">
            <wp:extent cx="2990850" cy="1895475"/>
            <wp:effectExtent l="0" t="0" r="19050" b="9525"/>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keepNext/>
        <w:keepLines/>
        <w:snapToGrid w:val="0"/>
        <w:spacing w:line="52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2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476.91万元,比2018年度增加162.42万元，增长51.65%，主要是行政人员调整工资和增加通讯补助收入；本年支出484.07万元，增加163.13万元，增长50.83%，主要是人员工资调整支出和通讯补助支出。</w:t>
      </w:r>
    </w:p>
    <w:p>
      <w:pPr>
        <w:adjustRightInd w:val="0"/>
        <w:snapToGrid w:val="0"/>
        <w:ind w:firstLine="640" w:firstLineChars="200"/>
        <w:rPr>
          <w:rFonts w:ascii="仿宋_GB2312" w:hAnsi="Times New Roman" w:eastAsia="仿宋_GB2312" w:cs="DengXian-Regular"/>
          <w:sz w:val="32"/>
          <w:szCs w:val="32"/>
          <w:highlight w:val="yellow"/>
        </w:rPr>
      </w:pPr>
    </w:p>
    <w:p>
      <w:pPr>
        <w:adjustRightInd w:val="0"/>
        <w:snapToGrid w:val="0"/>
        <w:ind w:firstLine="525" w:firstLineChars="250"/>
        <w:rPr>
          <w:rFonts w:ascii="仿宋_GB2312" w:hAnsi="Times New Roman" w:eastAsia="仿宋_GB2312" w:cs="DengXian-Regular"/>
          <w:sz w:val="32"/>
          <w:szCs w:val="32"/>
          <w:highlight w:val="yellow"/>
        </w:rPr>
      </w:pPr>
      <w:r>
        <w:drawing>
          <wp:inline distT="0" distB="0" distL="0" distR="0">
            <wp:extent cx="4572000" cy="2981325"/>
            <wp:effectExtent l="0" t="0" r="19050" b="9525"/>
            <wp:docPr id="226" name="图表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476.91万元，完成年初预算的124.14%（如图4）,比年初预算增加92.75万元，决算数大于预算数主要原因是本年度年初人员工资调整预算预计不足及抚恤金支出增加；本年支出484.07万元，完成年初预算的126%,比年初预算增加99.91万元，决算数大于预算数主要原因是主要是工资调整及抚恤金支出增加。</w:t>
      </w:r>
    </w:p>
    <w:p>
      <w:pPr>
        <w:adjustRightInd w:val="0"/>
        <w:snapToGrid w:val="0"/>
        <w:ind w:firstLine="640" w:firstLineChars="200"/>
        <w:rPr>
          <w:rFonts w:ascii="仿宋_GB2312" w:hAnsi="Times New Roman" w:eastAsia="仿宋_GB2312" w:cs="DengXian-Regular"/>
          <w:sz w:val="32"/>
          <w:szCs w:val="32"/>
          <w:highlight w:val="yellow"/>
        </w:rPr>
      </w:pPr>
    </w:p>
    <w:p>
      <w:pPr>
        <w:adjustRightInd w:val="0"/>
        <w:snapToGrid w:val="0"/>
        <w:ind w:firstLine="630" w:firstLineChars="300"/>
        <w:rPr>
          <w:rFonts w:ascii="仿宋_GB2312" w:hAnsi="Times New Roman" w:eastAsia="仿宋_GB2312" w:cs="DengXian-Regular"/>
          <w:sz w:val="32"/>
          <w:szCs w:val="32"/>
          <w:highlight w:val="yellow"/>
        </w:rPr>
      </w:pPr>
      <w:r>
        <w:drawing>
          <wp:inline distT="0" distB="0" distL="0" distR="0">
            <wp:extent cx="4572000" cy="3486150"/>
            <wp:effectExtent l="0" t="0" r="19050" b="19050"/>
            <wp:docPr id="227" name="图表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numPr>
          <w:ilvl w:val="0"/>
          <w:numId w:val="1"/>
        </w:numPr>
        <w:adjustRightInd w:val="0"/>
        <w:snapToGrid w:val="0"/>
        <w:spacing w:line="52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年度财政拨款支出484.07万元，主要用于以下方面：一般公共服务（类）支出360.6万元，占74.49%，；社会保障和就业（类）支出 110.99万元，占22.93%；卫生健康（类）支出12.48万元，占 2.58%。</w:t>
      </w:r>
    </w:p>
    <w:p>
      <w:pPr>
        <w:adjustRightInd w:val="0"/>
        <w:snapToGrid w:val="0"/>
        <w:rPr>
          <w:rFonts w:ascii="楷体_GB2312" w:hAnsi="Times New Roman" w:eastAsia="楷体_GB2312" w:cs="DengXian-Bold"/>
          <w:b/>
          <w:bCs/>
          <w:sz w:val="32"/>
          <w:szCs w:val="32"/>
        </w:rPr>
      </w:pPr>
    </w:p>
    <w:p>
      <w:pPr>
        <w:adjustRightInd w:val="0"/>
        <w:snapToGrid w:val="0"/>
        <w:ind w:firstLine="1249" w:firstLineChars="595"/>
        <w:rPr>
          <w:rFonts w:ascii="楷体_GB2312" w:hAnsi="Times New Roman" w:eastAsia="楷体_GB2312" w:cs="DengXian-Bold"/>
          <w:b/>
          <w:bCs/>
          <w:sz w:val="32"/>
          <w:szCs w:val="32"/>
        </w:rPr>
      </w:pPr>
      <w:r>
        <w:drawing>
          <wp:inline distT="0" distB="0" distL="0" distR="0">
            <wp:extent cx="2933065" cy="2033270"/>
            <wp:effectExtent l="19050" t="0" r="635" b="0"/>
            <wp:docPr id="228" name="图表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年度财政拨款基本支出458.32万元，其中：人员经费 338.85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119.47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本部门2019年度“三公”经费支出共计6.39万元，完成预算的37.59%,较预算减少10.61万元，降低62.41%，主要</w:t>
      </w:r>
      <w:r>
        <w:rPr>
          <w:rFonts w:hint="eastAsia" w:ascii="仿宋_GB2312" w:eastAsia="仿宋_GB2312" w:cs="DengXian-Regular"/>
          <w:sz w:val="32"/>
          <w:szCs w:val="32"/>
        </w:rPr>
        <w:t>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；较2018年度减少2.22万元，降低25.78%，主要是减少公务用车的开支。具体情况如下：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与预算持平；较上年增加0万元，与去年支出持平，主要是近两年无出国出境行为发生。</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hAnsi="Times New Roman" w:eastAsia="楷体_GB2312" w:cs="DengXian-Bold"/>
          <w:b/>
          <w:bCs/>
          <w:sz w:val="32"/>
          <w:szCs w:val="32"/>
        </w:rPr>
        <w:t>（二）公务用车购置及运行维护费支出6.37万元。</w:t>
      </w:r>
      <w:r>
        <w:rPr>
          <w:rFonts w:hint="eastAsia" w:ascii="仿宋_GB2312" w:hAnsi="Times New Roman" w:eastAsia="仿宋_GB2312" w:cs="DengXian-Regular"/>
          <w:sz w:val="32"/>
          <w:szCs w:val="32"/>
        </w:rPr>
        <w:t>本部门2019年度公务用车购置及运行维护费较预算减少9.63万元，降低60.19%,主要是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精神和厉行节约要求，从严控制“三公”经费开支，全年车油费支出比预算有所节约。</w:t>
      </w:r>
      <w:r>
        <w:rPr>
          <w:rFonts w:hint="eastAsia" w:ascii="仿宋_GB2312" w:hAnsi="Times New Roman" w:eastAsia="仿宋_GB2312" w:cs="DengXian-Regular"/>
          <w:sz w:val="32"/>
          <w:szCs w:val="32"/>
        </w:rPr>
        <w:t>较上年减少1.27万元，降低16.62%,主要是减少公务用车出行，压减开支。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本部门2019年度公务用车购置量0辆，发生“公务用车购置”经费支出0万元。公务用车购置费支出与预算持平,主要是无购置公务用车行为；与上年增加持平，主要原因为近两年无车辆购置。</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本部门2019年度单位公务用车保有量4辆。公车运行维护费支出较预算减少9.63万元，降低60.19%,主要是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精神和厉行节约要求，从严控制“三公”经费开支，全年车油费支出比预算有所节约</w:t>
      </w:r>
      <w:r>
        <w:rPr>
          <w:rFonts w:hint="eastAsia" w:ascii="仿宋_GB2312" w:hAnsi="Times New Roman" w:eastAsia="仿宋_GB2312" w:cs="DengXian-Regular"/>
          <w:sz w:val="32"/>
          <w:szCs w:val="32"/>
        </w:rPr>
        <w:t>；较上年减少1.27万元，降低16.62%，主要是减少公务用车出行，压减开支。</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（三）公务接待费支出0.07万元。</w:t>
      </w:r>
      <w:r>
        <w:rPr>
          <w:rFonts w:hint="eastAsia" w:ascii="仿宋_GB2312" w:hAnsi="Times New Roman" w:eastAsia="仿宋_GB2312" w:cs="DengXian-Regular"/>
          <w:sz w:val="32"/>
          <w:szCs w:val="32"/>
        </w:rPr>
        <w:t>本部门2019年度公务接待共2批次、24人次。公务接待费支出较预算减少0.93万元，降低92.88%,主要是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精神和厉行节约要求，从严控制“三公”经费开支，减少接待</w:t>
      </w:r>
      <w:r>
        <w:rPr>
          <w:rFonts w:hint="eastAsia" w:ascii="仿宋_GB2312" w:hAnsi="Times New Roman" w:eastAsia="仿宋_GB2312" w:cs="DengXian-Regular"/>
          <w:sz w:val="32"/>
          <w:szCs w:val="32"/>
        </w:rPr>
        <w:t>；较上年度减少0.19万元，降低73.08%,主要是今年严格控制公务接待行为。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二级项目3个，共涉及资金25.75万元，占一般公共预算项目支出总额的100%。组织对2019年度政协会议、关于编辑出版《无极县文史资料全书》经费、关于与北京大学经济学院校地合作洽谈费用三个项目进行评价，从评价情况来看，评价结果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本部门在今年部门决算公开中反映政协十三届三次会议项目及文史编纂、北大校地合作项目3个项目绩效自评结果。</w:t>
      </w:r>
    </w:p>
    <w:p>
      <w:pPr>
        <w:spacing w:line="620" w:lineRule="exact"/>
        <w:ind w:firstLine="645"/>
        <w:rPr>
          <w:rFonts w:ascii="仿宋" w:hAnsi="仿宋" w:eastAsia="仿宋" w:cs="仿宋"/>
          <w:sz w:val="32"/>
          <w:szCs w:val="32"/>
        </w:rPr>
      </w:pPr>
      <w:r>
        <w:rPr>
          <w:rFonts w:hint="eastAsia" w:ascii="仿宋" w:hAnsi="仿宋" w:eastAsia="仿宋" w:cs="仿宋"/>
          <w:sz w:val="32"/>
          <w:szCs w:val="32"/>
        </w:rPr>
        <w:t>2019年度无极县政协十三届三次会议项目综合得分为95分，综合评价为优秀；《文史编纂》得分 95分，综合评价为优秀；北大校地合作项目得分为90分，综合评价为优秀。</w:t>
      </w:r>
    </w:p>
    <w:p>
      <w:pPr>
        <w:spacing w:line="560" w:lineRule="exact"/>
        <w:ind w:firstLine="642"/>
        <w:rPr>
          <w:rFonts w:ascii="仿宋" w:hAnsi="仿宋" w:eastAsia="仿宋" w:cs="仿宋"/>
          <w:sz w:val="32"/>
          <w:szCs w:val="32"/>
        </w:rPr>
      </w:pPr>
      <w:r>
        <w:rPr>
          <w:rFonts w:hint="eastAsia" w:ascii="仿宋_GB2312" w:hAnsi="仿宋_GB2312" w:eastAsia="仿宋_GB2312" w:cs="仿宋_GB2312"/>
          <w:sz w:val="32"/>
          <w:szCs w:val="32"/>
        </w:rPr>
        <w:t>（1）政协十三届三次会议项目自评综述：根据年初设定的绩效目标，此项目绩效自评得分为96分（绩效自评表附后）。全年预算数为21.6万元，执行数为21.6万元，完成预算的100%。项目绩效目标完成情况：</w:t>
      </w:r>
      <w:r>
        <w:rPr>
          <w:rFonts w:hint="eastAsia" w:ascii="仿宋" w:hAnsi="仿宋" w:eastAsia="仿宋" w:cs="仿宋"/>
          <w:sz w:val="32"/>
          <w:szCs w:val="32"/>
        </w:rPr>
        <w:t>通过走访、征求形式广征求政协委员提出的议案、建议和意见纳入政协会议，</w:t>
      </w:r>
      <w:r>
        <w:rPr>
          <w:rFonts w:hint="eastAsia" w:ascii="仿宋" w:hAnsi="仿宋" w:eastAsia="仿宋" w:cs="华文仿宋"/>
          <w:color w:val="000000"/>
          <w:kern w:val="0"/>
          <w:sz w:val="32"/>
          <w:szCs w:val="32"/>
        </w:rPr>
        <w:t>通过提案办理，有力推动了全县经济社会各项事业发展。</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cs="宋体"/>
                <w:kern w:val="0"/>
                <w:sz w:val="22"/>
              </w:rPr>
            </w:pPr>
            <w:r>
              <w:rPr>
                <w:rFonts w:hint="eastAsia" w:ascii="宋体" w:hAnsi="宋体" w:cs="宋体"/>
                <w:kern w:val="0"/>
                <w:sz w:val="22"/>
              </w:rPr>
              <w:t>（ 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无极县政协十三届三次会议</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无极县政协</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无极县政协办</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召开无极县政协十三届三次会议</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顺利组召开</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指标1：组织会议次数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 xml:space="preserve">指标2：形成提案数量 </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color w:val="000000"/>
                <w:kern w:val="0"/>
                <w:sz w:val="18"/>
                <w:szCs w:val="18"/>
              </w:rPr>
              <w:t>25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指标1：提案被采纳</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指标1：提案及时办结</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指标1：食、宿 安排</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指标1：履行政协职能</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指标2：拓宽建言渠道</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指标3：推动各项事业发展</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98</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spacing w:line="560" w:lineRule="exact"/>
        <w:ind w:firstLine="642"/>
        <w:rPr>
          <w:rFonts w:ascii="仿宋" w:hAnsi="仿宋" w:eastAsia="仿宋" w:cs="仿宋"/>
          <w:sz w:val="32"/>
          <w:szCs w:val="32"/>
        </w:rPr>
      </w:pPr>
      <w:r>
        <w:rPr>
          <w:rFonts w:hint="eastAsia" w:ascii="仿宋" w:hAnsi="仿宋" w:eastAsia="仿宋"/>
          <w:sz w:val="32"/>
          <w:szCs w:val="32"/>
        </w:rPr>
        <w:t>（2）</w:t>
      </w:r>
      <w:r>
        <w:rPr>
          <w:rFonts w:hint="eastAsia" w:ascii="仿宋" w:hAnsi="仿宋" w:eastAsia="仿宋" w:cs="仿宋"/>
          <w:sz w:val="32"/>
          <w:szCs w:val="32"/>
        </w:rPr>
        <w:t>《文史编纂》项目</w:t>
      </w:r>
      <w:r>
        <w:rPr>
          <w:rFonts w:hint="eastAsia" w:ascii="仿宋_GB2312" w:hAnsi="仿宋_GB2312" w:eastAsia="仿宋_GB2312" w:cs="仿宋_GB2312"/>
          <w:sz w:val="32"/>
          <w:szCs w:val="32"/>
        </w:rPr>
        <w:t>自评综述：根据年初设定的绩效目标，此项目绩效自评得分为95分（绩效自评表附后）。全年预算数为2.1万元，执行数为2.1万元，完成预算的100%。项目绩效目标完成情况：</w:t>
      </w:r>
      <w:r>
        <w:rPr>
          <w:rFonts w:hint="eastAsia" w:ascii="仿宋" w:hAnsi="仿宋" w:eastAsia="仿宋" w:cs="仿宋"/>
          <w:sz w:val="32"/>
          <w:szCs w:val="32"/>
        </w:rPr>
        <w:t>政协文史资料家庄市社会主义文化事业的一项建设工程，是政协履行职级的一项重要举措。传承了民族文化和民族精神，光大了石家庄形象。</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cs="宋体"/>
                <w:kern w:val="0"/>
                <w:sz w:val="22"/>
              </w:rPr>
            </w:pPr>
            <w:r>
              <w:rPr>
                <w:rFonts w:hint="eastAsia" w:ascii="宋体" w:hAnsi="宋体" w:cs="宋体"/>
                <w:kern w:val="0"/>
                <w:sz w:val="22"/>
              </w:rPr>
              <w:t>（ 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《文史编纂》项目</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石家庄市政协</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无极县政协</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ind w:firstLine="540" w:firstLineChars="300"/>
              <w:rPr>
                <w:rFonts w:ascii="宋体" w:hAnsi="宋体" w:cs="宋体"/>
                <w:kern w:val="0"/>
                <w:sz w:val="18"/>
                <w:szCs w:val="18"/>
              </w:rPr>
            </w:pPr>
            <w:r>
              <w:rPr>
                <w:rFonts w:hint="eastAsia" w:ascii="宋体" w:hAnsi="宋体" w:cs="宋体"/>
                <w:kern w:val="0"/>
                <w:sz w:val="18"/>
                <w:szCs w:val="18"/>
              </w:rPr>
              <w:t>完成《文史编纂》项目的编排、印刷</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得已完成分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525"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指标1：印刷成册</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指标1：通过市政协验收</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指标1：成立机构</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指标1：社会影响率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spacing w:line="560" w:lineRule="exact"/>
        <w:ind w:firstLine="642"/>
        <w:rPr>
          <w:rFonts w:ascii="仿宋" w:hAnsi="仿宋" w:eastAsia="仿宋" w:cs="仿宋"/>
          <w:sz w:val="32"/>
          <w:szCs w:val="32"/>
        </w:rPr>
      </w:pPr>
    </w:p>
    <w:p>
      <w:pPr>
        <w:spacing w:line="620" w:lineRule="exact"/>
        <w:ind w:firstLine="645"/>
        <w:rPr>
          <w:rFonts w:ascii="仿宋" w:hAnsi="仿宋" w:eastAsia="仿宋" w:cs="仿宋"/>
          <w:sz w:val="32"/>
          <w:szCs w:val="32"/>
        </w:rPr>
      </w:pPr>
      <w:r>
        <w:rPr>
          <w:rFonts w:hint="eastAsia" w:ascii="仿宋" w:hAnsi="仿宋" w:eastAsia="仿宋"/>
          <w:sz w:val="32"/>
          <w:szCs w:val="32"/>
        </w:rPr>
        <w:t>（3）</w:t>
      </w:r>
      <w:r>
        <w:rPr>
          <w:rFonts w:hint="eastAsia" w:ascii="仿宋" w:hAnsi="仿宋" w:eastAsia="仿宋" w:cs="仿宋"/>
          <w:sz w:val="32"/>
          <w:szCs w:val="32"/>
        </w:rPr>
        <w:t>《北大校地合作项目》</w:t>
      </w:r>
      <w:r>
        <w:rPr>
          <w:rFonts w:hint="eastAsia" w:ascii="仿宋_GB2312" w:hAnsi="仿宋_GB2312" w:eastAsia="仿宋_GB2312" w:cs="仿宋_GB2312"/>
          <w:sz w:val="32"/>
          <w:szCs w:val="32"/>
        </w:rPr>
        <w:t>自评综述：根据年初设定的绩效目标，此项目绩效自评得分为90分（绩效自评表附后）。全年预算数为2.05万元，执行数为2.05万元，完成预算的100%。项目绩效目标完成情况：</w:t>
      </w:r>
      <w:r>
        <w:rPr>
          <w:rFonts w:hint="eastAsia" w:ascii="仿宋" w:hAnsi="仿宋" w:eastAsia="仿宋" w:cs="仿宋"/>
          <w:sz w:val="32"/>
          <w:szCs w:val="32"/>
        </w:rPr>
        <w:t>加强与北大沟通联系，促进北大校地合作项目落地，。</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cs="宋体"/>
                <w:b/>
                <w:bCs/>
                <w:kern w:val="0"/>
                <w:sz w:val="32"/>
                <w:szCs w:val="32"/>
              </w:rPr>
            </w:pPr>
            <w:r>
              <w:rPr>
                <w:rFonts w:hint="eastAsia" w:ascii="宋体" w:hAnsi="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cs="宋体"/>
                <w:kern w:val="0"/>
                <w:sz w:val="22"/>
              </w:rPr>
            </w:pPr>
            <w:r>
              <w:rPr>
                <w:rFonts w:hint="eastAsia" w:ascii="宋体" w:hAnsi="宋体" w:cs="宋体"/>
                <w:kern w:val="0"/>
                <w:sz w:val="22"/>
              </w:rPr>
              <w:t>（ 2019年度）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北大校地合作项目</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无极县委、县政府</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无极县政协</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0</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加强与相关部门及北大的沟通联络，促进项目落地</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已完成</w:t>
            </w:r>
          </w:p>
        </w:tc>
      </w:tr>
      <w:tr>
        <w:tblPrEx>
          <w:tblCellMar>
            <w:top w:w="0" w:type="dxa"/>
            <w:left w:w="108" w:type="dxa"/>
            <w:bottom w:w="0" w:type="dxa"/>
            <w:right w:w="108" w:type="dxa"/>
          </w:tblCellMar>
        </w:tblPrEx>
        <w:trPr>
          <w:trHeight w:val="533" w:hRule="exact"/>
          <w:jc w:val="center"/>
        </w:trPr>
        <w:tc>
          <w:tcPr>
            <w:tcW w:w="588"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495"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r>
              <w:rPr>
                <w:rFonts w:hint="eastAsia" w:ascii="宋体" w:hAnsi="宋体" w:cs="宋体"/>
                <w:color w:val="000000"/>
                <w:kern w:val="0"/>
                <w:sz w:val="18"/>
                <w:szCs w:val="18"/>
                <w:lang w:val="en-US" w:eastAsia="zh-CN"/>
              </w:rPr>
              <w:t>洽谈</w:t>
            </w:r>
            <w:bookmarkStart w:id="0" w:name="_GoBack"/>
            <w:bookmarkEnd w:id="0"/>
            <w:r>
              <w:rPr>
                <w:rFonts w:hint="eastAsia" w:ascii="宋体" w:hAnsi="宋体" w:cs="宋体"/>
                <w:color w:val="000000"/>
                <w:kern w:val="0"/>
                <w:sz w:val="18"/>
                <w:szCs w:val="18"/>
              </w:rPr>
              <w:t>会议</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3</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7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指标1：加快项目落成</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指标1：完工及时率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指标1：会议安排</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指标1：群众受益率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30" w:hRule="exact"/>
          <w:jc w:val="center"/>
        </w:trPr>
        <w:tc>
          <w:tcPr>
            <w:tcW w:w="588"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80" w:type="dxa"/>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12" w:type="dxa"/>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90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spacing w:line="620" w:lineRule="exact"/>
      </w:pPr>
    </w:p>
    <w:p>
      <w:pPr>
        <w:adjustRightInd w:val="0"/>
        <w:snapToGrid w:val="0"/>
        <w:spacing w:line="580" w:lineRule="exact"/>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3、财政评价项目绩效评价结果。</w:t>
      </w:r>
    </w:p>
    <w:p>
      <w:pPr>
        <w:adjustRightInd w:val="0"/>
        <w:snapToGrid w:val="0"/>
        <w:spacing w:line="580" w:lineRule="exact"/>
        <w:ind w:firstLine="645"/>
        <w:rPr>
          <w:rFonts w:ascii="黑体" w:hAnsi="Calibri" w:eastAsia="黑体" w:cs="Times New Roman"/>
          <w:sz w:val="32"/>
          <w:szCs w:val="32"/>
        </w:rPr>
      </w:pPr>
      <w:r>
        <w:rPr>
          <w:rFonts w:hint="eastAsia" w:ascii="仿宋_GB2312" w:hAnsi="仿宋_GB2312" w:eastAsia="仿宋_GB2312" w:cs="仿宋_GB2312"/>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本部门2019年度机关运行经费支出119.47万元，比2018年度增加58.68万元，增长96.53%。主要原因是2019年单位搬迁，维修维护费增加。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eastAsia="仿宋_GB2312" w:cs="DengXian-Regular"/>
          <w:sz w:val="32"/>
          <w:szCs w:val="32"/>
        </w:rPr>
        <w:t>截至2019年12月31日，本部门共有车辆4辆，比上年增加0辆。其中</w:t>
      </w:r>
      <w:r>
        <w:rPr>
          <w:rFonts w:hint="eastAsia" w:ascii="仿宋_GB2312" w:hAnsi="Times New Roman" w:eastAsia="仿宋_GB2312" w:cs="DengXian-Regular"/>
          <w:sz w:val="32"/>
          <w:szCs w:val="32"/>
        </w:rPr>
        <w:t>其中，副部（省）级及以上领导用车0辆，主要领导干部用车0辆，机要通信用车0辆，应急保障用车4辆，执法执勤用车0辆，特种专业技术用车0辆，离退休干部用车0辆，其他用车0辆。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万元以上通用设备0台（套），比上年增加0套，主要是无增加减少，单位价值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万元以上专用设备0台（套）比上年增加0套，主要是无增加减少。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本部门2019年度无国有资本经营预算财政拨款和政府性基金财政拨款支出按要求以空表列示。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8" o:spid="_x0000_s1028" o:spt="202" type="#_x0000_t202" style="position:absolute;left:0pt;margin-left:-80.45pt;margin-top:34.8pt;height:263.1pt;width:613.65pt;z-index:25168179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7" o:spid="_x0000_s1027" o:spt="202" type="#_x0000_t202" style="position:absolute;left:0pt;margin-left:-82.05pt;margin-top:111.85pt;height:263.1pt;width:613.65pt;z-index:25168281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476.91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360.6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110.99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476.91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484.07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7.24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484.14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484.14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tc>
      </w:tr>
    </w:tbl>
    <w:tbl>
      <w:tblPr>
        <w:tblStyle w:val="7"/>
        <w:tblW w:w="10240" w:type="dxa"/>
        <w:jc w:val="center"/>
        <w:tblLayout w:type="autofit"/>
        <w:tblCellMar>
          <w:top w:w="0" w:type="dxa"/>
          <w:left w:w="0" w:type="dxa"/>
          <w:bottom w:w="0" w:type="dxa"/>
          <w:right w:w="0" w:type="dxa"/>
        </w:tblCellMar>
      </w:tblPr>
      <w:tblGrid>
        <w:gridCol w:w="718"/>
        <w:gridCol w:w="41"/>
        <w:gridCol w:w="41"/>
        <w:gridCol w:w="3028"/>
        <w:gridCol w:w="2607"/>
        <w:gridCol w:w="2072"/>
        <w:gridCol w:w="320"/>
        <w:gridCol w:w="320"/>
        <w:gridCol w:w="453"/>
        <w:gridCol w:w="510"/>
        <w:gridCol w:w="467"/>
      </w:tblGrid>
      <w:tr>
        <w:tblPrEx>
          <w:tblCellMar>
            <w:top w:w="0" w:type="dxa"/>
            <w:left w:w="0" w:type="dxa"/>
            <w:bottom w:w="0" w:type="dxa"/>
            <w:right w:w="0" w:type="dxa"/>
          </w:tblCellMar>
        </w:tblPrEx>
        <w:trPr>
          <w:trHeight w:val="670" w:hRule="atLeast"/>
          <w:jc w:val="center"/>
        </w:trPr>
        <w:tc>
          <w:tcPr>
            <w:tcW w:w="1024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6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366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24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9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35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35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45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86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4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6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6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4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6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9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3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3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4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36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476.91</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476.91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一般公共共服务支出</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353.44</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353.44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政协事务</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353.44</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353.44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320.75</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320.75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2010204</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政协会议</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2010299</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其他政协事务支出</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11.08</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社会保障和就业支出</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行政事业单位离退休</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 xml:space="preserve">  归口管理的行政单位离退休</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机关事业单位基本养老保险缴费</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财政对其他社会保险基金的补助</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150" w:firstLineChars="100"/>
              <w:jc w:val="left"/>
              <w:rPr>
                <w:rFonts w:ascii="宋体" w:hAnsi="宋体" w:eastAsia="宋体" w:cs="宋体"/>
                <w:color w:val="000000"/>
                <w:sz w:val="15"/>
                <w:szCs w:val="15"/>
              </w:rPr>
            </w:pPr>
            <w:r>
              <w:rPr>
                <w:rFonts w:hint="eastAsia" w:ascii="宋体" w:hAnsi="宋体" w:eastAsia="宋体" w:cs="宋体"/>
                <w:color w:val="000000"/>
                <w:sz w:val="15"/>
                <w:szCs w:val="15"/>
              </w:rPr>
              <w:t>财政对工伤保险基金的补助</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 xml:space="preserve">  财政对生育保险基金的补助</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484.07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458.32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25.75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一般公共共服务支出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360.6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政协事务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360.6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政协会议</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其他政协事务支出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社会保障和就业支出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行政事业单位离退休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归口管理的行政单位离退休</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机关事业单位基本养老保险缴费</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财政对其他社会保险基金的补助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150" w:firstLineChars="100"/>
              <w:jc w:val="left"/>
              <w:rPr>
                <w:rFonts w:ascii="宋体" w:hAnsi="宋体" w:eastAsia="宋体" w:cs="宋体"/>
                <w:color w:val="000000"/>
                <w:sz w:val="15"/>
                <w:szCs w:val="15"/>
              </w:rPr>
            </w:pPr>
            <w:r>
              <w:rPr>
                <w:rFonts w:hint="eastAsia" w:ascii="宋体" w:hAnsi="宋体" w:eastAsia="宋体" w:cs="宋体"/>
                <w:color w:val="000000"/>
                <w:sz w:val="15"/>
                <w:szCs w:val="15"/>
              </w:rPr>
              <w:t>财政对工伤保险基金的补助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 xml:space="preserve">  财政对生育保险基金的补助</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卫生健康支出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行政事业单位医疗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行政单位医疗</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700"/>
        <w:gridCol w:w="709"/>
        <w:gridCol w:w="64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4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476.91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360.6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360.6</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110.99</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110.99</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12.48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12.48</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476.91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484.07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484.07</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7.24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0.07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0.07</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7.24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r>
              <w:rPr>
                <w:rFonts w:hint="eastAsia" w:ascii="宋体" w:hAnsi="宋体" w:eastAsia="宋体" w:cs="宋体"/>
                <w:color w:val="000000"/>
                <w:sz w:val="16"/>
                <w:szCs w:val="16"/>
              </w:rPr>
              <w:t>484.14</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484.14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484.14</w:t>
            </w:r>
          </w:p>
        </w:tc>
        <w:tc>
          <w:tcPr>
            <w:tcW w:w="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tbl>
      <w:tblPr>
        <w:tblStyle w:val="7"/>
        <w:tblW w:w="9994" w:type="dxa"/>
        <w:jc w:val="center"/>
        <w:tblLayout w:type="autofit"/>
        <w:tblCellMar>
          <w:top w:w="0" w:type="dxa"/>
          <w:left w:w="0" w:type="dxa"/>
          <w:bottom w:w="0" w:type="dxa"/>
          <w:right w:w="0" w:type="dxa"/>
        </w:tblCellMar>
      </w:tblPr>
      <w:tblGrid>
        <w:gridCol w:w="939"/>
        <w:gridCol w:w="54"/>
        <w:gridCol w:w="54"/>
        <w:gridCol w:w="3173"/>
        <w:gridCol w:w="1973"/>
        <w:gridCol w:w="1973"/>
        <w:gridCol w:w="1828"/>
      </w:tblGrid>
      <w:tr>
        <w:tblPrEx>
          <w:tblCellMar>
            <w:top w:w="0" w:type="dxa"/>
            <w:left w:w="0" w:type="dxa"/>
            <w:bottom w:w="0" w:type="dxa"/>
            <w:right w:w="0" w:type="dxa"/>
          </w:tblCellMar>
        </w:tblPrEx>
        <w:trPr>
          <w:trHeight w:val="600" w:hRule="atLeast"/>
          <w:jc w:val="center"/>
        </w:trPr>
        <w:tc>
          <w:tcPr>
            <w:tcW w:w="9994"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77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047"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9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9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04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9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4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9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484.07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458.32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25.75</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一般公共共服务支出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25.75</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政协事务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25.75</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327.92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政协会议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21.6</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2010299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其他政协事务支出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4.15</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死亡抚恤</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150" w:firstLineChars="100"/>
              <w:jc w:val="left"/>
              <w:rPr>
                <w:rFonts w:ascii="宋体" w:hAnsi="宋体" w:eastAsia="宋体" w:cs="宋体"/>
                <w:color w:val="000000"/>
                <w:sz w:val="15"/>
                <w:szCs w:val="15"/>
              </w:rPr>
            </w:pPr>
            <w:r>
              <w:rPr>
                <w:rFonts w:hint="eastAsia" w:ascii="宋体" w:hAnsi="宋体" w:eastAsia="宋体" w:cs="宋体"/>
                <w:color w:val="000000"/>
                <w:sz w:val="15"/>
                <w:szCs w:val="15"/>
              </w:rPr>
              <w:t>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5"/>
                <w:szCs w:val="15"/>
              </w:rPr>
            </w:pPr>
            <w:r>
              <w:rPr>
                <w:rFonts w:hint="eastAsia" w:ascii="宋体" w:hAnsi="宋体" w:eastAsia="宋体" w:cs="宋体"/>
                <w:color w:val="000000"/>
                <w:sz w:val="15"/>
                <w:szCs w:val="15"/>
              </w:rPr>
              <w:t xml:space="preserve">  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3"/>
                <w:szCs w:val="13"/>
              </w:rPr>
            </w:pPr>
            <w:r>
              <w:rPr>
                <w:rFonts w:hint="eastAsia" w:ascii="宋体" w:hAnsi="宋体" w:eastAsia="宋体" w:cs="宋体"/>
                <w:color w:val="000000"/>
                <w:sz w:val="13"/>
                <w:szCs w:val="13"/>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262.19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116.32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96.26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80.13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3.16</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54.38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4.99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57.18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36.2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338.85</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119.48</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6.44</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6.37</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0.07</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31"/>
        <w:gridCol w:w="59"/>
        <w:gridCol w:w="59"/>
        <w:gridCol w:w="1489"/>
        <w:gridCol w:w="1145"/>
        <w:gridCol w:w="1145"/>
        <w:gridCol w:w="1145"/>
        <w:gridCol w:w="1145"/>
        <w:gridCol w:w="1145"/>
        <w:gridCol w:w="1147"/>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adjustRightInd w:val="0"/>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p>
      <w:r>
        <w:rPr>
          <w:rFonts w:hint="eastAsia"/>
        </w:rPr>
        <w:t>本部门无政府性基金预算财政拨款收入和支出，以空表列示。</w:t>
      </w:r>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jc w:val="left"/>
      </w:pPr>
      <w:r>
        <w:rPr>
          <w:rFonts w:hint="eastAsia"/>
        </w:rPr>
        <w:t>本单位无国有资本经营预算财政拨款支出情况，以空表列示</w: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华文仿宋">
    <w:panose1 w:val="02010600040101010101"/>
    <w:charset w:val="86"/>
    <w:family w:val="auto"/>
    <w:pitch w:val="default"/>
    <w:sig w:usb0="00000287" w:usb1="080F0000" w:usb2="00000000" w:usb3="00000000" w:csb0="0004009F" w:csb1="DFD7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5" o:spid="_x0000_s2065" o:spt="202" type="#_x0000_t202" style="position:absolute;left:0pt;margin-left:205.45pt;margin-top:-18.75pt;height:31.45pt;width:30.15pt;mso-position-horizontal-relative:margin;z-index:25167667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- 23 -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3" o:spid="_x0000_s2073" o:spt="202" type="#_x0000_t202" style="position:absolute;left:0pt;margin-left:209.65pt;margin-top:-12.95pt;height:14.3pt;width:30.6pt;mso-position-horizontal-relative:margin;z-index:25167360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4" o:spid="_x0000_s2074" o:spt="202" type="#_x0000_t202" style="position:absolute;left:0pt;margin-left:206.55pt;margin-top:-22.45pt;height:35.15pt;width:34pt;mso-position-horizontal-relative:margin;z-index:25167462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57" o:spid="_x0000_s2057" o:spt="202" type="#_x0000_t202" style="position:absolute;left:0pt;margin-left:209.15pt;margin-top:-6pt;height:18.7pt;width:144pt;mso-position-horizontal-relative:margin;mso-wrap-style:none;z-index:25167564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9" o:spid="_x0000_s2079"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081" o:spid="_x0000_s2081"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0"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5" o:spid="_x0000_s2075"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078"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77"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7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1" o:spid="_x0000_s2061" o:spt="203" style="position:absolute;left:0pt;margin-left:0pt;margin-top:0pt;height:37.85pt;width:594.8pt;mso-position-horizontal-relative:page;mso-position-vertical-relative:page;z-index:251668480;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64"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63"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62"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8" o:spid="_x0000_s2058" o:spt="203" style="position:absolute;left:0pt;margin-left:-2.15pt;margin-top:47.15pt;height:32pt;width:235.7pt;mso-position-horizontal-relative:page;mso-position-vertical-relative:page;z-index:251669504;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60" o:spid="_x0000_s2060"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59"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0" o:spid="_x0000_s2070" o:spt="203" style="position:absolute;left:0pt;margin-top:29.75pt;height:32pt;width:157.5pt;mso-position-horizontal:left;mso-position-horizontal-relative:page;mso-position-vertical-relative:page;z-index:251671552;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72" o:spid="_x0000_s2072"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1"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66" o:spid="_x0000_s2066" o:spt="203" style="position:absolute;left:0pt;margin-left:0pt;margin-top:0pt;height:58.95pt;width:596.5pt;mso-position-horizontal-relative:page;mso-position-vertical-relative:page;z-index:251670528;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69"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68"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67"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both"/>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0pt;margin-top:0pt;height:38.05pt;width:596.5pt;mso-position-horizontal-relative:page;mso-position-vertical-relative:page;z-index:251677696;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5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top:29.75pt;height:32pt;width:254.25pt;mso-position-horizontal:left;mso-position-horizontal-relative:page;mso-position-vertical-relative:page;z-index:251678720;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2" o:spid="_x0000_s2052"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1"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20DA"/>
    <w:rsid w:val="00031860"/>
    <w:rsid w:val="0007063E"/>
    <w:rsid w:val="00073392"/>
    <w:rsid w:val="00073F4E"/>
    <w:rsid w:val="00086C89"/>
    <w:rsid w:val="0009184A"/>
    <w:rsid w:val="000A2B70"/>
    <w:rsid w:val="000A39FB"/>
    <w:rsid w:val="000B0793"/>
    <w:rsid w:val="00117746"/>
    <w:rsid w:val="001216A5"/>
    <w:rsid w:val="00125960"/>
    <w:rsid w:val="00163F95"/>
    <w:rsid w:val="00180A9A"/>
    <w:rsid w:val="001829C0"/>
    <w:rsid w:val="00184809"/>
    <w:rsid w:val="00192112"/>
    <w:rsid w:val="001A76E8"/>
    <w:rsid w:val="001B0127"/>
    <w:rsid w:val="001C12D5"/>
    <w:rsid w:val="001C69F7"/>
    <w:rsid w:val="001D6F97"/>
    <w:rsid w:val="002012E9"/>
    <w:rsid w:val="002650EC"/>
    <w:rsid w:val="00275608"/>
    <w:rsid w:val="00291040"/>
    <w:rsid w:val="00297926"/>
    <w:rsid w:val="002A6C46"/>
    <w:rsid w:val="002C19B5"/>
    <w:rsid w:val="002D1C70"/>
    <w:rsid w:val="003460AE"/>
    <w:rsid w:val="003504B4"/>
    <w:rsid w:val="003A2FFD"/>
    <w:rsid w:val="003A4EE8"/>
    <w:rsid w:val="00442CC2"/>
    <w:rsid w:val="00446244"/>
    <w:rsid w:val="00467F2B"/>
    <w:rsid w:val="00473C20"/>
    <w:rsid w:val="004769B5"/>
    <w:rsid w:val="00485105"/>
    <w:rsid w:val="004A7ECF"/>
    <w:rsid w:val="004B2967"/>
    <w:rsid w:val="004D61CB"/>
    <w:rsid w:val="005011D6"/>
    <w:rsid w:val="00503F2E"/>
    <w:rsid w:val="00552226"/>
    <w:rsid w:val="00566120"/>
    <w:rsid w:val="00582E6D"/>
    <w:rsid w:val="00592452"/>
    <w:rsid w:val="005954D5"/>
    <w:rsid w:val="005A0E27"/>
    <w:rsid w:val="005A53FA"/>
    <w:rsid w:val="005D1293"/>
    <w:rsid w:val="00644D5F"/>
    <w:rsid w:val="00654478"/>
    <w:rsid w:val="006566CD"/>
    <w:rsid w:val="00657F86"/>
    <w:rsid w:val="00667ADE"/>
    <w:rsid w:val="006727AD"/>
    <w:rsid w:val="00686D8A"/>
    <w:rsid w:val="00691425"/>
    <w:rsid w:val="006A05A4"/>
    <w:rsid w:val="006A516E"/>
    <w:rsid w:val="006A624E"/>
    <w:rsid w:val="006B0830"/>
    <w:rsid w:val="006F33CD"/>
    <w:rsid w:val="00712768"/>
    <w:rsid w:val="007155B8"/>
    <w:rsid w:val="00716E2B"/>
    <w:rsid w:val="00722340"/>
    <w:rsid w:val="00770F18"/>
    <w:rsid w:val="00773B74"/>
    <w:rsid w:val="0078290C"/>
    <w:rsid w:val="00785BE0"/>
    <w:rsid w:val="007A34FD"/>
    <w:rsid w:val="007C06CA"/>
    <w:rsid w:val="007F11DB"/>
    <w:rsid w:val="00800B13"/>
    <w:rsid w:val="008163FB"/>
    <w:rsid w:val="0082605B"/>
    <w:rsid w:val="00855C36"/>
    <w:rsid w:val="00857DBE"/>
    <w:rsid w:val="008701BC"/>
    <w:rsid w:val="00883D92"/>
    <w:rsid w:val="00894E43"/>
    <w:rsid w:val="008A006F"/>
    <w:rsid w:val="008A5362"/>
    <w:rsid w:val="008B6555"/>
    <w:rsid w:val="008E1921"/>
    <w:rsid w:val="008F21F1"/>
    <w:rsid w:val="008F221B"/>
    <w:rsid w:val="008F5179"/>
    <w:rsid w:val="008F5A2D"/>
    <w:rsid w:val="00921602"/>
    <w:rsid w:val="00924709"/>
    <w:rsid w:val="00957EA1"/>
    <w:rsid w:val="00966E5B"/>
    <w:rsid w:val="009B4EF0"/>
    <w:rsid w:val="009D271F"/>
    <w:rsid w:val="00A400A6"/>
    <w:rsid w:val="00A929C2"/>
    <w:rsid w:val="00AD097F"/>
    <w:rsid w:val="00AD125C"/>
    <w:rsid w:val="00AE4B72"/>
    <w:rsid w:val="00AE73F6"/>
    <w:rsid w:val="00B23DC0"/>
    <w:rsid w:val="00B31FAB"/>
    <w:rsid w:val="00B844F4"/>
    <w:rsid w:val="00BA06A1"/>
    <w:rsid w:val="00BA770A"/>
    <w:rsid w:val="00BB62B6"/>
    <w:rsid w:val="00BC6DC6"/>
    <w:rsid w:val="00BF01CC"/>
    <w:rsid w:val="00C054DE"/>
    <w:rsid w:val="00C331C3"/>
    <w:rsid w:val="00C42C63"/>
    <w:rsid w:val="00C679A9"/>
    <w:rsid w:val="00C7541C"/>
    <w:rsid w:val="00C97777"/>
    <w:rsid w:val="00CB530D"/>
    <w:rsid w:val="00CC0FAA"/>
    <w:rsid w:val="00CD0736"/>
    <w:rsid w:val="00D07F43"/>
    <w:rsid w:val="00D1570F"/>
    <w:rsid w:val="00D32830"/>
    <w:rsid w:val="00D96826"/>
    <w:rsid w:val="00DA1D7F"/>
    <w:rsid w:val="00DB7153"/>
    <w:rsid w:val="00DB7F05"/>
    <w:rsid w:val="00DE2332"/>
    <w:rsid w:val="00DF69E9"/>
    <w:rsid w:val="00E008D9"/>
    <w:rsid w:val="00E028C3"/>
    <w:rsid w:val="00E041F3"/>
    <w:rsid w:val="00E14F77"/>
    <w:rsid w:val="00E3076B"/>
    <w:rsid w:val="00E36978"/>
    <w:rsid w:val="00E82A1E"/>
    <w:rsid w:val="00E979E8"/>
    <w:rsid w:val="00EA05EC"/>
    <w:rsid w:val="00EC06F4"/>
    <w:rsid w:val="00EE4E36"/>
    <w:rsid w:val="00F42A28"/>
    <w:rsid w:val="00F665F4"/>
    <w:rsid w:val="00F9142C"/>
    <w:rsid w:val="00F92824"/>
    <w:rsid w:val="00F93266"/>
    <w:rsid w:val="00FD225F"/>
    <w:rsid w:val="00FD5781"/>
    <w:rsid w:val="04EB1D30"/>
    <w:rsid w:val="05B00A30"/>
    <w:rsid w:val="0B011416"/>
    <w:rsid w:val="31C2036A"/>
    <w:rsid w:val="320D02A5"/>
    <w:rsid w:val="33127529"/>
    <w:rsid w:val="348E566F"/>
    <w:rsid w:val="3A226944"/>
    <w:rsid w:val="3AEE6A48"/>
    <w:rsid w:val="3C1620AA"/>
    <w:rsid w:val="3D8F080F"/>
    <w:rsid w:val="44CE1FA4"/>
    <w:rsid w:val="487F73ED"/>
    <w:rsid w:val="496945FE"/>
    <w:rsid w:val="4A347EAE"/>
    <w:rsid w:val="52600405"/>
    <w:rsid w:val="529B4319"/>
    <w:rsid w:val="57773DD6"/>
    <w:rsid w:val="578B79AB"/>
    <w:rsid w:val="5CCD3FD5"/>
    <w:rsid w:val="61FA5F9D"/>
    <w:rsid w:val="64CD6910"/>
    <w:rsid w:val="6789158D"/>
    <w:rsid w:val="67D81BA4"/>
    <w:rsid w:val="6AAF1C96"/>
    <w:rsid w:val="6BB900E4"/>
    <w:rsid w:val="707F6AA1"/>
    <w:rsid w:val="724F4832"/>
    <w:rsid w:val="741D391F"/>
    <w:rsid w:val="75681757"/>
    <w:rsid w:val="75A346A8"/>
    <w:rsid w:val="79B9382C"/>
    <w:rsid w:val="7B043B76"/>
    <w:rsid w:val="7C041A6A"/>
    <w:rsid w:val="7DD72FCE"/>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1.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5.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43148809218805"/>
          <c:y val="0.0575245818153328"/>
          <c:w val="0.811370238156239"/>
          <c:h val="0.765547851294708"/>
        </c:manualLayout>
      </c:layout>
      <c:pie3D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476.91</c:v>
                </c:pt>
              </c:numCache>
            </c:numRef>
          </c:val>
        </c:ser>
        <c:dLbls>
          <c:showLegendKey val="0"/>
          <c:showVal val="0"/>
          <c:showCatName val="1"/>
          <c:showSerName val="0"/>
          <c:showPercent val="1"/>
          <c:showBubbleSize val="0"/>
        </c:dLbls>
      </c:pie3DChart>
    </c:plotArea>
    <c:plotVisOnly val="1"/>
    <c:dispBlanksAs val="zero"/>
    <c:showDLblsOverMax val="0"/>
  </c:chart>
  <c:spPr>
    <a:ln w="635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000" b="0" i="0" baseline="0"/>
              <a:t>支出构成情况</a:t>
            </a:r>
            <a:endParaRPr lang="zh-CN" altLang="en-US" sz="1000" b="0" i="0" baseline="0"/>
          </a:p>
        </c:rich>
      </c:tx>
      <c:layout>
        <c:manualLayout>
          <c:xMode val="edge"/>
          <c:yMode val="edge"/>
          <c:x val="0.363831070889894"/>
          <c:y val="0.84633569739952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31881569102505"/>
          <c:y val="0.158835464715847"/>
          <c:w val="0.715120723031793"/>
          <c:h val="0.561288881443011"/>
        </c:manualLayout>
      </c:layout>
      <c:pie3DChart>
        <c:varyColors val="1"/>
        <c:ser>
          <c:idx val="0"/>
          <c:order val="0"/>
          <c:explosion val="0"/>
          <c:dPt>
            <c:idx val="0"/>
            <c:bubble3D val="0"/>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458.32</c:v>
                </c:pt>
                <c:pt idx="1">
                  <c:v>25.75</c:v>
                </c:pt>
              </c:numCache>
            </c:numRef>
          </c:val>
        </c:ser>
        <c:dLbls>
          <c:showLegendKey val="0"/>
          <c:showVal val="0"/>
          <c:showCatName val="1"/>
          <c:showSerName val="0"/>
          <c:showPercent val="1"/>
          <c:showBubbleSize val="0"/>
        </c:dLbls>
      </c:pie3DChart>
    </c:plotArea>
    <c:plotVisOnly val="1"/>
    <c:dispBlanksAs val="zero"/>
    <c:showDLblsOverMax val="0"/>
  </c:chart>
  <c:spPr>
    <a:ln w="635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476.91</c:v>
                </c:pt>
                <c:pt idx="1">
                  <c:v>484.07</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314.49</c:v>
                </c:pt>
                <c:pt idx="1">
                  <c:v>320.94</c:v>
                </c:pt>
              </c:numCache>
            </c:numRef>
          </c:val>
        </c:ser>
        <c:dLbls>
          <c:showLegendKey val="0"/>
          <c:showVal val="1"/>
          <c:showCatName val="0"/>
          <c:showSerName val="0"/>
          <c:showPercent val="0"/>
          <c:showBubbleSize val="0"/>
        </c:dLbls>
        <c:gapWidth val="75"/>
        <c:axId val="184872320"/>
        <c:axId val="196889600"/>
      </c:barChart>
      <c:catAx>
        <c:axId val="18487232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6889600"/>
        <c:crosses val="autoZero"/>
        <c:auto val="1"/>
        <c:lblAlgn val="ctr"/>
        <c:lblOffset val="100"/>
        <c:noMultiLvlLbl val="0"/>
      </c:catAx>
      <c:valAx>
        <c:axId val="19688960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872320"/>
        <c:crosses val="autoZero"/>
        <c:crossBetween val="between"/>
      </c:valAx>
    </c:plotArea>
    <c:legend>
      <c:legendPos val="b"/>
      <c:layout>
        <c:manualLayout>
          <c:xMode val="edge"/>
          <c:yMode val="edge"/>
          <c:x val="0.426340551181102"/>
          <c:y val="0.756835299740887"/>
          <c:w val="0.208429790026247"/>
          <c:h val="0.077030514955598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1675774134791"/>
        </c:manualLayout>
      </c:layout>
      <c:overlay val="0"/>
    </c:title>
    <c:autoTitleDeleted val="0"/>
    <c:plotArea>
      <c:layout>
        <c:manualLayout>
          <c:layoutTarget val="inner"/>
          <c:xMode val="edge"/>
          <c:yMode val="edge"/>
          <c:x val="0.100155074365704"/>
          <c:y val="0.0231156048675734"/>
          <c:w val="0.86928937007874"/>
          <c:h val="0.768818002863279"/>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476.91</c:v>
                </c:pt>
                <c:pt idx="1">
                  <c:v>484.07</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384.16</c:v>
                </c:pt>
                <c:pt idx="1">
                  <c:v>384.16</c:v>
                </c:pt>
              </c:numCache>
            </c:numRef>
          </c:val>
        </c:ser>
        <c:dLbls>
          <c:showLegendKey val="0"/>
          <c:showVal val="1"/>
          <c:showCatName val="0"/>
          <c:showSerName val="0"/>
          <c:showPercent val="0"/>
          <c:showBubbleSize val="0"/>
        </c:dLbls>
        <c:gapWidth val="75"/>
        <c:axId val="240625152"/>
        <c:axId val="255991168"/>
      </c:barChart>
      <c:catAx>
        <c:axId val="24062515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5991168"/>
        <c:crosses val="autoZero"/>
        <c:auto val="1"/>
        <c:lblAlgn val="ctr"/>
        <c:lblOffset val="100"/>
        <c:noMultiLvlLbl val="0"/>
      </c:catAx>
      <c:valAx>
        <c:axId val="25599116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0625152"/>
        <c:crosses val="autoZero"/>
        <c:crossBetween val="between"/>
      </c:valAx>
    </c:plotArea>
    <c:legend>
      <c:legendPos val="b"/>
      <c:layout>
        <c:manualLayout>
          <c:xMode val="edge"/>
          <c:yMode val="edge"/>
          <c:x val="0.346718285214348"/>
          <c:y val="0.848750340633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pitchFamily="3" charset="-122"/>
                <a:ea typeface="仿宋" panose="02010609060101010101" pitchFamily="3" charset="-122"/>
              </a:rPr>
              <a:t>图</a:t>
            </a:r>
            <a:r>
              <a:rPr lang="en-US" altLang="zh-CN" sz="1200">
                <a:latin typeface="仿宋" panose="02010609060101010101" pitchFamily="3" charset="-122"/>
                <a:ea typeface="仿宋" panose="02010609060101010101" pitchFamily="3" charset="-122"/>
              </a:rPr>
              <a:t>5</a:t>
            </a:r>
            <a:r>
              <a:rPr lang="zh-CN" altLang="en-US" sz="1200">
                <a:latin typeface="仿宋" panose="02010609060101010101" pitchFamily="3" charset="-122"/>
                <a:ea typeface="仿宋" panose="02010609060101010101" pitchFamily="3" charset="-122"/>
              </a:rPr>
              <a:t>：财政拨款支出结构</a:t>
            </a:r>
            <a:endParaRPr lang="zh-CN" altLang="en-US" sz="1200">
              <a:latin typeface="仿宋" panose="02010609060101010101" pitchFamily="3" charset="-122"/>
              <a:ea typeface="仿宋" panose="02010609060101010101" pitchFamily="3" charset="-122"/>
            </a:endParaRPr>
          </a:p>
        </c:rich>
      </c:tx>
      <c:layout>
        <c:manualLayout>
          <c:xMode val="edge"/>
          <c:yMode val="edge"/>
          <c:x val="0.269055555555556"/>
          <c:y val="0.851851851851852"/>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04166666666667"/>
          <c:y val="0.0873840769903762"/>
          <c:w val="0.869444444444444"/>
          <c:h val="0.683565179352581"/>
        </c:manualLayout>
      </c:layout>
      <c:pie3D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layout>
                <c:manualLayout>
                  <c:x val="-0.240259481289662"/>
                  <c:y val="-0.31359907395159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layout>
                <c:manualLayout>
                  <c:x val="0.608936044717727"/>
                  <c:y val="0.00156152404747033"/>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layout>
                <c:manualLayout>
                  <c:x val="-0.365034869667055"/>
                  <c:y val="0.26389756402248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360.6</c:v>
                </c:pt>
                <c:pt idx="5">
                  <c:v>110.99</c:v>
                </c:pt>
                <c:pt idx="6">
                  <c:v>12.48</c:v>
                </c:pt>
              </c:numCache>
            </c:numRef>
          </c:val>
        </c:ser>
        <c:dLbls>
          <c:showLegendKey val="0"/>
          <c:showVal val="0"/>
          <c:showCatName val="1"/>
          <c:showSerName val="0"/>
          <c:showPercent val="0"/>
          <c:showBubbleSize val="0"/>
        </c:dLbls>
      </c:pie3DChart>
    </c:plotArea>
    <c:plotVisOnly val="1"/>
    <c:dispBlanksAs val="zero"/>
    <c:showDLblsOverMax val="0"/>
  </c:chart>
  <c:spPr>
    <a:ln w="9525"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81"/>
    <customShpInfo spid="_x0000_s2080"/>
    <customShpInfo spid="_x0000_s2079"/>
    <customShpInfo spid="_x0000_s2078"/>
    <customShpInfo spid="_x0000_s2077"/>
    <customShpInfo spid="_x0000_s2076"/>
    <customShpInfo spid="_x0000_s2075"/>
    <customShpInfo spid="_x0000_s2073"/>
    <customShpInfo spid="_x0000_s2074"/>
    <customShpInfo spid="_x0000_s2064"/>
    <customShpInfo spid="_x0000_s2063"/>
    <customShpInfo spid="_x0000_s2062"/>
    <customShpInfo spid="_x0000_s2061"/>
    <customShpInfo spid="_x0000_s2060"/>
    <customShpInfo spid="_x0000_s2059"/>
    <customShpInfo spid="_x0000_s2058"/>
    <customShpInfo spid="_x0000_s2072"/>
    <customShpInfo spid="_x0000_s2071"/>
    <customShpInfo spid="_x0000_s2070"/>
    <customShpInfo spid="_x0000_s2069"/>
    <customShpInfo spid="_x0000_s2068"/>
    <customShpInfo spid="_x0000_s2067"/>
    <customShpInfo spid="_x0000_s2066"/>
    <customShpInfo spid="_x0000_s2057"/>
    <customShpInfo spid="_x0000_s2065"/>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215E16-E1BE-4D0A-8547-2A6AD3EEF6AF}">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32</Pages>
  <Words>2096</Words>
  <Characters>11952</Characters>
  <Lines>99</Lines>
  <Paragraphs>28</Paragraphs>
  <TotalTime>8</TotalTime>
  <ScaleCrop>false</ScaleCrop>
  <LinksUpToDate>false</LinksUpToDate>
  <CharactersWithSpaces>14020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古德纽斯</cp:lastModifiedBy>
  <cp:lastPrinted>2020-07-30T02:37:00Z</cp:lastPrinted>
  <dcterms:modified xsi:type="dcterms:W3CDTF">2023-08-28T08:08:58Z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E9FE1F9AA4C246A2862D3E88988D5AB8</vt:lpwstr>
  </property>
</Properties>
</file>