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中共无极县委员会农村工作委员会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中国共产党无极县委员会农村工作委员会</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 xml:space="preserve"> </w:t>
      </w:r>
    </w:p>
    <w:p>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1、贯彻执行党在农村的路线、方针、政策。</w:t>
      </w:r>
    </w:p>
    <w:p>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2、负责农业产业化调整和农村经济的发展。</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3、负责全县美丽乡村建设及厕所革命工作。</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中国共产党无极县委员会农村工作委员会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委</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反映本部门当年全部收入。2020年预算收入6142.84万元，其中：一般公共预算收入6142.84万元，基金预算收入0万元，财政专户核拨收入0万元，其他来源收入0万元。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国共产党无极县委员会农村工作委员会年度部门预算中支出预算的总体情况。2020年部门支出预算为6142.84万元，其中基本支出76.84万元，包括人员经费66.24万元和日常公用经费10.6万元；项目支出6066万元，主</w:t>
      </w:r>
      <w:r>
        <w:rPr>
          <w:rFonts w:hint="eastAsia" w:ascii="Times New Roman" w:hAnsi="Times New Roman" w:eastAsia="仿宋" w:cs="Times New Roman"/>
          <w:color w:val="auto"/>
          <w:sz w:val="32"/>
          <w:szCs w:val="32"/>
        </w:rPr>
        <w:t>要为</w:t>
      </w:r>
      <w:r>
        <w:rPr>
          <w:rFonts w:hint="eastAsia" w:ascii="Times New Roman" w:hAnsi="Times New Roman" w:eastAsia="仿宋" w:cs="Times New Roman"/>
          <w:color w:val="auto"/>
          <w:sz w:val="32"/>
          <w:szCs w:val="32"/>
          <w:lang w:eastAsia="zh-CN"/>
        </w:rPr>
        <w:t>美丽办改厕办日常公用经费</w:t>
      </w:r>
      <w:r>
        <w:rPr>
          <w:rFonts w:hint="eastAsia" w:ascii="Times New Roman" w:hAnsi="Times New Roman" w:eastAsia="仿宋" w:cs="Times New Roman"/>
          <w:color w:val="auto"/>
          <w:sz w:val="32"/>
          <w:szCs w:val="32"/>
        </w:rPr>
        <w:t>支出</w:t>
      </w:r>
      <w:r>
        <w:rPr>
          <w:rFonts w:hint="eastAsia" w:ascii="Times New Roman" w:hAnsi="Times New Roman" w:eastAsia="仿宋" w:cs="Times New Roman"/>
          <w:color w:val="auto"/>
          <w:sz w:val="32"/>
          <w:szCs w:val="32"/>
          <w:lang w:val="en-US" w:eastAsia="zh-CN"/>
        </w:rPr>
        <w:t>40</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val="en-US" w:eastAsia="zh-CN"/>
        </w:rPr>
        <w:t>2019年度厕所改造县级配套资金600万元，农村集体产权制度改革工作经费10万元，产业化审计及廊坊农产品交易博览会支出4万元，2020年省级改厕专项资金605万元，2020年省级改厕补助资金357万元；偿还市国控本金3450万元，利息1000万元。</w:t>
      </w:r>
      <w:r>
        <w:rPr>
          <w:rFonts w:hint="eastAsia" w:ascii="Times New Roman" w:hAnsi="Times New Roman" w:eastAsia="仿宋" w:cs="Times New Roman"/>
          <w:color w:val="auto"/>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6142.84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较2019年增加5826.52万元，其中：基本支出增加3.52万元，主</w:t>
      </w:r>
      <w:r>
        <w:rPr>
          <w:rFonts w:hint="eastAsia" w:ascii="Times New Roman" w:hAnsi="Times New Roman" w:eastAsia="仿宋" w:cs="Times New Roman"/>
          <w:color w:val="auto"/>
          <w:sz w:val="32"/>
          <w:szCs w:val="32"/>
        </w:rPr>
        <w:t>要是新增社保缴费项目；</w:t>
      </w:r>
      <w:r>
        <w:rPr>
          <w:rFonts w:hint="eastAsia" w:ascii="Times New Roman" w:hAnsi="Times New Roman" w:eastAsia="仿宋" w:cs="Times New Roman"/>
          <w:sz w:val="32"/>
          <w:szCs w:val="32"/>
        </w:rPr>
        <w:t>项目支出增加5822万元，主要是增加</w:t>
      </w:r>
      <w:r>
        <w:rPr>
          <w:rFonts w:hint="eastAsia" w:ascii="Times New Roman" w:hAnsi="Times New Roman" w:eastAsia="仿宋" w:cs="Times New Roman"/>
          <w:sz w:val="32"/>
          <w:szCs w:val="32"/>
          <w:lang w:eastAsia="zh-CN"/>
        </w:rPr>
        <w:t>改厕上级专项资金；偿还市国控利息及本金</w:t>
      </w:r>
      <w:r>
        <w:rPr>
          <w:rFonts w:hint="eastAsia" w:ascii="Times New Roman" w:hAnsi="Times New Roman" w:eastAsia="仿宋" w:cs="Times New Roman"/>
          <w:color w:val="auto"/>
          <w:sz w:val="32"/>
          <w:szCs w:val="32"/>
        </w:rPr>
        <w:t>；</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10.6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3万元，其中：因公出国（境）费0万元；公务用车购置及运维费3万元（其中：公务用车购置费0万元，公务用车运行维护费3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numPr>
          <w:ilvl w:val="0"/>
          <w:numId w:val="1"/>
        </w:numPr>
        <w:autoSpaceDE w:val="0"/>
        <w:autoSpaceDN w:val="0"/>
        <w:adjustRightInd w:val="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firstLine="640" w:firstLineChars="200"/>
        <w:jc w:val="left"/>
        <w:rPr>
          <w:rFonts w:ascii="Times New Roman" w:hAnsi="Times New Roman" w:eastAsia="方正仿宋_GBK" w:cs="Times New Roman"/>
          <w:b/>
          <w:sz w:val="32"/>
          <w:szCs w:val="32"/>
        </w:rPr>
      </w:pPr>
      <w:r>
        <w:rPr>
          <w:rFonts w:ascii="Times New Roman" w:hAnsi="Times New Roman" w:eastAsia="仿宋" w:cs="Times New Roman"/>
          <w:sz w:val="32"/>
          <w:szCs w:val="32"/>
        </w:rPr>
        <w:t>在上级主管部门和县委、县政府的正确领导下，不断深化农业供给侧结构性改革，建设美丽乡村，提升农村人居环境和公共服务水平，抓好农村集体产权制度改革、农村集体财务管理等为主要内容的农村改革，提升农村改革发展成果，抓好农民合作经济组织建设；指导农村社会化服务体系、农产品市场体系、对农业的支持保护体系建设，提高农民的组织化程度，培育农业农村发展新动能，坚持改革创新，全力推动农业农村高质量发展，谱写新时代农业农村现代化的崭新篇章。</w:t>
      </w: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1、2020年省级乡村振兴专项资金</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绩效目标：按时、按质、按量完成2020年全县农村改厕任务</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绩效指标：按照冀财农[2019]174号文件要求按时完成全县2020年度改厕所任务，改善提升群众生活条件。</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2、美丽乡村建设办公经费</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绩效目标：推进全县农村厕所及美丽乡村建设</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绩效指标：召开培训会等多种形式加强对改厕工作的培训力度，不断加大督导检查力度，确保高标准完成2020年度全县改厕及美丽乡村建设任务。</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 xml:space="preserve"> 3、2019年度改厕县级配套资金</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绩效目标：完成2019年度全县改厕任务</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绩效指标：确保完成2019年度全县改厕任务，使农村无害化厕所占全部   厕所的比率高于75%；三格式、单坑式厕所占改造厕所的100%。</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4、2020年支持农村厕所革命整村推进</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绩效目标：6月底前完成基础设施建设；10月底前全部正常运行</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绩效指标：建设大三格7个，购买抽粪车5台</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偿还美丽乡村建设借款本金</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绩效目标：偿还市国控2016年借款本金</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绩效指标：按时偿还市国控2016年美丽乡村借款本金</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偿还美丽乡村建设借款利息</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绩效目标：按季偿还市国控2016年美丽乡村建设借款利息</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绩效指标：按时偿还市国控2016年美丽乡村建设借款利息</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ascii="Times New Roman" w:hAnsi="Times New Roman" w:eastAsia="仿宋" w:cs="Times New Roman"/>
          <w:sz w:val="32"/>
          <w:szCs w:val="32"/>
        </w:rPr>
        <w:t>、实施农村经济体制改革，巩固完善农村基本经营制度</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绩效目标：指导农村集体经济组织发展、集体资产管理</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绩效指标：全面深化农村重点领域、关键环节改革，加快推进农业农村体制机制创新，增强全县农村经济社会发展活力。使农业增效、农民增收、农村增活力.</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6</w:t>
      </w:r>
      <w:r>
        <w:rPr>
          <w:rFonts w:ascii="Times New Roman" w:hAnsi="Times New Roman" w:eastAsia="仿宋" w:cs="Times New Roman"/>
          <w:sz w:val="32"/>
          <w:szCs w:val="32"/>
        </w:rPr>
        <w:t>、推进农业产业化经营。</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绩效目标：拉伸农业产业链条，提升农产品附加值，增加农民收入，创造县域经济发展新增长点。</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绩效指标：组织重点龙头企业参加廊坊农精品交易博览会；做好省市级重点龙头企业的审计工作</w:t>
      </w:r>
    </w:p>
    <w:p>
      <w:pPr>
        <w:numPr>
          <w:ilvl w:val="0"/>
          <w:numId w:val="0"/>
        </w:numPr>
        <w:autoSpaceDE w:val="0"/>
        <w:autoSpaceDN w:val="0"/>
        <w:adjustRightInd w:val="0"/>
        <w:ind w:left="838" w:leftChars="0"/>
        <w:jc w:val="left"/>
        <w:rPr>
          <w:rFonts w:hint="eastAsia" w:ascii="Times New Roman" w:hAnsi="Times New Roman" w:eastAsia="方正仿宋_GBK" w:cs="Times New Roman"/>
          <w:b/>
          <w:sz w:val="32"/>
          <w:szCs w:val="32"/>
        </w:rPr>
      </w:pPr>
      <w:bookmarkStart w:id="13" w:name="_GoBack"/>
      <w:bookmarkEnd w:id="13"/>
      <w:r>
        <w:rPr>
          <w:rFonts w:hint="eastAsia" w:ascii="Times New Roman" w:hAnsi="Times New Roman" w:eastAsia="方正仿宋_GBK" w:cs="Times New Roman"/>
          <w:b/>
          <w:sz w:val="32"/>
          <w:szCs w:val="32"/>
          <w:lang w:eastAsia="zh-CN"/>
        </w:rPr>
        <w:t>（三）</w:t>
      </w:r>
      <w:r>
        <w:rPr>
          <w:rFonts w:hint="eastAsia" w:ascii="Times New Roman" w:hAnsi="Times New Roman" w:eastAsia="方正仿宋_GBK" w:cs="Times New Roman"/>
          <w:b/>
          <w:sz w:val="32"/>
          <w:szCs w:val="32"/>
        </w:rPr>
        <w:t>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firstLine="640" w:firstLineChars="200"/>
        <w:jc w:val="left"/>
        <w:rPr>
          <w:rFonts w:ascii="Times New Roman" w:hAnsi="Times New Roman" w:eastAsia="方正仿宋_GBK" w:cs="Times New Roman"/>
          <w:b/>
          <w:sz w:val="32"/>
          <w:szCs w:val="32"/>
        </w:rPr>
      </w:pPr>
      <w:r>
        <w:rPr>
          <w:rFonts w:ascii="Times New Roman" w:hAnsi="Times New Roman" w:eastAsia="仿宋" w:cs="Times New Roman"/>
          <w:sz w:val="32"/>
          <w:szCs w:val="32"/>
        </w:rPr>
        <w:t>完善制度建设。完善预算绩效管理制度、资金管理办法、工作保障制度等，为全年预算绩效目标的实现奠定制度基础。</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加强支出管理。通过优化支出结构、编细编实预算、加快履行政府采购手续、尽快启动项目、按照项目实施进度及时支付资金。</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加强绩效运行监控。按要求开展绩效运行监控，发现问题及时采取措施，确保绩效目标如期保质实现。</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规范财务资产管理。完善财务管理制度，严格审批程序，加强固定资产登记、使用和报废处置管理，做到支出合理，物尽其用。</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加强内部监督。加强内部监督制度建设，对绩效运行情况、重大支出决策、资产处置及其他重要经济业务事项的决策和执行进行督导，配合做好审计、财政监督等外部监督工作，确保财政资金安全有效。</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bookmarkEnd w:id="0"/>
    </w:p>
    <w:p>
      <w:pPr>
        <w:ind w:firstLine="562" w:firstLineChars="200"/>
        <w:jc w:val="left"/>
        <w:outlineLvl w:val="1"/>
        <w:rPr>
          <w:rFonts w:ascii="Times New Roman" w:hAnsi="宋体"/>
          <w:b/>
          <w:sz w:val="28"/>
        </w:rPr>
      </w:pPr>
      <w:r>
        <w:rPr>
          <w:rFonts w:hint="eastAsia" w:ascii="方正仿宋_GBK" w:eastAsia="方正仿宋_GBK"/>
          <w:b/>
          <w:sz w:val="28"/>
        </w:rPr>
        <w:t>1、关于提前下达2020年省级乡村振兴（农村环境整治）专项资金的通知（厕所改造）冀财农（2019）174绩效目标表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859563"/>
      <w:r>
        <w:rPr>
          <w:rFonts w:hint="eastAsia" w:ascii="方正仿宋_GBK" w:eastAsia="方正仿宋_GBK"/>
          <w:b/>
          <w:sz w:val="28"/>
        </w:rPr>
        <w:instrText xml:space="preserve">1、关于提前下达2020年省级乡村振兴（农村环境整治）专项资金的通知（厕所改造）冀财农（2019）174绩效目标表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214-0101-YSN-RE21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年省级乡村振兴（农村环境整治）专项资金的通知（厕所改造）冀财农（</w:t>
            </w:r>
            <w:r>
              <w:rPr>
                <w:rFonts w:ascii="方正书宋_GBK" w:eastAsia="方正书宋_GBK"/>
              </w:rPr>
              <w:t>2019</w:t>
            </w:r>
            <w:r>
              <w:rPr>
                <w:rFonts w:hint="eastAsia" w:ascii="方正书宋_GBK" w:eastAsia="方正书宋_GBK"/>
              </w:rPr>
              <w:t>）</w:t>
            </w:r>
            <w:r>
              <w:rPr>
                <w:rFonts w:ascii="方正书宋_GBK" w:eastAsia="方正书宋_GBK"/>
              </w:rP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605.00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605.00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资金主要用于农村生活垃圾治理、农村生活污水治理、农村厕所改造、村容村貌提升。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、通过项目实施，使村容村貌提升。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、通过项目实施，改善农村生活环境。</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严格按照要求完成各项指标。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能够使人居环境得到整治，满足人民群众需求。</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使村容村貌得到提升。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改善农村生活环境。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2、关于提前下达2020年土地指标跨省域调剂收入安排的支出预算（支持农村“厕所革命”整村推进财政奖补使用绩效目标表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859564"/>
      <w:r>
        <w:rPr>
          <w:rFonts w:hint="eastAsia" w:ascii="方正仿宋_GBK" w:eastAsia="方正仿宋_GBK"/>
          <w:b/>
          <w:sz w:val="28"/>
        </w:rPr>
        <w:instrText xml:space="preserve">2、关于提前下达2020年土地指标跨省域调剂收入安排的支出预算（支持农村\“厕所革命\”整村推进财政奖补使用绩效目标表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214-0202-YSN-46H8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年土地指标跨省域调剂收入安排的支出预算（支持农村</w:t>
            </w:r>
            <w:r>
              <w:rPr>
                <w:rFonts w:hint="cs" w:ascii="方正书宋_GBK" w:eastAsia="方正书宋_GBK"/>
              </w:rPr>
              <w:t>“</w:t>
            </w:r>
            <w:r>
              <w:rPr>
                <w:rFonts w:hint="eastAsia" w:ascii="方正书宋_GBK" w:eastAsia="方正书宋_GBK"/>
              </w:rPr>
              <w:t>厕所革命</w:t>
            </w:r>
            <w:r>
              <w:rPr>
                <w:rFonts w:hint="cs" w:ascii="方正书宋_GBK" w:eastAsia="方正书宋_GBK"/>
              </w:rPr>
              <w:t>”</w:t>
            </w:r>
            <w:r>
              <w:rPr>
                <w:rFonts w:hint="eastAsia" w:ascii="方正书宋_GBK" w:eastAsia="方正书宋_GBK"/>
              </w:rPr>
              <w:t>整村推进财政奖补使用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357.00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357.00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资金主要用于支持粪污收集、储存、运输、资源化利用及后期管护能力提升等方面的设施设备建设。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、通过项目实施，用于提升后期管护能力的设施设备建设。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、项目主要用于支持粪污收集、存储、运输、资源化利用，用于改善人居环境。</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严格按照要求建立机制、统筹政策、共同推进。</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在全县产生的重要影响，得到广大受众的充分认可。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使人居环境得到改善，生活水平有所提高。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建立农村生活垃圾治理长效机制。</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3、国控借款还本绩效目标表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859565"/>
      <w:r>
        <w:rPr>
          <w:rFonts w:hint="eastAsia" w:ascii="方正仿宋_GBK" w:eastAsia="方正仿宋_GBK"/>
          <w:b/>
          <w:sz w:val="28"/>
        </w:rPr>
        <w:instrText xml:space="preserve">3、国控借款还本绩效目标表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214-0101-YXN-PTE7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国控借款还本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3450.00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3450.00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还市国控</w:t>
            </w:r>
            <w:r>
              <w:rPr>
                <w:rFonts w:ascii="方正书宋_GBK" w:eastAsia="方正书宋_GBK"/>
              </w:rPr>
              <w:t>2016</w:t>
            </w:r>
            <w:r>
              <w:rPr>
                <w:rFonts w:hint="eastAsia" w:ascii="方正书宋_GBK" w:eastAsia="方正书宋_GBK"/>
              </w:rPr>
              <w:t>年借款本金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、偿还借款本金</w:t>
            </w:r>
            <w:r>
              <w:rPr>
                <w:rFonts w:ascii="方正书宋_GBK" w:eastAsia="方正书宋_GBK"/>
              </w:rPr>
              <w:t xml:space="preserve"> .</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、偿还借款本金</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还款率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按时偿还借款本金</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4、国控借款利息绩效目标表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859566"/>
      <w:r>
        <w:rPr>
          <w:rFonts w:hint="eastAsia" w:ascii="方正仿宋_GBK" w:eastAsia="方正仿宋_GBK"/>
          <w:b/>
          <w:sz w:val="28"/>
        </w:rPr>
        <w:instrText xml:space="preserve">4、国控借款利息绩效目标表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214-0101-YXN-NYGD</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国控借款利息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还市国控</w:t>
            </w:r>
            <w:r>
              <w:rPr>
                <w:rFonts w:ascii="方正书宋_GBK" w:eastAsia="方正书宋_GBK"/>
              </w:rPr>
              <w:t>2016</w:t>
            </w:r>
            <w:r>
              <w:rPr>
                <w:rFonts w:hint="eastAsia" w:ascii="方正书宋_GBK" w:eastAsia="方正书宋_GBK"/>
              </w:rPr>
              <w:t>年借款利息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、还市国控</w:t>
            </w:r>
            <w:r>
              <w:rPr>
                <w:rFonts w:ascii="方正书宋_GBK" w:eastAsia="方正书宋_GBK"/>
              </w:rPr>
              <w:t>2016</w:t>
            </w:r>
            <w:r>
              <w:rPr>
                <w:rFonts w:hint="eastAsia" w:ascii="方正书宋_GBK" w:eastAsia="方正书宋_GBK"/>
              </w:rPr>
              <w:t>年借款利息</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、还市国控</w:t>
            </w:r>
            <w:r>
              <w:rPr>
                <w:rFonts w:ascii="方正书宋_GBK" w:eastAsia="方正书宋_GBK"/>
              </w:rPr>
              <w:t>2016</w:t>
            </w:r>
            <w:r>
              <w:rPr>
                <w:rFonts w:hint="eastAsia" w:ascii="方正书宋_GBK" w:eastAsia="方正书宋_GBK"/>
              </w:rPr>
              <w:t>年借款利息</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偿还借款利息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按时偿还</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偿还借款利息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5、美丽乡村建设专项资金绩效目标表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859567"/>
      <w:r>
        <w:rPr>
          <w:rFonts w:hint="eastAsia" w:ascii="方正仿宋_GBK" w:eastAsia="方正仿宋_GBK"/>
          <w:b/>
          <w:sz w:val="28"/>
        </w:rPr>
        <w:instrText xml:space="preserve">5、美丽乡村建设专项资金绩效目标表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214-0101-YXN-KM7Y</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美丽乡村建设专项资金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美丽乡村办公经费</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、完成年初制定的全县美丽乡村建设任务</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、使村容村貌大幅度提升</w:t>
            </w:r>
            <w:r>
              <w:rPr>
                <w:rFonts w:ascii="方正书宋_GBK" w:eastAsia="方正书宋_GBK"/>
              </w:rPr>
              <w:t>,</w:t>
            </w:r>
            <w:r>
              <w:rPr>
                <w:rFonts w:hint="eastAsia" w:ascii="方正书宋_GBK" w:eastAsia="方正书宋_GBK"/>
              </w:rPr>
              <w:t>人居环境得到改善</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完成年初制定的美丽乡村建设任务</w:t>
            </w:r>
            <w:r>
              <w:rPr>
                <w:rFonts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改善农村人居环境</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完成年初任务</w:t>
            </w:r>
            <w:r>
              <w:rPr>
                <w:rFonts w:ascii="方正书宋_GBK" w:eastAsia="方正书宋_GBK"/>
              </w:rPr>
              <w:t>,</w:t>
            </w:r>
            <w:r>
              <w:rPr>
                <w:rFonts w:hint="eastAsia" w:ascii="方正书宋_GBK" w:eastAsia="方正书宋_GBK"/>
              </w:rPr>
              <w:t>改善农村人居环境</w:t>
            </w: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改善村容村貌</w:t>
            </w:r>
            <w:r>
              <w:rPr>
                <w:rFonts w:ascii="方正书宋_GBK" w:eastAsia="方正书宋_GBK"/>
              </w:rPr>
              <w:t>,</w:t>
            </w:r>
            <w:r>
              <w:rPr>
                <w:rFonts w:hint="eastAsia" w:ascii="方正书宋_GBK" w:eastAsia="方正书宋_GBK"/>
              </w:rPr>
              <w:t>人居环境大幅度提升</w:t>
            </w: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6、农村厕所革命资金绩效目标表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859568"/>
      <w:r>
        <w:rPr>
          <w:rFonts w:hint="eastAsia" w:ascii="方正仿宋_GBK" w:eastAsia="方正仿宋_GBK"/>
          <w:b/>
          <w:sz w:val="28"/>
        </w:rPr>
        <w:instrText xml:space="preserve">6、农村厕所革命资金绩效目标表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214-0101-YXN-M9RS</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农村厕所革命资金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年农村改厕县级配套资金</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2018</w:t>
            </w:r>
            <w:r>
              <w:rPr>
                <w:rFonts w:hint="eastAsia" w:ascii="方正书宋_GBK" w:eastAsia="方正书宋_GBK"/>
              </w:rPr>
              <w:t>年农村厕所改造任务</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、改善农村人居环境</w:t>
            </w:r>
            <w:r>
              <w:rPr>
                <w:rFonts w:ascii="方正书宋_GBK" w:eastAsia="方正书宋_GBK"/>
              </w:rPr>
              <w:t>,</w:t>
            </w:r>
            <w:r>
              <w:rPr>
                <w:rFonts w:hint="eastAsia" w:ascii="方正书宋_GBK" w:eastAsia="方正书宋_GBK"/>
              </w:rPr>
              <w:t>提高人民群众幸福感</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按要求完成年度改厕任务</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群众对改厕后效果满意度</w:t>
            </w:r>
            <w:r>
              <w:rPr>
                <w:rFonts w:ascii="方正书宋_GBK" w:eastAsia="方正书宋_GBK"/>
              </w:rPr>
              <w:t>.</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7、农村发展专项资金绩效目标表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4859569"/>
      <w:r>
        <w:rPr>
          <w:rFonts w:hint="eastAsia" w:ascii="方正仿宋_GBK" w:eastAsia="方正仿宋_GBK"/>
          <w:b/>
          <w:sz w:val="28"/>
        </w:rPr>
        <w:instrText xml:space="preserve">7、农村发展专项资金绩效目标表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214-0202-YXN-XCD2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农村发展专项资金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推进产权制度改革</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、壮大集体经济</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、增加农民财产收入</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按上级要求继续完善推进农村集体产权制度改革</w:t>
            </w:r>
            <w:r>
              <w:rPr>
                <w:rFonts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切实增加集体收入</w:t>
            </w:r>
            <w:r>
              <w:rPr>
                <w:rFonts w:ascii="方正书宋_GBK" w:eastAsia="方正书宋_GBK"/>
              </w:rPr>
              <w:t>.</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集体收入</w:t>
            </w:r>
            <w:r>
              <w:rPr>
                <w:rFonts w:ascii="方正书宋_GBK" w:eastAsia="方正书宋_GBK"/>
              </w:rPr>
              <w:t>5</w:t>
            </w:r>
            <w:r>
              <w:rPr>
                <w:rFonts w:hint="eastAsia" w:ascii="方正书宋_GBK" w:eastAsia="方正书宋_GBK"/>
              </w:rPr>
              <w:t>万元以上的村有较大幅度提高</w:t>
            </w: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群众对农村集体产权制度改革整体满意度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对此项改革满意度较高</w:t>
            </w: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8、农业产业化专项资金绩效目标表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4859570"/>
      <w:r>
        <w:rPr>
          <w:rFonts w:hint="eastAsia" w:ascii="方正仿宋_GBK" w:eastAsia="方正仿宋_GBK"/>
          <w:b/>
          <w:sz w:val="28"/>
        </w:rPr>
        <w:instrText xml:space="preserve">8、农业产业化专项资金绩效目标表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214002</w:t>
            </w:r>
            <w:r>
              <w:rPr>
                <w:rFonts w:hint="eastAsia" w:ascii="方正书宋_GBK" w:eastAsia="方正书宋_GBK"/>
                <w:b/>
              </w:rPr>
              <w:t>中国共产党无极县委员会农村工作委员会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214-0505-YXN-L1EZ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农业产业化专项资金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廊坊农产品交易博览会</w:t>
            </w:r>
            <w:r>
              <w:rPr>
                <w:rFonts w:ascii="方正书宋_GBK" w:eastAsia="方正书宋_GBK"/>
              </w:rPr>
              <w:t>,</w:t>
            </w:r>
            <w:r>
              <w:rPr>
                <w:rFonts w:hint="eastAsia" w:ascii="方正书宋_GBK" w:eastAsia="方正书宋_GBK"/>
              </w:rPr>
              <w:t>农业产业化项目审计</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、进一步壮大全县龙头企业</w:t>
            </w:r>
            <w:r>
              <w:rPr>
                <w:rFonts w:ascii="方正书宋_GBK" w:eastAsia="方正书宋_GBK"/>
              </w:rPr>
              <w:t>,</w:t>
            </w:r>
            <w:r>
              <w:rPr>
                <w:rFonts w:hint="eastAsia" w:ascii="方正书宋_GBK" w:eastAsia="方正书宋_GBK"/>
              </w:rPr>
              <w:t>指导省市级联合体创建工作</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、不断提高农业产业化经营率</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完成年初既定工作计划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带动农户增收能力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带动社会资金投入与扶持奖励资金的比例。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仿宋" w:hAnsi="仿宋" w:eastAsia="仿宋"/>
          <w:sz w:val="32"/>
          <w:szCs w:val="32"/>
          <w:lang w:eastAsia="zh-CN"/>
        </w:rPr>
      </w:pPr>
      <w:bookmarkStart w:id="1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12"/>
      <w:r>
        <w:rPr>
          <w:rFonts w:hint="eastAsia" w:ascii="Times New Roman" w:hAnsi="Times New Roman" w:eastAsia="仿宋" w:cs="Times New Roman"/>
          <w:sz w:val="32"/>
          <w:szCs w:val="24"/>
          <w:lang w:eastAsia="zh-CN"/>
        </w:rPr>
        <w:t>，</w:t>
      </w:r>
      <w:r>
        <w:rPr>
          <w:rFonts w:hint="eastAsia" w:ascii="仿宋" w:hAnsi="仿宋" w:eastAsia="仿宋"/>
          <w:sz w:val="32"/>
          <w:szCs w:val="32"/>
          <w:lang w:eastAsia="zh-CN"/>
        </w:rPr>
        <w:t>具体内容见下表。</w:t>
      </w:r>
    </w:p>
    <w:p>
      <w:pPr>
        <w:ind w:firstLine="688" w:firstLineChars="215"/>
        <w:jc w:val="center"/>
        <w:rPr>
          <w:rFonts w:hint="eastAsia" w:ascii="仿宋" w:hAnsi="仿宋" w:eastAsia="仿宋"/>
          <w:sz w:val="32"/>
          <w:szCs w:val="32"/>
          <w:lang w:eastAsia="zh-CN"/>
        </w:rPr>
      </w:pPr>
      <w:r>
        <w:rPr>
          <w:rFonts w:hint="eastAsia" w:ascii="仿宋" w:hAnsi="仿宋" w:eastAsia="仿宋"/>
          <w:sz w:val="32"/>
          <w:szCs w:val="32"/>
          <w:lang w:eastAsia="zh-CN"/>
        </w:rPr>
        <w:t>部门政府采购预算</w:t>
      </w:r>
    </w:p>
    <w:tbl>
      <w:tblPr>
        <w:tblStyle w:val="9"/>
        <w:tblW w:w="13755" w:type="dxa"/>
        <w:tblInd w:w="93" w:type="dxa"/>
        <w:shd w:val="clear" w:color="auto" w:fill="auto"/>
        <w:tblLayout w:type="fixed"/>
        <w:tblCellMar>
          <w:top w:w="0" w:type="dxa"/>
          <w:left w:w="108" w:type="dxa"/>
          <w:bottom w:w="0" w:type="dxa"/>
          <w:right w:w="108" w:type="dxa"/>
        </w:tblCellMar>
      </w:tblPr>
      <w:tblGrid>
        <w:gridCol w:w="1080"/>
        <w:gridCol w:w="1080"/>
        <w:gridCol w:w="1080"/>
        <w:gridCol w:w="1080"/>
        <w:gridCol w:w="795"/>
        <w:gridCol w:w="735"/>
        <w:gridCol w:w="795"/>
        <w:gridCol w:w="945"/>
        <w:gridCol w:w="765"/>
        <w:gridCol w:w="1080"/>
        <w:gridCol w:w="1080"/>
        <w:gridCol w:w="1080"/>
        <w:gridCol w:w="1080"/>
        <w:gridCol w:w="1080"/>
      </w:tblGrid>
      <w:tr>
        <w:tblPrEx>
          <w:shd w:val="clear" w:color="auto" w:fill="auto"/>
          <w:tblLayout w:type="fixed"/>
          <w:tblCellMar>
            <w:top w:w="0" w:type="dxa"/>
            <w:left w:w="108" w:type="dxa"/>
            <w:bottom w:w="0" w:type="dxa"/>
            <w:right w:w="108" w:type="dxa"/>
          </w:tblCellMar>
        </w:tblPrEx>
        <w:trPr>
          <w:trHeight w:val="600" w:hRule="atLeast"/>
        </w:trPr>
        <w:tc>
          <w:tcPr>
            <w:tcW w:w="6645" w:type="dxa"/>
            <w:gridSpan w:val="7"/>
            <w:tcBorders>
              <w:top w:val="single" w:color="FFFFFF" w:sz="8" w:space="0"/>
              <w:left w:val="single" w:color="FFFFFF" w:sz="8" w:space="0"/>
              <w:bottom w:val="single" w:color="000000" w:sz="8" w:space="0"/>
              <w:right w:val="single" w:color="FFFFFF" w:sz="8" w:space="0"/>
            </w:tcBorders>
            <w:shd w:val="clear" w:color="auto" w:fill="auto"/>
            <w:vAlign w:val="center"/>
          </w:tcPr>
          <w:p>
            <w:pPr>
              <w:keepNext w:val="0"/>
              <w:keepLines w:val="0"/>
              <w:widowControl/>
              <w:suppressLineNumbers w:val="0"/>
              <w:jc w:val="left"/>
              <w:textAlignment w:val="center"/>
              <w:rPr>
                <w:rFonts w:ascii="方正小标宋_GBK" w:hAnsi="方正小标宋_GBK" w:eastAsia="方正小标宋_GBK" w:cs="方正小标宋_GBK"/>
                <w:i w:val="0"/>
                <w:iCs w:val="0"/>
                <w:color w:val="000000"/>
                <w:sz w:val="24"/>
                <w:szCs w:val="24"/>
                <w:u w:val="none"/>
              </w:rPr>
            </w:pPr>
            <w:r>
              <w:rPr>
                <w:rFonts w:ascii="方正书宋_GBK" w:eastAsia="方正书宋_GBK"/>
                <w:b/>
              </w:rPr>
              <w:t>214002</w:t>
            </w:r>
            <w:r>
              <w:rPr>
                <w:rFonts w:hint="eastAsia" w:ascii="方正书宋_GBK" w:eastAsia="方正书宋_GBK"/>
                <w:b/>
              </w:rPr>
              <w:t>中国共产党无极县委员会农村工作委员会</w:t>
            </w:r>
          </w:p>
        </w:tc>
        <w:tc>
          <w:tcPr>
            <w:tcW w:w="7110" w:type="dxa"/>
            <w:gridSpan w:val="7"/>
            <w:tcBorders>
              <w:top w:val="single" w:color="FFFFFF" w:sz="8" w:space="0"/>
              <w:left w:val="nil"/>
              <w:bottom w:val="single" w:color="000000" w:sz="8" w:space="0"/>
              <w:right w:val="single" w:color="FFFFFF" w:sz="8" w:space="0"/>
            </w:tcBorders>
            <w:shd w:val="clear" w:color="auto" w:fill="auto"/>
            <w:vAlign w:val="center"/>
          </w:tcPr>
          <w:p>
            <w:pPr>
              <w:keepNext w:val="0"/>
              <w:keepLines w:val="0"/>
              <w:widowControl/>
              <w:suppressLineNumbers w:val="0"/>
              <w:jc w:val="center"/>
              <w:textAlignment w:val="center"/>
              <w:rPr>
                <w:rFonts w:hint="default" w:ascii="方正小标宋_GBK" w:hAnsi="方正小标宋_GBK" w:eastAsia="方正小标宋_GBK" w:cs="方正小标宋_GBK"/>
                <w:i w:val="0"/>
                <w:iCs w:val="0"/>
                <w:color w:val="000000"/>
                <w:sz w:val="24"/>
                <w:szCs w:val="24"/>
                <w:u w:val="none"/>
              </w:rPr>
            </w:pPr>
            <w:r>
              <w:rPr>
                <w:rFonts w:hint="default" w:ascii="方正小标宋_GBK" w:hAnsi="方正小标宋_GBK" w:eastAsia="方正小标宋_GBK" w:cs="方正小标宋_GBK"/>
                <w:i w:val="0"/>
                <w:iCs w:val="0"/>
                <w:color w:val="000000"/>
                <w:kern w:val="0"/>
                <w:sz w:val="24"/>
                <w:szCs w:val="24"/>
                <w:u w:val="none"/>
                <w:lang w:val="en-US" w:eastAsia="zh-CN" w:bidi="ar"/>
              </w:rPr>
              <w:t>单位：万元</w:t>
            </w:r>
          </w:p>
        </w:tc>
      </w:tr>
      <w:tr>
        <w:tblPrEx>
          <w:tblLayout w:type="fixed"/>
          <w:tblCellMar>
            <w:top w:w="0" w:type="dxa"/>
            <w:left w:w="108" w:type="dxa"/>
            <w:bottom w:w="0" w:type="dxa"/>
            <w:right w:w="108" w:type="dxa"/>
          </w:tblCellMar>
        </w:tblPrEx>
        <w:trPr>
          <w:trHeight w:val="780" w:hRule="atLeast"/>
        </w:trPr>
        <w:tc>
          <w:tcPr>
            <w:tcW w:w="2160" w:type="dxa"/>
            <w:gridSpan w:val="2"/>
            <w:tcBorders>
              <w:top w:val="nil"/>
              <w:left w:val="single" w:color="auto" w:sz="4"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i w:val="0"/>
                <w:iCs w:val="0"/>
                <w:color w:val="000000"/>
                <w:kern w:val="0"/>
                <w:sz w:val="21"/>
                <w:szCs w:val="21"/>
                <w:u w:val="none"/>
                <w:lang w:val="en-US" w:eastAsia="zh-CN" w:bidi="ar"/>
              </w:rPr>
              <w:t>政府采购项目来源</w:t>
            </w:r>
          </w:p>
        </w:tc>
        <w:tc>
          <w:tcPr>
            <w:tcW w:w="1080" w:type="dxa"/>
            <w:vMerge w:val="restart"/>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采购物品名称</w:t>
            </w:r>
          </w:p>
        </w:tc>
        <w:tc>
          <w:tcPr>
            <w:tcW w:w="1080" w:type="dxa"/>
            <w:vMerge w:val="restart"/>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政府采购目录序号</w:t>
            </w:r>
          </w:p>
        </w:tc>
        <w:tc>
          <w:tcPr>
            <w:tcW w:w="795" w:type="dxa"/>
            <w:vMerge w:val="restart"/>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计量  单位</w:t>
            </w:r>
          </w:p>
        </w:tc>
        <w:tc>
          <w:tcPr>
            <w:tcW w:w="735" w:type="dxa"/>
            <w:vMerge w:val="restart"/>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数量</w:t>
            </w:r>
          </w:p>
        </w:tc>
        <w:tc>
          <w:tcPr>
            <w:tcW w:w="795" w:type="dxa"/>
            <w:vMerge w:val="restart"/>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单价</w:t>
            </w:r>
          </w:p>
        </w:tc>
        <w:tc>
          <w:tcPr>
            <w:tcW w:w="7110" w:type="dxa"/>
            <w:gridSpan w:val="7"/>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政府采购金额</w:t>
            </w:r>
          </w:p>
        </w:tc>
      </w:tr>
      <w:tr>
        <w:tblPrEx>
          <w:tblLayout w:type="fixed"/>
          <w:tblCellMar>
            <w:top w:w="0" w:type="dxa"/>
            <w:left w:w="108" w:type="dxa"/>
            <w:bottom w:w="0" w:type="dxa"/>
            <w:right w:w="108" w:type="dxa"/>
          </w:tblCellMar>
        </w:tblPrEx>
        <w:trPr>
          <w:trHeight w:val="540" w:hRule="atLeast"/>
        </w:trPr>
        <w:tc>
          <w:tcPr>
            <w:tcW w:w="1080" w:type="dxa"/>
            <w:vMerge w:val="restart"/>
            <w:tcBorders>
              <w:top w:val="nil"/>
              <w:left w:val="single" w:color="auto" w:sz="4"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项目名称</w:t>
            </w:r>
          </w:p>
        </w:tc>
        <w:tc>
          <w:tcPr>
            <w:tcW w:w="1080" w:type="dxa"/>
            <w:vMerge w:val="restart"/>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预算资金</w:t>
            </w: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3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945" w:type="dxa"/>
            <w:vMerge w:val="restart"/>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总计</w:t>
            </w:r>
          </w:p>
        </w:tc>
        <w:tc>
          <w:tcPr>
            <w:tcW w:w="6165" w:type="dxa"/>
            <w:gridSpan w:val="6"/>
            <w:tcBorders>
              <w:top w:val="nil"/>
              <w:left w:val="nil"/>
              <w:bottom w:val="nil"/>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当年部门预算安排资金</w:t>
            </w:r>
          </w:p>
        </w:tc>
      </w:tr>
      <w:tr>
        <w:tblPrEx>
          <w:tblLayout w:type="fixed"/>
          <w:tblCellMar>
            <w:top w:w="0" w:type="dxa"/>
            <w:left w:w="108" w:type="dxa"/>
            <w:bottom w:w="0" w:type="dxa"/>
            <w:right w:w="108" w:type="dxa"/>
          </w:tblCellMar>
        </w:tblPrEx>
        <w:trPr>
          <w:trHeight w:val="780" w:hRule="atLeast"/>
        </w:trPr>
        <w:tc>
          <w:tcPr>
            <w:tcW w:w="1080" w:type="dxa"/>
            <w:vMerge w:val="continue"/>
            <w:tcBorders>
              <w:top w:val="nil"/>
              <w:left w:val="single" w:color="auto" w:sz="4" w:space="0"/>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3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945" w:type="dxa"/>
            <w:vMerge w:val="continue"/>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65"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合计</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一般公共预算拨款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基金预算拨款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国有资本经营预算拨款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财政专户核拨</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1"/>
                <w:szCs w:val="21"/>
                <w:u w:val="none"/>
              </w:rPr>
            </w:pPr>
            <w:r>
              <w:rPr>
                <w:rFonts w:hint="eastAsia" w:ascii="仿宋_GB2312" w:hAnsi="仿宋_GB2312" w:eastAsia="仿宋_GB2312" w:cs="仿宋_GB2312"/>
                <w:b/>
                <w:bCs/>
                <w:i w:val="0"/>
                <w:iCs w:val="0"/>
                <w:color w:val="000000"/>
                <w:kern w:val="0"/>
                <w:sz w:val="21"/>
                <w:szCs w:val="21"/>
                <w:u w:val="none"/>
                <w:lang w:val="en-US" w:eastAsia="zh-CN" w:bidi="ar"/>
              </w:rPr>
              <w:t>单位资金</w:t>
            </w:r>
          </w:p>
        </w:tc>
      </w:tr>
      <w:tr>
        <w:tblPrEx>
          <w:tblLayout w:type="fixed"/>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hint="eastAsia" w:ascii="仿宋_GB2312" w:hAnsi="仿宋_GB2312" w:eastAsia="仿宋_GB2312" w:cs="仿宋_GB2312"/>
                <w:b/>
                <w:bCs/>
                <w:i w:val="0"/>
                <w:iCs w:val="0"/>
                <w:color w:val="000000"/>
                <w:sz w:val="21"/>
                <w:szCs w:val="21"/>
                <w:u w:val="none"/>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79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r>
      <w:tr>
        <w:tblPrEx>
          <w:tblLayout w:type="fixed"/>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hint="eastAsia" w:ascii="仿宋_GB2312" w:hAnsi="仿宋_GB2312" w:eastAsia="仿宋_GB2312" w:cs="仿宋_GB2312"/>
                <w:b/>
                <w:bCs/>
                <w:i w:val="0"/>
                <w:iCs w:val="0"/>
                <w:color w:val="000000"/>
                <w:sz w:val="21"/>
                <w:szCs w:val="21"/>
                <w:u w:val="none"/>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hint="eastAsia" w:ascii="仿宋_GB2312" w:hAnsi="仿宋_GB2312" w:eastAsia="仿宋_GB2312" w:cs="仿宋_GB2312"/>
                <w:b/>
                <w:bCs/>
                <w:i w:val="0"/>
                <w:iCs w:val="0"/>
                <w:color w:val="000000"/>
                <w:sz w:val="21"/>
                <w:szCs w:val="21"/>
                <w:u w:val="none"/>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79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eastAsia" w:ascii="仿宋_GB2312" w:hAnsi="仿宋_GB2312" w:eastAsia="仿宋_GB2312" w:cs="仿宋_GB2312"/>
                <w:b/>
                <w:bCs/>
                <w:i w:val="0"/>
                <w:iCs w:val="0"/>
                <w:color w:val="000000"/>
                <w:sz w:val="21"/>
                <w:szCs w:val="21"/>
                <w:u w:val="none"/>
              </w:rPr>
            </w:pPr>
          </w:p>
        </w:tc>
      </w:tr>
      <w:tr>
        <w:tblPrEx>
          <w:tblLayout w:type="fixed"/>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left"/>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both"/>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hint="default" w:ascii="方正书宋_GBK" w:hAnsi="方正书宋_GBK" w:eastAsia="方正书宋_GBK" w:cs="方正书宋_GBK"/>
                <w:i w:val="0"/>
                <w:iCs w:val="0"/>
                <w:color w:val="000000"/>
                <w:sz w:val="21"/>
                <w:szCs w:val="21"/>
                <w:u w:val="none"/>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hint="default" w:ascii="方正书宋_GBK" w:hAnsi="方正书宋_GBK" w:eastAsia="方正书宋_GBK" w:cs="方正书宋_GBK"/>
                <w:i w:val="0"/>
                <w:iCs w:val="0"/>
                <w:color w:val="000000"/>
                <w:sz w:val="21"/>
                <w:szCs w:val="21"/>
                <w:u w:val="none"/>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c>
          <w:tcPr>
            <w:tcW w:w="795" w:type="dxa"/>
            <w:tcBorders>
              <w:top w:val="nil"/>
              <w:left w:val="nil"/>
              <w:bottom w:val="single" w:color="000000" w:sz="8" w:space="0"/>
              <w:right w:val="single" w:color="000000" w:sz="8" w:space="0"/>
            </w:tcBorders>
            <w:shd w:val="clear" w:color="auto" w:fill="auto"/>
            <w:vAlign w:val="center"/>
          </w:tcPr>
          <w:p>
            <w:pPr>
              <w:jc w:val="both"/>
              <w:rPr>
                <w:rFonts w:hint="default" w:ascii="方正书宋_GBK" w:hAnsi="方正书宋_GBK" w:eastAsia="方正书宋_GBK" w:cs="方正书宋_GBK"/>
                <w:i w:val="0"/>
                <w:iCs w:val="0"/>
                <w:color w:val="000000"/>
                <w:sz w:val="21"/>
                <w:szCs w:val="21"/>
                <w:u w:val="none"/>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hint="default" w:ascii="方正书宋_GBK" w:hAnsi="方正书宋_GBK" w:eastAsia="方正书宋_GBK" w:cs="方正书宋_GBK"/>
                <w:i w:val="0"/>
                <w:iCs w:val="0"/>
                <w:color w:val="000000"/>
                <w:sz w:val="21"/>
                <w:szCs w:val="21"/>
                <w:u w:val="none"/>
              </w:rPr>
            </w:pPr>
          </w:p>
        </w:tc>
      </w:tr>
    </w:tbl>
    <w:p>
      <w:pPr>
        <w:ind w:firstLine="688" w:firstLineChars="215"/>
        <w:rPr>
          <w:rFonts w:hint="eastAsia" w:ascii="仿宋" w:hAnsi="仿宋" w:eastAsia="仿宋"/>
          <w:sz w:val="32"/>
          <w:szCs w:val="32"/>
          <w:lang w:eastAsia="zh-CN"/>
        </w:rPr>
      </w:pPr>
      <w:r>
        <w:rPr>
          <w:rFonts w:hint="eastAsia" w:ascii="仿宋" w:hAnsi="仿宋" w:eastAsia="仿宋"/>
          <w:sz w:val="32"/>
          <w:szCs w:val="32"/>
          <w:lang w:eastAsia="zh-CN"/>
        </w:rPr>
        <w:t>注：我单位无政府采购预算，空表列示。</w:t>
      </w:r>
    </w:p>
    <w:p>
      <w:pPr>
        <w:ind w:firstLine="640" w:firstLineChars="200"/>
        <w:outlineLvl w:val="0"/>
        <w:rPr>
          <w:rFonts w:ascii="Times New Roman" w:hAnsi="Times New Roman" w:eastAsia="仿宋" w:cs="Times New Roman"/>
          <w:sz w:val="32"/>
          <w:szCs w:val="24"/>
        </w:rPr>
      </w:pPr>
    </w:p>
    <w:p>
      <w:pPr>
        <w:ind w:firstLine="640" w:firstLineChars="200"/>
        <w:outlineLvl w:val="0"/>
        <w:rPr>
          <w:rFonts w:ascii="Times New Roman" w:hAnsi="Times New Roman" w:eastAsia="仿宋" w:cs="Times New Roman"/>
          <w:sz w:val="32"/>
          <w:szCs w:val="24"/>
        </w:rPr>
      </w:pPr>
    </w:p>
    <w:p>
      <w:pPr>
        <w:ind w:firstLine="640" w:firstLineChars="200"/>
        <w:outlineLvl w:val="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FF0000"/>
          <w:sz w:val="32"/>
          <w:szCs w:val="32"/>
        </w:rPr>
      </w:pPr>
      <w:r>
        <w:rPr>
          <w:rFonts w:hint="eastAsia" w:ascii="Times New Roman" w:hAnsi="Times New Roman" w:eastAsia="仿宋" w:cs="Times New Roman"/>
          <w:color w:val="000000"/>
          <w:sz w:val="32"/>
          <w:szCs w:val="32"/>
          <w:lang w:eastAsia="zh-CN"/>
        </w:rPr>
        <w:t>中国共产党无极县委员会农村工作委员会</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26.13</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auto"/>
          <w:sz w:val="32"/>
          <w:szCs w:val="32"/>
        </w:rPr>
        <w:t>。</w:t>
      </w:r>
    </w:p>
    <w:tbl>
      <w:tblPr>
        <w:tblStyle w:val="9"/>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省人大常委会办公厅</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26.13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16.17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9.96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_GBK">
    <w:altName w:val="宋体"/>
    <w:panose1 w:val="03000509000000000000"/>
    <w:charset w:val="86"/>
    <w:family w:val="auto"/>
    <w:pitch w:val="default"/>
    <w:sig w:usb0="00000000" w:usb1="00000000" w:usb2="00000000" w:usb3="00000000" w:csb0="00040000" w:csb1="00000000"/>
  </w:font>
  <w:font w:name="方正仿宋_GBK">
    <w:altName w:val="宋体"/>
    <w:panose1 w:val="03000509000000000000"/>
    <w:charset w:val="86"/>
    <w:family w:val="auto"/>
    <w:pitch w:val="default"/>
    <w:sig w:usb0="00000000" w:usb1="0000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 Rounded MT Bold">
    <w:panose1 w:val="020F0704030504030204"/>
    <w:charset w:val="00"/>
    <w:family w:val="auto"/>
    <w:pitch w:val="default"/>
    <w:sig w:usb0="00000003" w:usb1="00000000" w:usb2="00000000" w:usb3="00000000" w:csb0="20000001" w:csb1="00000000"/>
  </w:font>
  <w:font w:name="Palatino Linotype">
    <w:panose1 w:val="02040502050505030304"/>
    <w:charset w:val="00"/>
    <w:family w:val="auto"/>
    <w:pitch w:val="default"/>
    <w:sig w:usb0="E0000287" w:usb1="40000013"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14</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lvl w:ilvl="0" w:tentative="0">
      <w:start w:val="1"/>
      <w:numFmt w:val="japaneseCounting"/>
      <w:lvlText w:val="（%1）"/>
      <w:lvlJc w:val="left"/>
      <w:pPr>
        <w:ind w:left="1918" w:hanging="1080"/>
      </w:pPr>
      <w:rPr>
        <w:rFonts w:hint="default"/>
      </w:rPr>
    </w:lvl>
    <w:lvl w:ilvl="1" w:tentative="0">
      <w:start w:val="1"/>
      <w:numFmt w:val="lowerLetter"/>
      <w:lvlText w:val="%2)"/>
      <w:lvlJc w:val="left"/>
      <w:pPr>
        <w:ind w:left="1678" w:hanging="420"/>
      </w:pPr>
    </w:lvl>
    <w:lvl w:ilvl="2" w:tentative="0">
      <w:start w:val="1"/>
      <w:numFmt w:val="lowerRoman"/>
      <w:lvlText w:val="%3."/>
      <w:lvlJc w:val="right"/>
      <w:pPr>
        <w:ind w:left="2098" w:hanging="420"/>
      </w:pPr>
    </w:lvl>
    <w:lvl w:ilvl="3" w:tentative="0">
      <w:start w:val="1"/>
      <w:numFmt w:val="decimal"/>
      <w:lvlText w:val="%4."/>
      <w:lvlJc w:val="left"/>
      <w:pPr>
        <w:ind w:left="2518" w:hanging="420"/>
      </w:pPr>
    </w:lvl>
    <w:lvl w:ilvl="4" w:tentative="0">
      <w:start w:val="1"/>
      <w:numFmt w:val="lowerLetter"/>
      <w:lvlText w:val="%5)"/>
      <w:lvlJc w:val="left"/>
      <w:pPr>
        <w:ind w:left="2938" w:hanging="420"/>
      </w:pPr>
    </w:lvl>
    <w:lvl w:ilvl="5" w:tentative="0">
      <w:start w:val="1"/>
      <w:numFmt w:val="lowerRoman"/>
      <w:lvlText w:val="%6."/>
      <w:lvlJc w:val="right"/>
      <w:pPr>
        <w:ind w:left="3358" w:hanging="420"/>
      </w:pPr>
    </w:lvl>
    <w:lvl w:ilvl="6" w:tentative="0">
      <w:start w:val="1"/>
      <w:numFmt w:val="decimal"/>
      <w:lvlText w:val="%7."/>
      <w:lvlJc w:val="left"/>
      <w:pPr>
        <w:ind w:left="3778" w:hanging="420"/>
      </w:pPr>
    </w:lvl>
    <w:lvl w:ilvl="7" w:tentative="0">
      <w:start w:val="1"/>
      <w:numFmt w:val="lowerLetter"/>
      <w:lvlText w:val="%8)"/>
      <w:lvlJc w:val="left"/>
      <w:pPr>
        <w:ind w:left="4198" w:hanging="420"/>
      </w:pPr>
    </w:lvl>
    <w:lvl w:ilvl="8" w:tentative="0">
      <w:start w:val="1"/>
      <w:numFmt w:val="lowerRoman"/>
      <w:lvlText w:val="%9."/>
      <w:lvlJc w:val="right"/>
      <w:pPr>
        <w:ind w:left="4618"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FB0AD3"/>
    <w:rsid w:val="1D383A5F"/>
    <w:rsid w:val="27DB4FA0"/>
    <w:rsid w:val="2C53080C"/>
    <w:rsid w:val="31401256"/>
    <w:rsid w:val="5654007B"/>
    <w:rsid w:val="722157C0"/>
    <w:rsid w:val="73624A5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qFormat/>
    <w:uiPriority w:val="0"/>
  </w:style>
  <w:style w:type="table" w:default="1" w:styleId="9">
    <w:name w:val="Normal Table"/>
    <w:semiHidden/>
    <w:uiPriority w:val="0"/>
    <w:tblPr>
      <w:tblLayout w:type="fixed"/>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character" w:customStyle="1" w:styleId="10">
    <w:name w:val="页脚 Char"/>
    <w:link w:val="2"/>
    <w:semiHidden/>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1142</Words>
  <Characters>6513</Characters>
  <Lines>54</Lines>
  <Paragraphs>15</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ModifiedBy>Administrator</cp:lastModifiedBy>
  <cp:lastPrinted>2020-01-11T07:53:00Z</cp:lastPrinted>
  <dcterms:modified xsi:type="dcterms:W3CDTF">2021-05-21T09:07:53Z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