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header10.xml" ContentType="application/vnd.openxmlformats-officedocument.wordprocessingml.header+xml"/>
  <Override PartName="/word/footer9.xml" ContentType="application/vnd.openxmlformats-officedocument.wordprocessingml.footer+xml"/>
  <Override PartName="/word/header11.xml" ContentType="application/vnd.openxmlformats-officedocument.wordprocessingml.header+xml"/>
  <Override PartName="/word/footer10.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footer11.xml" ContentType="application/vnd.openxmlformats-officedocument.wordprocessingml.footer+xml"/>
  <Override PartName="/word/header1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DA1185" w:rsidRDefault="00E81DD1">
      <w:pPr>
        <w:sectPr w:rsidR="00DA1185">
          <w:headerReference w:type="even" r:id="rId10"/>
          <w:headerReference w:type="default" r:id="rId11"/>
          <w:footerReference w:type="even" r:id="rId12"/>
          <w:footerReference w:type="default" r:id="rId13"/>
          <w:headerReference w:type="first" r:id="rId14"/>
          <w:footerReference w:type="first" r:id="rId15"/>
          <w:pgSz w:w="11906" w:h="16838"/>
          <w:pgMar w:top="0" w:right="0" w:bottom="0" w:left="0" w:header="851" w:footer="992" w:gutter="0"/>
          <w:cols w:space="425"/>
          <w:titlePg/>
          <w:docGrid w:type="lines" w:linePitch="312"/>
        </w:sectPr>
      </w:pPr>
      <w:r>
        <w:pict>
          <v:shapetype id="_x0000_t202" coordsize="21600,21600" o:spt="202" path="m,l,21600r21600,l21600,xe">
            <v:stroke joinstyle="miter"/>
            <v:path gradientshapeok="t" o:connecttype="rect"/>
          </v:shapetype>
          <v:shape id="文本框 10" o:spid="_x0000_s1026" type="#_x0000_t202" style="position:absolute;left:0;text-align:left;margin-left:106.25pt;margin-top:693.55pt;width:404.15pt;height:79.95pt;z-index:251664384"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filled="f" stroked="f">
            <v:textbox style="mso-fit-shape-to-text:t">
              <w:txbxContent>
                <w:p w:rsidR="00DA1185" w:rsidRDefault="006D574A">
                  <w:pPr>
                    <w:jc w:val="center"/>
                    <w:rPr>
                      <w:rFonts w:ascii="楷体_GB2312" w:eastAsia="楷体_GB2312" w:hAnsi="楷体_GB2312" w:cs="楷体_GB2312"/>
                      <w:color w:val="000000" w:themeColor="text1"/>
                      <w:kern w:val="0"/>
                      <w:sz w:val="44"/>
                      <w:szCs w:val="44"/>
                    </w:rPr>
                  </w:pPr>
                  <w:r>
                    <w:rPr>
                      <w:rFonts w:ascii="楷体_GB2312" w:eastAsia="楷体_GB2312" w:hAnsi="楷体_GB2312" w:cs="楷体_GB2312" w:hint="eastAsia"/>
                      <w:color w:val="000000" w:themeColor="text1"/>
                      <w:kern w:val="0"/>
                      <w:sz w:val="44"/>
                      <w:szCs w:val="44"/>
                    </w:rPr>
                    <w:t>二〇二〇年八月</w:t>
                  </w:r>
                </w:p>
              </w:txbxContent>
            </v:textbox>
          </v:shape>
        </w:pict>
      </w:r>
      <w:r>
        <w:pict>
          <v:oval id="椭圆 8" o:spid="_x0000_s1042" style="position:absolute;left:0;text-align:left;margin-left:53.5pt;margin-top:232.45pt;width:121.95pt;height:121.95pt;z-index:251661312;v-text-anchor:middle"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fillcolor="white [3212]" stroked="f" strokeweight="1pt">
            <v:stroke joinstyle="miter"/>
            <v:textbox>
              <w:txbxContent>
                <w:p w:rsidR="00DA1185" w:rsidRDefault="00DA1185">
                  <w:pPr>
                    <w:jc w:val="center"/>
                  </w:pPr>
                </w:p>
              </w:txbxContent>
            </v:textbox>
          </v:oval>
        </w:pict>
      </w:r>
      <w:r>
        <w:pict>
          <v:rect id="矩形 14" o:spid="_x0000_s1041" style="position:absolute;left:0;text-align:left;margin-left:33.6pt;margin-top:256.75pt;width:160.65pt;height:69.6pt;z-index:251666432"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filled="f" stroked="f">
            <v:textbox style="mso-fit-shape-to-text:t">
              <w:txbxContent>
                <w:p w:rsidR="00DA1185" w:rsidRDefault="006D574A">
                  <w:pPr>
                    <w:spacing w:line="360" w:lineRule="auto"/>
                    <w:jc w:val="center"/>
                    <w:rPr>
                      <w:kern w:val="0"/>
                      <w:sz w:val="28"/>
                      <w:szCs w:val="28"/>
                    </w:rPr>
                  </w:pPr>
                  <w:r>
                    <w:rPr>
                      <w:rFonts w:ascii="Yu Gothic UI Semibold" w:eastAsia="宋体" w:hAnsi="Yu Gothic UI Semibold" w:hint="eastAsia"/>
                      <w:color w:val="FFFFFF" w:themeColor="background1"/>
                      <w:kern w:val="24"/>
                      <w:sz w:val="72"/>
                      <w:szCs w:val="72"/>
                    </w:rPr>
                    <w:t>2019</w:t>
                  </w:r>
                </w:p>
              </w:txbxContent>
            </v:textbox>
          </v:rect>
        </w:pict>
      </w:r>
      <w:r>
        <w:pict>
          <v:oval id="椭圆 9" o:spid="_x0000_s1040" style="position:absolute;left:0;text-align:left;margin-left:62.2pt;margin-top:242.75pt;width:103.45pt;height:103.45pt;z-index:251665408;v-text-anchor:middle"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fillcolor="#1f2959" stroked="f" strokeweight="1pt">
            <v:stroke joinstyle="miter"/>
            <v:textbox>
              <w:txbxContent>
                <w:p w:rsidR="00DA1185" w:rsidRDefault="00DA1185">
                  <w:pPr>
                    <w:jc w:val="center"/>
                  </w:pPr>
                </w:p>
              </w:txbxContent>
            </v:textbox>
          </v:oval>
        </w:pict>
      </w:r>
      <w:r>
        <w:pict>
          <v:group id="_x0000_s1037" style="position:absolute;left:0;text-align:left;margin-left:1.25pt;margin-top:821.7pt;width:595.25pt;height:21.45pt;z-index:251662336" coordorigin="1483,16692" coordsize="11905,429203"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v:rect id="矩形 6" o:spid="_x0000_s1039" style="position:absolute;left:1483;top:16692;width:1125;height:428;v-text-anchor:middle"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fillcolor="#fdbc11" stroked="f" strokeweight="1pt"/>
            <v:rect id="矩形 7" o:spid="_x0000_s1038" style="position:absolute;left:2608;top:16693;width:10780;height:428;v-text-anchor:middle"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fillcolor="#1f2959" stroked="f" strokeweight="1pt"/>
          </v:group>
        </w:pict>
      </w:r>
      <w:r>
        <w:pict>
          <v:group id="_x0000_s1034" style="position:absolute;left:0;text-align:left;margin-left:-2.5pt;margin-top:-3.35pt;width:600.25pt;height:69.6pt;z-index:-251649024" coordorigin="136,-667" coordsize="120,13920"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v:rect id="矩形 5" o:spid="_x0000_s1036" style="position:absolute;left:136;top:2;width:120;height:62;v-text-anchor:middle"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fillcolor="#fdbc11" stroked="f" strokeweight="1pt"/>
            <v:shape id="_x0000_s1035" type="#_x0000_t202" style="position:absolute;left:172;top:-667;width:81;height:1392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filled="f" stroked="f">
              <v:textbox style="mso-fit-shape-to-text:t">
                <w:txbxContent>
                  <w:p w:rsidR="00DA1185" w:rsidRDefault="006D574A">
                    <w:pPr>
                      <w:jc w:val="left"/>
                      <w:rPr>
                        <w:color w:val="000000" w:themeColor="text1"/>
                        <w:kern w:val="0"/>
                        <w:sz w:val="92"/>
                        <w:szCs w:val="92"/>
                      </w:rPr>
                    </w:pPr>
                    <w:r>
                      <w:rPr>
                        <w:rFonts w:ascii="思源黑体 HW Bold" w:eastAsia="思源黑体 HW Bold" w:hAnsi="思源黑体 HW Bold" w:hint="eastAsia"/>
                        <w:color w:val="000000" w:themeColor="text1"/>
                        <w:kern w:val="24"/>
                        <w:sz w:val="92"/>
                        <w:szCs w:val="92"/>
                      </w:rPr>
                      <w:t>部门决算公开文本</w:t>
                    </w:r>
                  </w:p>
                </w:txbxContent>
              </v:textbox>
            </v:shape>
          </v:group>
        </w:pict>
      </w:r>
      <w:r>
        <w:pict>
          <v:rect id="矩形 11" o:spid="_x0000_s1033" style="position:absolute;left:0;text-align:left;margin-left:184.75pt;margin-top:286.6pt;width:339.65pt;height:31.25pt;z-index:251663360;mso-wrap-style:none"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filled="f" stroked="f">
            <v:textbox style="mso-fit-shape-to-text:t">
              <w:txbxContent>
                <w:p w:rsidR="00DA1185" w:rsidRDefault="00DA1185"/>
              </w:txbxContent>
            </v:textbox>
          </v:rect>
        </w:pict>
      </w:r>
    </w:p>
    <w:p w:rsidR="00DA1185" w:rsidRDefault="00DA1185"/>
    <w:p w:rsidR="00DA1185" w:rsidRDefault="00DA1185">
      <w:pPr>
        <w:jc w:val="center"/>
        <w:rPr>
          <w:rFonts w:ascii="黑体" w:eastAsia="黑体" w:hAnsi="黑体" w:cs="黑体"/>
          <w:sz w:val="56"/>
          <w:szCs w:val="72"/>
        </w:rPr>
      </w:pPr>
    </w:p>
    <w:p w:rsidR="00DA1185" w:rsidRDefault="00DA1185">
      <w:pPr>
        <w:jc w:val="center"/>
        <w:rPr>
          <w:rFonts w:ascii="黑体" w:eastAsia="黑体" w:hAnsi="黑体" w:cs="黑体"/>
          <w:sz w:val="56"/>
          <w:szCs w:val="72"/>
        </w:rPr>
      </w:pPr>
    </w:p>
    <w:p w:rsidR="00DA1185" w:rsidRDefault="006D574A">
      <w:pPr>
        <w:rPr>
          <w:rFonts w:ascii="黑体" w:eastAsia="黑体" w:hAnsi="Times New Roman" w:cs="Times New Roman"/>
          <w:sz w:val="48"/>
          <w:szCs w:val="48"/>
        </w:rPr>
      </w:pPr>
      <w:r>
        <w:rPr>
          <w:rFonts w:ascii="黑体" w:eastAsia="黑体" w:hAnsi="Times New Roman" w:cs="Times New Roman" w:hint="eastAsia"/>
          <w:sz w:val="48"/>
          <w:szCs w:val="48"/>
        </w:rPr>
        <w:br w:type="page"/>
      </w:r>
    </w:p>
    <w:p w:rsidR="00DA1185" w:rsidRDefault="006D574A">
      <w:pPr>
        <w:tabs>
          <w:tab w:val="left" w:pos="2728"/>
        </w:tabs>
        <w:rPr>
          <w:rFonts w:ascii="黑体" w:eastAsia="黑体" w:hAnsi="Times New Roman" w:cs="Times New Roman"/>
          <w:sz w:val="48"/>
          <w:szCs w:val="48"/>
        </w:rPr>
      </w:pPr>
      <w:r>
        <w:rPr>
          <w:rFonts w:ascii="黑体" w:eastAsia="黑体" w:hAnsi="Times New Roman" w:cs="Times New Roman" w:hint="eastAsia"/>
          <w:sz w:val="48"/>
          <w:szCs w:val="48"/>
        </w:rPr>
        <w:lastRenderedPageBreak/>
        <w:tab/>
      </w:r>
    </w:p>
    <w:p w:rsidR="00DA1185" w:rsidRDefault="00DA1185">
      <w:pPr>
        <w:rPr>
          <w:rFonts w:ascii="黑体" w:eastAsia="黑体" w:hAnsi="黑体" w:cs="黑体"/>
          <w:sz w:val="56"/>
          <w:szCs w:val="72"/>
        </w:rPr>
      </w:pPr>
    </w:p>
    <w:p w:rsidR="00DA1185" w:rsidRDefault="006D574A">
      <w:pPr>
        <w:rPr>
          <w:rFonts w:ascii="黑体" w:eastAsia="黑体" w:hAnsi="黑体" w:cs="黑体"/>
          <w:b/>
          <w:bCs/>
          <w:sz w:val="72"/>
          <w:szCs w:val="96"/>
        </w:rPr>
      </w:pPr>
      <w:r>
        <w:rPr>
          <w:rFonts w:ascii="黑体" w:eastAsia="黑体" w:hAnsi="黑体" w:cs="黑体" w:hint="eastAsia"/>
          <w:b/>
          <w:bCs/>
          <w:sz w:val="72"/>
          <w:szCs w:val="96"/>
        </w:rPr>
        <w:t>2019年度部门决算公开文本</w:t>
      </w:r>
    </w:p>
    <w:p w:rsidR="00DA1185" w:rsidRDefault="00DA1185">
      <w:pPr>
        <w:spacing w:line="360" w:lineRule="auto"/>
        <w:jc w:val="center"/>
        <w:rPr>
          <w:rFonts w:ascii="黑体" w:eastAsia="黑体" w:hAnsi="黑体" w:cs="黑体"/>
          <w:sz w:val="56"/>
          <w:szCs w:val="72"/>
        </w:rPr>
      </w:pPr>
    </w:p>
    <w:p w:rsidR="00DA1185" w:rsidRDefault="00DA1185">
      <w:pPr>
        <w:spacing w:line="600" w:lineRule="auto"/>
        <w:jc w:val="center"/>
        <w:rPr>
          <w:rFonts w:ascii="黑体" w:eastAsia="黑体" w:hAnsi="黑体" w:cs="黑体"/>
          <w:sz w:val="56"/>
          <w:szCs w:val="72"/>
        </w:rPr>
      </w:pPr>
    </w:p>
    <w:p w:rsidR="00DA1185" w:rsidRDefault="00DA1185">
      <w:pPr>
        <w:spacing w:line="600" w:lineRule="auto"/>
        <w:jc w:val="center"/>
        <w:rPr>
          <w:rFonts w:ascii="黑体" w:eastAsia="黑体" w:hAnsi="黑体" w:cs="黑体"/>
          <w:sz w:val="56"/>
          <w:szCs w:val="72"/>
        </w:rPr>
      </w:pPr>
    </w:p>
    <w:p w:rsidR="00DA1185" w:rsidRDefault="00DA1185">
      <w:pPr>
        <w:spacing w:line="600" w:lineRule="auto"/>
        <w:jc w:val="center"/>
        <w:rPr>
          <w:rFonts w:ascii="黑体" w:eastAsia="黑体" w:hAnsi="黑体" w:cs="黑体"/>
          <w:sz w:val="56"/>
          <w:szCs w:val="72"/>
        </w:rPr>
      </w:pPr>
    </w:p>
    <w:p w:rsidR="00DA1185" w:rsidRDefault="00DA1185">
      <w:pPr>
        <w:spacing w:line="600" w:lineRule="auto"/>
        <w:jc w:val="center"/>
        <w:rPr>
          <w:rFonts w:ascii="黑体" w:eastAsia="黑体" w:hAnsi="黑体" w:cs="黑体"/>
          <w:sz w:val="56"/>
          <w:szCs w:val="72"/>
        </w:rPr>
      </w:pPr>
    </w:p>
    <w:p w:rsidR="00DA1185" w:rsidRDefault="00DA1185">
      <w:pPr>
        <w:spacing w:line="480" w:lineRule="auto"/>
        <w:jc w:val="center"/>
        <w:rPr>
          <w:rFonts w:ascii="黑体" w:eastAsia="黑体" w:hAnsi="黑体" w:cs="黑体"/>
          <w:sz w:val="56"/>
          <w:szCs w:val="72"/>
        </w:rPr>
      </w:pPr>
    </w:p>
    <w:p w:rsidR="00DA1185" w:rsidRDefault="00DA1185">
      <w:pPr>
        <w:spacing w:line="480" w:lineRule="auto"/>
        <w:jc w:val="center"/>
        <w:rPr>
          <w:rFonts w:ascii="黑体" w:eastAsia="黑体" w:hAnsi="黑体" w:cs="黑体"/>
          <w:sz w:val="56"/>
          <w:szCs w:val="72"/>
        </w:rPr>
      </w:pPr>
    </w:p>
    <w:p w:rsidR="00DA1185" w:rsidRDefault="00DA1185">
      <w:pPr>
        <w:spacing w:line="480" w:lineRule="auto"/>
        <w:jc w:val="center"/>
        <w:rPr>
          <w:rFonts w:ascii="黑体" w:eastAsia="黑体" w:hAnsi="黑体" w:cs="黑体"/>
          <w:sz w:val="56"/>
          <w:szCs w:val="72"/>
        </w:rPr>
      </w:pPr>
    </w:p>
    <w:p w:rsidR="00DA1185" w:rsidRDefault="00DA1185">
      <w:pPr>
        <w:snapToGrid w:val="0"/>
        <w:spacing w:line="480" w:lineRule="auto"/>
        <w:jc w:val="center"/>
        <w:rPr>
          <w:rFonts w:ascii="黑体" w:eastAsia="黑体" w:hAnsi="黑体" w:cs="黑体"/>
          <w:sz w:val="56"/>
          <w:szCs w:val="72"/>
        </w:rPr>
      </w:pPr>
    </w:p>
    <w:p w:rsidR="00DA1185" w:rsidRDefault="006D574A">
      <w:pPr>
        <w:snapToGrid w:val="0"/>
        <w:jc w:val="center"/>
        <w:rPr>
          <w:rFonts w:ascii="楷体_GB2312" w:eastAsia="楷体_GB2312" w:hAnsi="楷体_GB2312" w:cs="楷体_GB2312"/>
          <w:color w:val="000000" w:themeColor="text1"/>
          <w:kern w:val="0"/>
          <w:sz w:val="44"/>
          <w:szCs w:val="44"/>
        </w:rPr>
      </w:pPr>
      <w:r>
        <w:rPr>
          <w:rFonts w:ascii="楷体_GB2312" w:eastAsia="楷体_GB2312" w:hAnsi="楷体_GB2312" w:cs="楷体_GB2312" w:hint="eastAsia"/>
          <w:color w:val="000000" w:themeColor="text1"/>
          <w:kern w:val="0"/>
          <w:sz w:val="44"/>
          <w:szCs w:val="44"/>
        </w:rPr>
        <w:t>中国共产党无极县委员会办公室</w:t>
      </w:r>
    </w:p>
    <w:p w:rsidR="00DA1185" w:rsidRDefault="006D574A">
      <w:pPr>
        <w:snapToGrid w:val="0"/>
        <w:jc w:val="center"/>
        <w:rPr>
          <w:rFonts w:ascii="楷体_GB2312" w:eastAsia="楷体_GB2312" w:hAnsi="楷体_GB2312" w:cs="楷体_GB2312"/>
          <w:color w:val="000000" w:themeColor="text1"/>
          <w:kern w:val="0"/>
          <w:sz w:val="44"/>
          <w:szCs w:val="44"/>
        </w:rPr>
        <w:sectPr w:rsidR="00DA1185">
          <w:headerReference w:type="default" r:id="rId16"/>
          <w:headerReference w:type="first" r:id="rId17"/>
          <w:footerReference w:type="first" r:id="rId18"/>
          <w:type w:val="continuous"/>
          <w:pgSz w:w="11906" w:h="16838"/>
          <w:pgMar w:top="2041" w:right="1531" w:bottom="2041" w:left="1531" w:header="851" w:footer="992" w:gutter="0"/>
          <w:cols w:space="0"/>
          <w:titlePg/>
          <w:docGrid w:type="lines" w:linePitch="312"/>
        </w:sectPr>
      </w:pPr>
      <w:r>
        <w:rPr>
          <w:rFonts w:ascii="楷体_GB2312" w:eastAsia="楷体_GB2312" w:hAnsi="楷体_GB2312" w:cs="楷体_GB2312" w:hint="eastAsia"/>
          <w:color w:val="000000" w:themeColor="text1"/>
          <w:kern w:val="0"/>
          <w:sz w:val="44"/>
          <w:szCs w:val="44"/>
        </w:rPr>
        <w:t>二〇二〇年八月</w:t>
      </w:r>
    </w:p>
    <w:p w:rsidR="00DA1185" w:rsidRDefault="00DA1185">
      <w:pPr>
        <w:widowControl/>
        <w:spacing w:line="600" w:lineRule="exact"/>
        <w:jc w:val="left"/>
        <w:rPr>
          <w:rFonts w:ascii="黑体" w:eastAsia="黑体" w:hAnsi="黑体" w:cs="黑体"/>
          <w:bCs/>
          <w:sz w:val="32"/>
          <w:szCs w:val="32"/>
          <w:highlight w:val="yellow"/>
        </w:rPr>
      </w:pPr>
    </w:p>
    <w:p w:rsidR="00DA1185" w:rsidRDefault="006D574A">
      <w:pPr>
        <w:rPr>
          <w:rFonts w:ascii="黑体" w:eastAsia="黑体" w:hAnsi="Times New Roman" w:cs="Times New Roman"/>
          <w:sz w:val="48"/>
          <w:szCs w:val="48"/>
        </w:rPr>
      </w:pPr>
      <w:r>
        <w:rPr>
          <w:rFonts w:ascii="黑体" w:eastAsia="黑体" w:hAnsi="Times New Roman" w:cs="Times New Roman" w:hint="eastAsia"/>
          <w:sz w:val="48"/>
          <w:szCs w:val="48"/>
        </w:rPr>
        <w:t>目    录</w:t>
      </w:r>
    </w:p>
    <w:p w:rsidR="00DA1185" w:rsidRDefault="00DA1185">
      <w:pPr>
        <w:widowControl/>
        <w:spacing w:after="160" w:line="580" w:lineRule="exact"/>
        <w:rPr>
          <w:rFonts w:ascii="Times New Roman" w:eastAsia="黑体" w:hAnsi="Times New Roman" w:cs="Times New Roman"/>
          <w:sz w:val="32"/>
          <w:szCs w:val="32"/>
        </w:rPr>
      </w:pPr>
    </w:p>
    <w:p w:rsidR="00DA1185" w:rsidRDefault="006D574A">
      <w:pPr>
        <w:widowControl/>
        <w:spacing w:after="160" w:line="580" w:lineRule="exact"/>
        <w:ind w:firstLineChars="200" w:firstLine="640"/>
        <w:rPr>
          <w:rFonts w:ascii="Times New Roman" w:eastAsia="仿宋_GB2312" w:hAnsi="Times New Roman" w:cs="Times New Roman"/>
          <w:sz w:val="24"/>
          <w:szCs w:val="32"/>
        </w:rPr>
      </w:pPr>
      <w:r>
        <w:rPr>
          <w:rFonts w:ascii="Times New Roman" w:eastAsia="黑体" w:hAnsi="Times New Roman" w:cs="Times New Roman"/>
          <w:sz w:val="32"/>
          <w:szCs w:val="32"/>
        </w:rPr>
        <w:t>第一部分</w:t>
      </w:r>
      <w:r>
        <w:rPr>
          <w:rFonts w:ascii="Times New Roman" w:eastAsia="黑体" w:hAnsi="Times New Roman" w:cs="Times New Roman"/>
          <w:sz w:val="32"/>
          <w:szCs w:val="32"/>
        </w:rPr>
        <w:t xml:space="preserve">   </w:t>
      </w:r>
      <w:r>
        <w:rPr>
          <w:rFonts w:ascii="Times New Roman" w:eastAsia="黑体" w:hAnsi="Times New Roman" w:cs="Times New Roman"/>
          <w:sz w:val="32"/>
          <w:szCs w:val="32"/>
        </w:rPr>
        <w:t>部门概况</w:t>
      </w:r>
    </w:p>
    <w:p w:rsidR="00DA1185" w:rsidRDefault="006D574A" w:rsidP="00B307BA">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一、部门</w:t>
      </w:r>
      <w:r>
        <w:rPr>
          <w:rFonts w:ascii="Times New Roman" w:eastAsia="仿宋_GB2312" w:hAnsi="Times New Roman" w:cs="Times New Roman" w:hint="eastAsia"/>
          <w:sz w:val="32"/>
          <w:szCs w:val="32"/>
        </w:rPr>
        <w:t>职责</w:t>
      </w:r>
    </w:p>
    <w:p w:rsidR="00DA1185" w:rsidRDefault="006D574A" w:rsidP="00B307BA">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二、</w:t>
      </w:r>
      <w:r>
        <w:rPr>
          <w:rFonts w:ascii="Times New Roman" w:eastAsia="仿宋_GB2312" w:hAnsi="Times New Roman" w:cs="Times New Roman" w:hint="eastAsia"/>
          <w:sz w:val="32"/>
          <w:szCs w:val="32"/>
        </w:rPr>
        <w:t>机构设置</w:t>
      </w:r>
    </w:p>
    <w:p w:rsidR="00DA1185" w:rsidRDefault="006D574A">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第二部分</w:t>
      </w:r>
      <w:r>
        <w:rPr>
          <w:rFonts w:ascii="Times New Roman" w:eastAsia="黑体" w:hAnsi="Times New Roman" w:cs="Times New Roman"/>
          <w:sz w:val="32"/>
          <w:szCs w:val="32"/>
        </w:rPr>
        <w:t xml:space="preserve">   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年部门决算情况说明</w:t>
      </w:r>
    </w:p>
    <w:p w:rsidR="00DA1185" w:rsidRDefault="006D574A">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一、收入支出决算总体情况说明</w:t>
      </w:r>
    </w:p>
    <w:p w:rsidR="00DA1185" w:rsidRDefault="006D574A">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二、收入决算情况说明</w:t>
      </w:r>
    </w:p>
    <w:p w:rsidR="00DA1185" w:rsidRDefault="006D574A">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三、支出决算情况说明</w:t>
      </w:r>
    </w:p>
    <w:p w:rsidR="00DA1185" w:rsidRDefault="006D574A">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四、财政拨款收入支出决算总体情况说明</w:t>
      </w:r>
    </w:p>
    <w:p w:rsidR="00DA1185" w:rsidRDefault="006D574A">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五、一般公共预算</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三公</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经费支出决算情况说明</w:t>
      </w:r>
    </w:p>
    <w:p w:rsidR="00DA1185" w:rsidRDefault="006D574A">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六</w:t>
      </w:r>
      <w:r>
        <w:rPr>
          <w:rFonts w:ascii="Times New Roman" w:eastAsia="仿宋_GB2312" w:hAnsi="Times New Roman" w:cs="Times New Roman"/>
          <w:sz w:val="32"/>
          <w:szCs w:val="32"/>
        </w:rPr>
        <w:t>、预算绩效情况说明</w:t>
      </w:r>
    </w:p>
    <w:p w:rsidR="00DA1185" w:rsidRDefault="006D574A">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七</w:t>
      </w:r>
      <w:r>
        <w:rPr>
          <w:rFonts w:ascii="Times New Roman" w:eastAsia="仿宋_GB2312" w:hAnsi="Times New Roman" w:cs="Times New Roman"/>
          <w:sz w:val="32"/>
          <w:szCs w:val="32"/>
        </w:rPr>
        <w:t>、其他重要事项的说明</w:t>
      </w:r>
    </w:p>
    <w:p w:rsidR="00DA1185" w:rsidRDefault="006D574A">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第三部分名词解释</w:t>
      </w:r>
    </w:p>
    <w:p w:rsidR="00DA1185" w:rsidRDefault="006D574A">
      <w:pPr>
        <w:widowControl/>
        <w:spacing w:after="160" w:line="580" w:lineRule="exact"/>
        <w:ind w:firstLineChars="200" w:firstLine="640"/>
        <w:rPr>
          <w:rFonts w:ascii="Times New Roman" w:eastAsia="仿宋_GB2312" w:hAnsi="Times New Roman" w:cs="Times New Roman"/>
          <w:sz w:val="20"/>
          <w:szCs w:val="32"/>
        </w:rPr>
      </w:pPr>
      <w:r>
        <w:rPr>
          <w:rFonts w:ascii="Times New Roman" w:eastAsia="黑体" w:hAnsi="Times New Roman" w:cs="Times New Roman"/>
          <w:sz w:val="32"/>
          <w:szCs w:val="32"/>
        </w:rPr>
        <w:t>第</w:t>
      </w:r>
      <w:r>
        <w:rPr>
          <w:rFonts w:ascii="Times New Roman" w:eastAsia="黑体" w:hAnsi="Times New Roman" w:cs="Times New Roman" w:hint="eastAsia"/>
          <w:sz w:val="32"/>
          <w:szCs w:val="32"/>
        </w:rPr>
        <w:t>四</w:t>
      </w:r>
      <w:r>
        <w:rPr>
          <w:rFonts w:ascii="Times New Roman" w:eastAsia="黑体" w:hAnsi="Times New Roman" w:cs="Times New Roman"/>
          <w:sz w:val="32"/>
          <w:szCs w:val="32"/>
        </w:rPr>
        <w:t>部分</w:t>
      </w:r>
      <w:r>
        <w:rPr>
          <w:rFonts w:ascii="Times New Roman" w:eastAsia="黑体" w:hAnsi="Times New Roman" w:cs="Times New Roman"/>
          <w:sz w:val="32"/>
          <w:szCs w:val="32"/>
        </w:rPr>
        <w:t>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年度部门决算报表</w:t>
      </w:r>
    </w:p>
    <w:p w:rsidR="00DA1185" w:rsidRDefault="00DA1185">
      <w:pPr>
        <w:widowControl/>
        <w:spacing w:after="160" w:line="580" w:lineRule="exact"/>
        <w:ind w:firstLineChars="200" w:firstLine="640"/>
        <w:rPr>
          <w:rFonts w:ascii="Times New Roman" w:eastAsia="黑体" w:hAnsi="Times New Roman" w:cs="Times New Roman"/>
          <w:sz w:val="32"/>
          <w:szCs w:val="32"/>
        </w:rPr>
      </w:pPr>
    </w:p>
    <w:p w:rsidR="00DA1185" w:rsidRDefault="00DA1185">
      <w:pPr>
        <w:widowControl/>
        <w:spacing w:after="160" w:line="580" w:lineRule="exact"/>
        <w:ind w:firstLineChars="200" w:firstLine="640"/>
        <w:rPr>
          <w:rFonts w:ascii="Times New Roman" w:eastAsia="黑体" w:hAnsi="Times New Roman" w:cs="Times New Roman"/>
          <w:sz w:val="32"/>
          <w:szCs w:val="32"/>
        </w:rPr>
        <w:sectPr w:rsidR="00DA1185">
          <w:headerReference w:type="default" r:id="rId19"/>
          <w:footerReference w:type="default" r:id="rId20"/>
          <w:headerReference w:type="first" r:id="rId21"/>
          <w:footerReference w:type="first" r:id="rId22"/>
          <w:type w:val="continuous"/>
          <w:pgSz w:w="11906" w:h="16838"/>
          <w:pgMar w:top="2041" w:right="1531" w:bottom="2041" w:left="1531" w:header="851" w:footer="992" w:gutter="0"/>
          <w:cols w:space="0"/>
          <w:titlePg/>
          <w:docGrid w:type="lines" w:linePitch="312"/>
        </w:sectPr>
      </w:pPr>
    </w:p>
    <w:p w:rsidR="00DA1185" w:rsidRDefault="00DA1185">
      <w:pPr>
        <w:widowControl/>
        <w:spacing w:line="580" w:lineRule="exact"/>
        <w:ind w:firstLineChars="200" w:firstLine="640"/>
        <w:rPr>
          <w:rFonts w:eastAsia="黑体"/>
          <w:sz w:val="32"/>
          <w:szCs w:val="32"/>
        </w:rPr>
      </w:pPr>
    </w:p>
    <w:p w:rsidR="00DA1185" w:rsidRDefault="00DA1185">
      <w:pPr>
        <w:widowControl/>
        <w:spacing w:line="580" w:lineRule="exact"/>
        <w:ind w:firstLineChars="200" w:firstLine="640"/>
        <w:rPr>
          <w:rFonts w:eastAsia="黑体"/>
          <w:sz w:val="32"/>
          <w:szCs w:val="32"/>
        </w:rPr>
      </w:pPr>
    </w:p>
    <w:p w:rsidR="00DA1185" w:rsidRDefault="00DA1185">
      <w:pPr>
        <w:widowControl/>
        <w:spacing w:line="580" w:lineRule="exact"/>
        <w:ind w:firstLineChars="200" w:firstLine="640"/>
        <w:rPr>
          <w:rFonts w:eastAsia="黑体"/>
          <w:sz w:val="32"/>
          <w:szCs w:val="32"/>
        </w:rPr>
      </w:pPr>
    </w:p>
    <w:p w:rsidR="00DA1185" w:rsidRDefault="00E81DD1">
      <w:r>
        <w:rPr>
          <w:sz w:val="72"/>
        </w:rPr>
        <w:pict>
          <v:shape id="_x0000_s1032" type="#_x0000_t202" style="position:absolute;left:0;text-align:left;margin-left:-85.7pt;margin-top:80.7pt;width:613.65pt;height:263.1pt;z-index:251670528;v-text-anchor:middle"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fillcolor="#ffd966" strokecolor="#ffd966" strokeweight="1pt">
            <v:fill r:id="rId23" o:title="5%" color2="white [3212]" type="pattern"/>
            <v:stroke joinstyle="round"/>
            <v:textbox>
              <w:txbxContent>
                <w:p w:rsidR="00DA1185" w:rsidRDefault="006D574A">
                  <w:pPr>
                    <w:widowControl/>
                    <w:jc w:val="center"/>
                    <w:rPr>
                      <w:rFonts w:ascii="黑体" w:eastAsia="黑体" w:hAnsi="黑体" w:cs="黑体"/>
                      <w:color w:val="000000" w:themeColor="text1"/>
                      <w:sz w:val="96"/>
                      <w:szCs w:val="96"/>
                    </w:rPr>
                  </w:pPr>
                  <w:r>
                    <w:rPr>
                      <w:rFonts w:ascii="黑体" w:eastAsia="黑体" w:hAnsi="黑体" w:cs="黑体" w:hint="eastAsia"/>
                      <w:color w:val="000000" w:themeColor="text1"/>
                      <w:sz w:val="96"/>
                      <w:szCs w:val="96"/>
                    </w:rPr>
                    <w:t xml:space="preserve">第一部分  </w:t>
                  </w:r>
                  <w:r>
                    <w:rPr>
                      <w:rFonts w:ascii="黑体" w:eastAsia="黑体" w:hAnsi="黑体" w:cs="黑体" w:hint="eastAsia"/>
                      <w:color w:val="000000" w:themeColor="text1"/>
                      <w:sz w:val="96"/>
                      <w:szCs w:val="96"/>
                    </w:rPr>
                    <w:t>部门概况</w:t>
                  </w:r>
                </w:p>
              </w:txbxContent>
            </v:textbox>
          </v:shape>
        </w:pict>
      </w:r>
      <w:r w:rsidR="006D574A">
        <w:br w:type="page"/>
      </w:r>
    </w:p>
    <w:p w:rsidR="00DA1185" w:rsidRDefault="006D574A">
      <w:pPr>
        <w:pStyle w:val="1"/>
        <w:spacing w:before="0" w:after="0" w:line="580" w:lineRule="exact"/>
        <w:ind w:firstLineChars="200" w:firstLine="640"/>
        <w:jc w:val="left"/>
        <w:rPr>
          <w:rFonts w:ascii="黑体" w:eastAsia="黑体" w:cs="黑体"/>
          <w:b w:val="0"/>
          <w:bCs w:val="0"/>
          <w:kern w:val="0"/>
          <w:sz w:val="32"/>
          <w:szCs w:val="32"/>
        </w:rPr>
      </w:pPr>
      <w:r>
        <w:rPr>
          <w:rFonts w:ascii="黑体" w:eastAsia="黑体" w:cs="黑体" w:hint="eastAsia"/>
          <w:b w:val="0"/>
          <w:bCs w:val="0"/>
          <w:kern w:val="0"/>
          <w:sz w:val="32"/>
          <w:szCs w:val="32"/>
        </w:rPr>
        <w:lastRenderedPageBreak/>
        <w:t>一、部门职责</w:t>
      </w:r>
    </w:p>
    <w:p w:rsidR="00DA1185" w:rsidRDefault="006D574A">
      <w:pPr>
        <w:autoSpaceDE w:val="0"/>
        <w:autoSpaceDN w:val="0"/>
        <w:adjustRightInd w:val="0"/>
        <w:spacing w:line="560" w:lineRule="exact"/>
        <w:ind w:firstLineChars="200" w:firstLine="640"/>
        <w:jc w:val="left"/>
        <w:rPr>
          <w:rFonts w:ascii="仿宋_GB2312" w:eastAsia="仿宋_GB2312" w:cs="ArialUnicodeMS"/>
          <w:kern w:val="0"/>
          <w:sz w:val="32"/>
          <w:szCs w:val="32"/>
        </w:rPr>
      </w:pPr>
      <w:r>
        <w:rPr>
          <w:rFonts w:ascii="仿宋_GB2312" w:eastAsia="仿宋_GB2312" w:cs="ArialUnicodeMS" w:hint="eastAsia"/>
          <w:kern w:val="0"/>
          <w:sz w:val="32"/>
          <w:szCs w:val="32"/>
        </w:rPr>
        <w:t>（一）负责推动党中央和省、市、县委决策部署的落实，按照县委要求协调有关方面开展工作，承担县委运行保障具体事务。</w:t>
      </w:r>
    </w:p>
    <w:p w:rsidR="00DA1185" w:rsidRDefault="006D574A">
      <w:pPr>
        <w:autoSpaceDE w:val="0"/>
        <w:autoSpaceDN w:val="0"/>
        <w:adjustRightInd w:val="0"/>
        <w:spacing w:line="560" w:lineRule="exact"/>
        <w:ind w:firstLineChars="200" w:firstLine="640"/>
        <w:jc w:val="left"/>
        <w:rPr>
          <w:rFonts w:ascii="仿宋_GB2312" w:eastAsia="仿宋_GB2312" w:cs="ArialUnicodeMS"/>
          <w:kern w:val="0"/>
          <w:sz w:val="32"/>
          <w:szCs w:val="32"/>
        </w:rPr>
      </w:pPr>
      <w:r>
        <w:rPr>
          <w:rFonts w:ascii="仿宋_GB2312" w:eastAsia="仿宋_GB2312" w:cs="ArialUnicodeMS" w:hint="eastAsia"/>
          <w:kern w:val="0"/>
          <w:sz w:val="32"/>
          <w:szCs w:val="32"/>
        </w:rPr>
        <w:t>（二）负责县委和县委办公室文件、县委领导讲话的起草、修改等工作。</w:t>
      </w:r>
    </w:p>
    <w:p w:rsidR="00DA1185" w:rsidRDefault="006D574A">
      <w:pPr>
        <w:autoSpaceDE w:val="0"/>
        <w:autoSpaceDN w:val="0"/>
        <w:adjustRightInd w:val="0"/>
        <w:spacing w:line="560" w:lineRule="exact"/>
        <w:ind w:firstLineChars="200" w:firstLine="640"/>
        <w:jc w:val="left"/>
        <w:rPr>
          <w:rFonts w:ascii="仿宋_GB2312" w:eastAsia="仿宋_GB2312" w:cs="ArialUnicodeMS"/>
          <w:kern w:val="0"/>
          <w:sz w:val="32"/>
          <w:szCs w:val="32"/>
        </w:rPr>
      </w:pPr>
      <w:r>
        <w:rPr>
          <w:rFonts w:ascii="仿宋_GB2312" w:eastAsia="仿宋_GB2312" w:cs="ArialUnicodeMS" w:hint="eastAsia"/>
          <w:kern w:val="0"/>
          <w:sz w:val="32"/>
          <w:szCs w:val="32"/>
        </w:rPr>
        <w:t>（三）围绕党中央和省、市、县委总体工作部署及领导关注的重大问题开展调查研究，为科学决策提供参考；向上级党委和县委反馈全县重要工作及情况，收集和处理信息，反映动态；负责全县全面深化改革工作的组织协调、督办考核；负责社情民意的搜集、整理和编报工作。</w:t>
      </w:r>
    </w:p>
    <w:p w:rsidR="00DA1185" w:rsidRDefault="006D574A">
      <w:pPr>
        <w:autoSpaceDE w:val="0"/>
        <w:autoSpaceDN w:val="0"/>
        <w:adjustRightInd w:val="0"/>
        <w:spacing w:line="560" w:lineRule="exact"/>
        <w:ind w:firstLineChars="200" w:firstLine="640"/>
        <w:jc w:val="left"/>
        <w:rPr>
          <w:rFonts w:ascii="仿宋_GB2312" w:eastAsia="仿宋_GB2312" w:cs="ArialUnicodeMS"/>
          <w:kern w:val="0"/>
          <w:sz w:val="32"/>
          <w:szCs w:val="32"/>
        </w:rPr>
      </w:pPr>
      <w:r>
        <w:rPr>
          <w:rFonts w:ascii="仿宋_GB2312" w:eastAsia="仿宋_GB2312" w:cs="ArialUnicodeMS" w:hint="eastAsia"/>
          <w:kern w:val="0"/>
          <w:sz w:val="32"/>
          <w:szCs w:val="32"/>
        </w:rPr>
        <w:t>（四）负责县委全会、县委常委会和县委其他重要会议的会务工作；负责县委领导参加重大活动和日常工作活动的组织安排；承担县委值班工作；负责编写县委大事记。</w:t>
      </w:r>
    </w:p>
    <w:p w:rsidR="00DA1185" w:rsidRDefault="006D574A">
      <w:pPr>
        <w:autoSpaceDE w:val="0"/>
        <w:autoSpaceDN w:val="0"/>
        <w:adjustRightInd w:val="0"/>
        <w:spacing w:line="560" w:lineRule="exact"/>
        <w:ind w:firstLineChars="200" w:firstLine="640"/>
        <w:jc w:val="left"/>
        <w:rPr>
          <w:rFonts w:ascii="仿宋_GB2312" w:eastAsia="仿宋_GB2312" w:cs="ArialUnicodeMS"/>
          <w:kern w:val="0"/>
          <w:sz w:val="32"/>
          <w:szCs w:val="32"/>
        </w:rPr>
      </w:pPr>
      <w:r>
        <w:rPr>
          <w:rFonts w:ascii="仿宋_GB2312" w:eastAsia="仿宋_GB2312" w:cs="ArialUnicodeMS" w:hint="eastAsia"/>
          <w:kern w:val="0"/>
          <w:sz w:val="32"/>
          <w:szCs w:val="32"/>
        </w:rPr>
        <w:t>（五）承担县委履行全面从严治党主体责任相关工作的谋划、部署、督导、推动和落实；负责统筹协调和督促指导全县党务公开工作。</w:t>
      </w:r>
    </w:p>
    <w:p w:rsidR="00DA1185" w:rsidRDefault="006D574A">
      <w:pPr>
        <w:autoSpaceDE w:val="0"/>
        <w:autoSpaceDN w:val="0"/>
        <w:adjustRightInd w:val="0"/>
        <w:spacing w:line="560" w:lineRule="exact"/>
        <w:ind w:firstLineChars="200" w:firstLine="640"/>
        <w:jc w:val="left"/>
        <w:rPr>
          <w:rFonts w:ascii="仿宋_GB2312" w:eastAsia="仿宋_GB2312" w:cs="ArialUnicodeMS"/>
          <w:kern w:val="0"/>
          <w:sz w:val="32"/>
          <w:szCs w:val="32"/>
        </w:rPr>
      </w:pPr>
      <w:r>
        <w:rPr>
          <w:rFonts w:ascii="仿宋_GB2312" w:eastAsia="仿宋_GB2312" w:cs="ArialUnicodeMS" w:hint="eastAsia"/>
          <w:kern w:val="0"/>
          <w:sz w:val="32"/>
          <w:szCs w:val="32"/>
        </w:rPr>
        <w:t>（六）负责县委日常文书处理；负责县委文件和县委办公室代县委行文的审核工作；负责县委制定规范性文件；负责为县委领导提供法律方面的服务工作。</w:t>
      </w:r>
    </w:p>
    <w:p w:rsidR="00DA1185" w:rsidRDefault="006D574A">
      <w:pPr>
        <w:autoSpaceDE w:val="0"/>
        <w:autoSpaceDN w:val="0"/>
        <w:adjustRightInd w:val="0"/>
        <w:spacing w:line="560" w:lineRule="exact"/>
        <w:ind w:firstLineChars="200" w:firstLine="640"/>
        <w:jc w:val="left"/>
        <w:rPr>
          <w:rFonts w:ascii="仿宋_GB2312" w:eastAsia="仿宋_GB2312" w:cs="ArialUnicodeMS"/>
          <w:kern w:val="0"/>
          <w:sz w:val="32"/>
          <w:szCs w:val="32"/>
        </w:rPr>
      </w:pPr>
      <w:r>
        <w:rPr>
          <w:rFonts w:ascii="仿宋_GB2312" w:eastAsia="仿宋_GB2312" w:cs="ArialUnicodeMS" w:hint="eastAsia"/>
          <w:kern w:val="0"/>
          <w:sz w:val="32"/>
          <w:szCs w:val="32"/>
        </w:rPr>
        <w:t>（七）督查上级党委指示和县委重要决策的贯彻落实，督办上级和县委领导交办的重要事项。</w:t>
      </w:r>
    </w:p>
    <w:p w:rsidR="00DA1185" w:rsidRDefault="006D574A">
      <w:pPr>
        <w:autoSpaceDE w:val="0"/>
        <w:autoSpaceDN w:val="0"/>
        <w:adjustRightInd w:val="0"/>
        <w:spacing w:line="560" w:lineRule="exact"/>
        <w:ind w:firstLineChars="200" w:firstLine="640"/>
        <w:jc w:val="left"/>
        <w:rPr>
          <w:rFonts w:ascii="仿宋_GB2312" w:eastAsia="仿宋_GB2312" w:cs="ArialUnicodeMS"/>
          <w:kern w:val="0"/>
          <w:sz w:val="32"/>
          <w:szCs w:val="32"/>
        </w:rPr>
      </w:pPr>
      <w:r>
        <w:rPr>
          <w:rFonts w:ascii="仿宋_GB2312" w:eastAsia="仿宋_GB2312" w:cs="ArialUnicodeMS" w:hint="eastAsia"/>
          <w:kern w:val="0"/>
          <w:sz w:val="32"/>
          <w:szCs w:val="32"/>
        </w:rPr>
        <w:lastRenderedPageBreak/>
        <w:t>（八）贯彻落实党中央和省、市、县委关于国家安全工作的各项决策部署，负责研究提出县委国家安全委员会重点工作安排，收集汇总、整理分析并上报涉及国家安全的情报信息，指导协调有关方面开展国家安全风险排查，组织全县国家安全工作督查检查、考评考核工作。</w:t>
      </w:r>
    </w:p>
    <w:p w:rsidR="00DA1185" w:rsidRDefault="006D574A">
      <w:pPr>
        <w:autoSpaceDE w:val="0"/>
        <w:autoSpaceDN w:val="0"/>
        <w:adjustRightInd w:val="0"/>
        <w:spacing w:line="560" w:lineRule="exact"/>
        <w:ind w:firstLineChars="200" w:firstLine="640"/>
        <w:jc w:val="left"/>
        <w:rPr>
          <w:rFonts w:ascii="仿宋_GB2312" w:eastAsia="仿宋_GB2312" w:cs="ArialUnicodeMS"/>
          <w:kern w:val="0"/>
          <w:sz w:val="32"/>
          <w:szCs w:val="32"/>
        </w:rPr>
      </w:pPr>
      <w:r>
        <w:rPr>
          <w:rFonts w:ascii="仿宋_GB2312" w:eastAsia="仿宋_GB2312" w:cs="ArialUnicodeMS" w:hint="eastAsia"/>
          <w:kern w:val="0"/>
          <w:sz w:val="32"/>
          <w:szCs w:val="32"/>
        </w:rPr>
        <w:t>（九）负责上级党委、政府和全县党政军领导机关及要害部门核心机密的传递工作；承担县委保密委员会的日常工作；按规定程序传送和处理机要文电，保证机要通信畅通。</w:t>
      </w:r>
    </w:p>
    <w:p w:rsidR="00DA1185" w:rsidRDefault="006D574A">
      <w:pPr>
        <w:autoSpaceDE w:val="0"/>
        <w:autoSpaceDN w:val="0"/>
        <w:adjustRightInd w:val="0"/>
        <w:spacing w:line="560" w:lineRule="exact"/>
        <w:ind w:firstLineChars="200" w:firstLine="640"/>
        <w:jc w:val="left"/>
        <w:rPr>
          <w:rFonts w:ascii="仿宋_GB2312" w:eastAsia="仿宋_GB2312" w:cs="ArialUnicodeMS"/>
          <w:kern w:val="0"/>
          <w:sz w:val="32"/>
          <w:szCs w:val="32"/>
        </w:rPr>
      </w:pPr>
      <w:r>
        <w:rPr>
          <w:rFonts w:ascii="仿宋_GB2312" w:eastAsia="仿宋_GB2312" w:cs="ArialUnicodeMS" w:hint="eastAsia"/>
          <w:kern w:val="0"/>
          <w:sz w:val="32"/>
          <w:szCs w:val="32"/>
        </w:rPr>
        <w:t>（十）负责全县档案事业宏观管理和执法复议、监督指导等工作。</w:t>
      </w:r>
    </w:p>
    <w:p w:rsidR="00DA1185" w:rsidRDefault="006D574A">
      <w:pPr>
        <w:autoSpaceDE w:val="0"/>
        <w:autoSpaceDN w:val="0"/>
        <w:adjustRightInd w:val="0"/>
        <w:spacing w:line="560" w:lineRule="exact"/>
        <w:ind w:firstLineChars="200" w:firstLine="640"/>
        <w:jc w:val="left"/>
        <w:rPr>
          <w:rFonts w:ascii="仿宋_GB2312" w:eastAsia="仿宋_GB2312" w:cs="ArialUnicodeMS"/>
          <w:kern w:val="0"/>
          <w:sz w:val="32"/>
          <w:szCs w:val="32"/>
        </w:rPr>
      </w:pPr>
      <w:r>
        <w:rPr>
          <w:rFonts w:ascii="仿宋_GB2312" w:eastAsia="仿宋_GB2312" w:cs="ArialUnicodeMS" w:hint="eastAsia"/>
          <w:kern w:val="0"/>
          <w:sz w:val="32"/>
          <w:szCs w:val="32"/>
        </w:rPr>
        <w:t>（十一）负责地方志和党史有关工作。</w:t>
      </w:r>
    </w:p>
    <w:p w:rsidR="00DA1185" w:rsidRDefault="006D574A">
      <w:pPr>
        <w:autoSpaceDE w:val="0"/>
        <w:autoSpaceDN w:val="0"/>
        <w:adjustRightInd w:val="0"/>
        <w:spacing w:line="560" w:lineRule="exact"/>
        <w:ind w:firstLineChars="200" w:firstLine="640"/>
        <w:jc w:val="left"/>
        <w:rPr>
          <w:rFonts w:ascii="仿宋_GB2312" w:eastAsia="仿宋_GB2312" w:cs="ArialUnicodeMS"/>
          <w:kern w:val="0"/>
          <w:sz w:val="32"/>
          <w:szCs w:val="32"/>
        </w:rPr>
      </w:pPr>
      <w:r>
        <w:rPr>
          <w:rFonts w:ascii="仿宋_GB2312" w:eastAsia="仿宋_GB2312" w:cs="ArialUnicodeMS" w:hint="eastAsia"/>
          <w:kern w:val="0"/>
          <w:sz w:val="32"/>
          <w:szCs w:val="32"/>
        </w:rPr>
        <w:t>（十二）完成县委交办的其它任务。</w:t>
      </w:r>
    </w:p>
    <w:p w:rsidR="00DA1185" w:rsidRDefault="006D574A">
      <w:pPr>
        <w:keepNext/>
        <w:keepLines/>
        <w:spacing w:line="580" w:lineRule="exact"/>
        <w:ind w:firstLineChars="200" w:firstLine="640"/>
        <w:jc w:val="left"/>
        <w:outlineLvl w:val="0"/>
        <w:rPr>
          <w:rFonts w:ascii="黑体" w:eastAsia="黑体" w:hAnsi="Calibri" w:cs="黑体"/>
          <w:kern w:val="0"/>
          <w:sz w:val="32"/>
          <w:szCs w:val="32"/>
        </w:rPr>
      </w:pPr>
      <w:r>
        <w:rPr>
          <w:rFonts w:ascii="黑体" w:eastAsia="黑体" w:hAnsi="Calibri" w:cs="黑体" w:hint="eastAsia"/>
          <w:kern w:val="0"/>
          <w:sz w:val="32"/>
          <w:szCs w:val="32"/>
        </w:rPr>
        <w:t>二、机构设置</w:t>
      </w:r>
    </w:p>
    <w:p w:rsidR="00DA1185" w:rsidRDefault="006D574A">
      <w:p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从决算编报单位构成看，纳入2019 年度本部门决算汇编范围的独立核算单位（以下简称“单位”）共2个，具体情况如下：</w:t>
      </w:r>
    </w:p>
    <w:tbl>
      <w:tblPr>
        <w:tblStyle w:val="a7"/>
        <w:tblpPr w:leftFromText="180" w:rightFromText="180" w:vertAnchor="text" w:horzAnchor="page" w:tblpXSpec="center" w:tblpY="10"/>
        <w:tblOverlap w:val="never"/>
        <w:tblW w:w="9580"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5"/>
        <w:gridCol w:w="3485"/>
        <w:gridCol w:w="2445"/>
        <w:gridCol w:w="2665"/>
      </w:tblGrid>
      <w:tr w:rsidR="00DA1185">
        <w:trPr>
          <w:trHeight w:val="811"/>
          <w:jc w:val="center"/>
        </w:trPr>
        <w:tc>
          <w:tcPr>
            <w:tcW w:w="985" w:type="dxa"/>
            <w:vAlign w:val="center"/>
          </w:tcPr>
          <w:p w:rsidR="00DA1185" w:rsidRDefault="006D574A">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序号</w:t>
            </w:r>
          </w:p>
        </w:tc>
        <w:tc>
          <w:tcPr>
            <w:tcW w:w="3485" w:type="dxa"/>
            <w:vAlign w:val="center"/>
          </w:tcPr>
          <w:p w:rsidR="00DA1185" w:rsidRDefault="006D574A">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单位名称</w:t>
            </w:r>
          </w:p>
        </w:tc>
        <w:tc>
          <w:tcPr>
            <w:tcW w:w="2445" w:type="dxa"/>
            <w:vAlign w:val="center"/>
          </w:tcPr>
          <w:p w:rsidR="00DA1185" w:rsidRDefault="006D574A">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单位基本性质</w:t>
            </w:r>
          </w:p>
        </w:tc>
        <w:tc>
          <w:tcPr>
            <w:tcW w:w="2665" w:type="dxa"/>
            <w:vAlign w:val="center"/>
          </w:tcPr>
          <w:p w:rsidR="00DA1185" w:rsidRDefault="006D574A">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经费形式</w:t>
            </w:r>
          </w:p>
        </w:tc>
      </w:tr>
      <w:tr w:rsidR="00DA1185">
        <w:trPr>
          <w:trHeight w:val="596"/>
          <w:jc w:val="center"/>
        </w:trPr>
        <w:tc>
          <w:tcPr>
            <w:tcW w:w="985" w:type="dxa"/>
          </w:tcPr>
          <w:p w:rsidR="00DA1185" w:rsidRDefault="006D574A">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1</w:t>
            </w:r>
          </w:p>
        </w:tc>
        <w:tc>
          <w:tcPr>
            <w:tcW w:w="3485" w:type="dxa"/>
          </w:tcPr>
          <w:p w:rsidR="00DA1185" w:rsidRDefault="006D574A">
            <w:pPr>
              <w:rPr>
                <w:rFonts w:ascii="仿宋_GB2312" w:eastAsia="仿宋_GB2312" w:hAnsi="Calibri" w:cs="ArialUnicodeMS"/>
                <w:kern w:val="0"/>
                <w:sz w:val="28"/>
                <w:szCs w:val="28"/>
              </w:rPr>
            </w:pPr>
            <w:r>
              <w:rPr>
                <w:rFonts w:ascii="仿宋_GB2312" w:eastAsia="仿宋_GB2312" w:cs="ArialUnicodeMS" w:hint="eastAsia"/>
                <w:kern w:val="0"/>
              </w:rPr>
              <w:t>中国共产</w:t>
            </w:r>
            <w:r>
              <w:rPr>
                <w:rFonts w:hint="eastAsia"/>
                <w:kern w:val="0"/>
              </w:rPr>
              <w:t>党无极县委员会办公室</w:t>
            </w:r>
          </w:p>
        </w:tc>
        <w:tc>
          <w:tcPr>
            <w:tcW w:w="2445" w:type="dxa"/>
          </w:tcPr>
          <w:p w:rsidR="00DA1185" w:rsidRDefault="006D574A">
            <w:pPr>
              <w:rPr>
                <w:rFonts w:ascii="仿宋_GB2312" w:eastAsia="仿宋_GB2312" w:hAnsi="Calibri" w:cs="ArialUnicodeMS"/>
                <w:kern w:val="0"/>
                <w:sz w:val="28"/>
                <w:szCs w:val="28"/>
              </w:rPr>
            </w:pPr>
            <w:r>
              <w:rPr>
                <w:rFonts w:hint="eastAsia"/>
                <w:kern w:val="0"/>
              </w:rPr>
              <w:t>行政</w:t>
            </w:r>
          </w:p>
        </w:tc>
        <w:tc>
          <w:tcPr>
            <w:tcW w:w="2665" w:type="dxa"/>
          </w:tcPr>
          <w:p w:rsidR="00DA1185" w:rsidRDefault="006D574A">
            <w:pPr>
              <w:rPr>
                <w:rFonts w:ascii="仿宋_GB2312" w:eastAsia="仿宋_GB2312" w:hAnsi="Calibri" w:cs="ArialUnicodeMS"/>
                <w:kern w:val="0"/>
                <w:sz w:val="28"/>
                <w:szCs w:val="28"/>
              </w:rPr>
            </w:pPr>
            <w:r>
              <w:rPr>
                <w:rFonts w:hint="eastAsia"/>
                <w:kern w:val="0"/>
              </w:rPr>
              <w:t>财政拨款</w:t>
            </w:r>
          </w:p>
        </w:tc>
      </w:tr>
      <w:tr w:rsidR="00DA1185">
        <w:trPr>
          <w:trHeight w:val="596"/>
          <w:jc w:val="center"/>
        </w:trPr>
        <w:tc>
          <w:tcPr>
            <w:tcW w:w="985" w:type="dxa"/>
          </w:tcPr>
          <w:p w:rsidR="00DA1185" w:rsidRDefault="006D574A">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2</w:t>
            </w:r>
          </w:p>
        </w:tc>
        <w:tc>
          <w:tcPr>
            <w:tcW w:w="3485" w:type="dxa"/>
          </w:tcPr>
          <w:p w:rsidR="00DA1185" w:rsidRDefault="006D574A">
            <w:pPr>
              <w:rPr>
                <w:kern w:val="0"/>
              </w:rPr>
            </w:pPr>
            <w:r>
              <w:rPr>
                <w:rFonts w:hint="eastAsia"/>
                <w:kern w:val="0"/>
              </w:rPr>
              <w:t>中国共产党无极县委员会信息中心</w:t>
            </w:r>
          </w:p>
        </w:tc>
        <w:tc>
          <w:tcPr>
            <w:tcW w:w="2445" w:type="dxa"/>
          </w:tcPr>
          <w:p w:rsidR="00DA1185" w:rsidRDefault="006D574A">
            <w:pPr>
              <w:rPr>
                <w:kern w:val="0"/>
              </w:rPr>
            </w:pPr>
            <w:r>
              <w:rPr>
                <w:rFonts w:hint="eastAsia"/>
                <w:kern w:val="0"/>
              </w:rPr>
              <w:t>事业</w:t>
            </w:r>
          </w:p>
        </w:tc>
        <w:tc>
          <w:tcPr>
            <w:tcW w:w="2665" w:type="dxa"/>
          </w:tcPr>
          <w:p w:rsidR="00DA1185" w:rsidRDefault="006D574A">
            <w:pPr>
              <w:rPr>
                <w:rFonts w:ascii="仿宋_GB2312" w:eastAsia="仿宋_GB2312" w:hAnsi="Calibri" w:cs="ArialUnicodeMS"/>
                <w:kern w:val="0"/>
                <w:sz w:val="28"/>
                <w:szCs w:val="28"/>
              </w:rPr>
            </w:pPr>
            <w:r>
              <w:rPr>
                <w:rFonts w:hint="eastAsia"/>
                <w:kern w:val="0"/>
              </w:rPr>
              <w:t>财政拨款</w:t>
            </w:r>
          </w:p>
        </w:tc>
      </w:tr>
      <w:tr w:rsidR="00DA1185">
        <w:trPr>
          <w:trHeight w:val="596"/>
          <w:jc w:val="center"/>
        </w:trPr>
        <w:tc>
          <w:tcPr>
            <w:tcW w:w="985" w:type="dxa"/>
          </w:tcPr>
          <w:p w:rsidR="00DA1185" w:rsidRDefault="006D574A">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3</w:t>
            </w:r>
          </w:p>
        </w:tc>
        <w:tc>
          <w:tcPr>
            <w:tcW w:w="3485" w:type="dxa"/>
          </w:tcPr>
          <w:p w:rsidR="00DA1185" w:rsidRDefault="00DA1185">
            <w:pPr>
              <w:spacing w:line="560" w:lineRule="exact"/>
              <w:rPr>
                <w:rFonts w:ascii="仿宋_GB2312" w:eastAsia="仿宋_GB2312" w:hAnsi="Calibri" w:cs="ArialUnicodeMS"/>
                <w:kern w:val="0"/>
                <w:sz w:val="28"/>
                <w:szCs w:val="28"/>
              </w:rPr>
            </w:pPr>
          </w:p>
        </w:tc>
        <w:tc>
          <w:tcPr>
            <w:tcW w:w="2445" w:type="dxa"/>
          </w:tcPr>
          <w:p w:rsidR="00DA1185" w:rsidRDefault="00DA1185">
            <w:pPr>
              <w:spacing w:line="560" w:lineRule="exact"/>
              <w:jc w:val="center"/>
              <w:rPr>
                <w:rFonts w:ascii="仿宋_GB2312" w:eastAsia="仿宋_GB2312" w:hAnsi="Calibri" w:cs="ArialUnicodeMS"/>
                <w:kern w:val="0"/>
                <w:sz w:val="28"/>
                <w:szCs w:val="28"/>
              </w:rPr>
            </w:pPr>
          </w:p>
        </w:tc>
        <w:tc>
          <w:tcPr>
            <w:tcW w:w="2665" w:type="dxa"/>
          </w:tcPr>
          <w:p w:rsidR="00DA1185" w:rsidRDefault="00DA1185">
            <w:pPr>
              <w:spacing w:line="560" w:lineRule="exact"/>
              <w:jc w:val="center"/>
              <w:rPr>
                <w:rFonts w:ascii="仿宋_GB2312" w:eastAsia="仿宋_GB2312" w:hAnsi="Calibri" w:cs="ArialUnicodeMS"/>
                <w:kern w:val="0"/>
                <w:sz w:val="28"/>
                <w:szCs w:val="28"/>
              </w:rPr>
            </w:pPr>
          </w:p>
        </w:tc>
      </w:tr>
      <w:tr w:rsidR="00DA1185">
        <w:trPr>
          <w:trHeight w:val="606"/>
          <w:jc w:val="center"/>
        </w:trPr>
        <w:tc>
          <w:tcPr>
            <w:tcW w:w="985" w:type="dxa"/>
            <w:tcBorders>
              <w:bottom w:val="single" w:sz="4" w:space="0" w:color="auto"/>
            </w:tcBorders>
          </w:tcPr>
          <w:p w:rsidR="00DA1185" w:rsidRDefault="006D574A">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w:t>
            </w:r>
          </w:p>
        </w:tc>
        <w:tc>
          <w:tcPr>
            <w:tcW w:w="3485" w:type="dxa"/>
            <w:tcBorders>
              <w:bottom w:val="single" w:sz="4" w:space="0" w:color="auto"/>
            </w:tcBorders>
          </w:tcPr>
          <w:p w:rsidR="00DA1185" w:rsidRDefault="006D574A">
            <w:pPr>
              <w:spacing w:line="560" w:lineRule="exact"/>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w:t>
            </w:r>
            <w:proofErr w:type="gramStart"/>
            <w:r>
              <w:rPr>
                <w:rFonts w:ascii="仿宋_GB2312" w:eastAsia="仿宋_GB2312" w:hAnsi="Calibri" w:cs="ArialUnicodeMS" w:hint="eastAsia"/>
                <w:kern w:val="0"/>
                <w:sz w:val="28"/>
                <w:szCs w:val="28"/>
              </w:rPr>
              <w:t>………</w:t>
            </w:r>
            <w:proofErr w:type="gramEnd"/>
          </w:p>
        </w:tc>
        <w:tc>
          <w:tcPr>
            <w:tcW w:w="2445" w:type="dxa"/>
            <w:tcBorders>
              <w:bottom w:val="single" w:sz="4" w:space="0" w:color="auto"/>
            </w:tcBorders>
          </w:tcPr>
          <w:p w:rsidR="00DA1185" w:rsidRDefault="00DA1185">
            <w:pPr>
              <w:spacing w:line="560" w:lineRule="exact"/>
              <w:jc w:val="center"/>
              <w:rPr>
                <w:rFonts w:ascii="仿宋_GB2312" w:eastAsia="仿宋_GB2312" w:hAnsi="Calibri" w:cs="ArialUnicodeMS"/>
                <w:kern w:val="0"/>
                <w:sz w:val="28"/>
                <w:szCs w:val="28"/>
              </w:rPr>
            </w:pPr>
          </w:p>
        </w:tc>
        <w:tc>
          <w:tcPr>
            <w:tcW w:w="2665" w:type="dxa"/>
            <w:tcBorders>
              <w:bottom w:val="single" w:sz="4" w:space="0" w:color="auto"/>
            </w:tcBorders>
          </w:tcPr>
          <w:p w:rsidR="00DA1185" w:rsidRDefault="00DA1185">
            <w:pPr>
              <w:spacing w:line="560" w:lineRule="exact"/>
              <w:jc w:val="center"/>
              <w:rPr>
                <w:rFonts w:ascii="仿宋_GB2312" w:eastAsia="仿宋_GB2312" w:hAnsi="Calibri" w:cs="ArialUnicodeMS"/>
                <w:kern w:val="0"/>
                <w:sz w:val="28"/>
                <w:szCs w:val="28"/>
              </w:rPr>
            </w:pPr>
          </w:p>
        </w:tc>
      </w:tr>
      <w:tr w:rsidR="00DA1185">
        <w:trPr>
          <w:trHeight w:val="606"/>
          <w:jc w:val="center"/>
        </w:trPr>
        <w:tc>
          <w:tcPr>
            <w:tcW w:w="9580" w:type="dxa"/>
            <w:gridSpan w:val="4"/>
            <w:tcBorders>
              <w:top w:val="single" w:sz="4" w:space="0" w:color="auto"/>
              <w:left w:val="nil"/>
              <w:bottom w:val="nil"/>
              <w:right w:val="nil"/>
            </w:tcBorders>
          </w:tcPr>
          <w:p w:rsidR="00DA1185" w:rsidRDefault="00DA1185">
            <w:pPr>
              <w:spacing w:line="560" w:lineRule="exact"/>
              <w:ind w:firstLineChars="200" w:firstLine="560"/>
              <w:jc w:val="left"/>
              <w:rPr>
                <w:rFonts w:ascii="仿宋_GB2312" w:eastAsia="仿宋_GB2312" w:hAnsi="Calibri" w:cs="ArialUnicodeMS"/>
                <w:kern w:val="0"/>
                <w:sz w:val="28"/>
                <w:szCs w:val="28"/>
              </w:rPr>
            </w:pPr>
          </w:p>
        </w:tc>
      </w:tr>
    </w:tbl>
    <w:p w:rsidR="00DA1185" w:rsidRDefault="00DA1185">
      <w:pPr>
        <w:widowControl/>
        <w:spacing w:after="160" w:line="580" w:lineRule="exact"/>
        <w:ind w:firstLineChars="200" w:firstLine="640"/>
        <w:rPr>
          <w:rFonts w:ascii="Times New Roman" w:eastAsia="黑体" w:hAnsi="Times New Roman" w:cs="Times New Roman"/>
          <w:sz w:val="32"/>
          <w:szCs w:val="32"/>
        </w:rPr>
      </w:pPr>
    </w:p>
    <w:p w:rsidR="00DA1185" w:rsidRDefault="00DA1185">
      <w:pPr>
        <w:widowControl/>
        <w:spacing w:after="160" w:line="580" w:lineRule="exact"/>
        <w:ind w:firstLineChars="200" w:firstLine="640"/>
        <w:rPr>
          <w:rFonts w:ascii="Times New Roman" w:eastAsia="黑体" w:hAnsi="Times New Roman" w:cs="Times New Roman"/>
          <w:sz w:val="32"/>
          <w:szCs w:val="32"/>
        </w:rPr>
      </w:pPr>
    </w:p>
    <w:p w:rsidR="00DA1185" w:rsidRDefault="00DA1185">
      <w:pPr>
        <w:widowControl/>
        <w:spacing w:after="160" w:line="580" w:lineRule="exact"/>
        <w:ind w:firstLineChars="200" w:firstLine="640"/>
        <w:rPr>
          <w:rFonts w:ascii="Times New Roman" w:eastAsia="黑体" w:hAnsi="Times New Roman" w:cs="Times New Roman"/>
          <w:sz w:val="32"/>
          <w:szCs w:val="32"/>
        </w:rPr>
      </w:pPr>
    </w:p>
    <w:p w:rsidR="00DA1185" w:rsidRDefault="00DA1185">
      <w:pPr>
        <w:widowControl/>
        <w:spacing w:after="160" w:line="580" w:lineRule="exact"/>
        <w:ind w:firstLineChars="200" w:firstLine="640"/>
        <w:rPr>
          <w:rFonts w:ascii="Times New Roman" w:eastAsia="黑体" w:hAnsi="Times New Roman" w:cs="Times New Roman"/>
          <w:sz w:val="32"/>
          <w:szCs w:val="32"/>
        </w:rPr>
        <w:sectPr w:rsidR="00DA1185">
          <w:headerReference w:type="default" r:id="rId24"/>
          <w:footerReference w:type="default" r:id="rId25"/>
          <w:footerReference w:type="first" r:id="rId26"/>
          <w:pgSz w:w="11906" w:h="16838"/>
          <w:pgMar w:top="2041" w:right="1531" w:bottom="2041" w:left="1531" w:header="851" w:footer="992" w:gutter="0"/>
          <w:pgNumType w:fmt="numberInDash" w:start="1"/>
          <w:cols w:space="0"/>
          <w:titlePg/>
          <w:docGrid w:type="lines" w:linePitch="312"/>
        </w:sectPr>
      </w:pPr>
    </w:p>
    <w:p w:rsidR="00DA1185" w:rsidRDefault="00DA1185">
      <w:pPr>
        <w:widowControl/>
        <w:spacing w:after="160" w:line="580" w:lineRule="exact"/>
        <w:ind w:firstLineChars="200" w:firstLine="640"/>
        <w:rPr>
          <w:rFonts w:ascii="Times New Roman" w:eastAsia="黑体" w:hAnsi="Times New Roman" w:cs="Times New Roman"/>
          <w:sz w:val="32"/>
          <w:szCs w:val="32"/>
        </w:rPr>
        <w:sectPr w:rsidR="00DA1185">
          <w:headerReference w:type="default" r:id="rId27"/>
          <w:type w:val="continuous"/>
          <w:pgSz w:w="11906" w:h="16838"/>
          <w:pgMar w:top="2041" w:right="1531" w:bottom="2041" w:left="1531" w:header="851" w:footer="992" w:gutter="0"/>
          <w:pgNumType w:fmt="numberInDash"/>
          <w:cols w:space="0"/>
          <w:titlePg/>
          <w:docGrid w:type="lines" w:linePitch="312"/>
        </w:sectPr>
      </w:pPr>
    </w:p>
    <w:p w:rsidR="00DA1185" w:rsidRDefault="00E81DD1">
      <w:pPr>
        <w:widowControl/>
        <w:spacing w:after="160" w:line="580" w:lineRule="exact"/>
        <w:ind w:firstLineChars="200" w:firstLine="1440"/>
        <w:rPr>
          <w:rFonts w:ascii="黑体" w:eastAsia="黑体" w:hAnsi="黑体" w:cs="黑体"/>
          <w:sz w:val="56"/>
          <w:szCs w:val="72"/>
        </w:rPr>
      </w:pPr>
      <w:r>
        <w:rPr>
          <w:sz w:val="72"/>
        </w:rPr>
        <w:lastRenderedPageBreak/>
        <w:pict>
          <v:shape id="_x0000_s1031" type="#_x0000_t202" style="position:absolute;left:0;text-align:left;margin-left:-85.7pt;margin-top:238.15pt;width:613.65pt;height:173.25pt;z-index:251672576"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filled="f" stroked="f" strokeweight=".5pt">
            <v:textbox>
              <w:txbxContent>
                <w:p w:rsidR="00DA1185" w:rsidRDefault="00DA1185">
                  <w:pPr>
                    <w:widowControl/>
                    <w:jc w:val="center"/>
                    <w:rPr>
                      <w:rFonts w:ascii="黑体" w:eastAsia="黑体" w:hAnsi="黑体" w:cs="黑体"/>
                      <w:color w:val="000000" w:themeColor="text1"/>
                      <w:sz w:val="96"/>
                      <w:szCs w:val="96"/>
                    </w:rPr>
                  </w:pPr>
                </w:p>
                <w:p w:rsidR="00DA1185" w:rsidRDefault="00DA1185">
                  <w:pPr>
                    <w:widowControl/>
                    <w:jc w:val="center"/>
                    <w:rPr>
                      <w:rFonts w:ascii="黑体" w:eastAsia="黑体" w:hAnsi="黑体" w:cs="黑体"/>
                      <w:color w:val="000000" w:themeColor="text1"/>
                      <w:sz w:val="96"/>
                      <w:szCs w:val="96"/>
                    </w:rPr>
                  </w:pPr>
                </w:p>
              </w:txbxContent>
            </v:textbox>
          </v:shape>
        </w:pict>
      </w:r>
    </w:p>
    <w:p w:rsidR="00DA1185" w:rsidRDefault="00E81DD1">
      <w:pPr>
        <w:jc w:val="center"/>
        <w:rPr>
          <w:rFonts w:ascii="黑体" w:eastAsia="黑体" w:hAnsi="黑体" w:cs="黑体"/>
          <w:sz w:val="56"/>
          <w:szCs w:val="72"/>
        </w:rPr>
      </w:pPr>
      <w:r>
        <w:rPr>
          <w:sz w:val="72"/>
        </w:rPr>
        <w:pict>
          <v:shape id="_x0000_s1030" type="#_x0000_t202" style="position:absolute;left:0;text-align:left;margin-left:-90.8pt;margin-top:4.35pt;width:613.65pt;height:263.1pt;z-index:251684864;v-text-anchor:middle"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fillcolor="#ffd966" strokecolor="#ffd966" strokeweight=".5pt">
            <v:fill r:id="rId23" o:title="5%" color2="white [3212]" type="pattern"/>
            <v:stroke joinstyle="round"/>
            <v:textbox>
              <w:txbxContent>
                <w:p w:rsidR="00DA1185" w:rsidRDefault="006D574A">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 xml:space="preserve">第二部分 </w:t>
                  </w:r>
                </w:p>
                <w:p w:rsidR="00DA1185" w:rsidRDefault="006D574A">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2019</w:t>
                  </w:r>
                  <w:r>
                    <w:rPr>
                      <w:rFonts w:ascii="黑体" w:eastAsia="黑体" w:hAnsi="黑体" w:cs="黑体" w:hint="eastAsia"/>
                      <w:color w:val="000000" w:themeColor="text1"/>
                      <w:sz w:val="90"/>
                      <w:szCs w:val="90"/>
                    </w:rPr>
                    <w:t>年部门决算情况说明</w:t>
                  </w:r>
                </w:p>
                <w:p w:rsidR="00DA1185" w:rsidRDefault="00DA1185"/>
              </w:txbxContent>
            </v:textbox>
          </v:shape>
        </w:pict>
      </w:r>
    </w:p>
    <w:p w:rsidR="00DA1185" w:rsidRDefault="00DA1185">
      <w:pPr>
        <w:jc w:val="center"/>
        <w:rPr>
          <w:rFonts w:ascii="黑体" w:eastAsia="黑体" w:hAnsi="黑体" w:cs="黑体"/>
          <w:sz w:val="56"/>
          <w:szCs w:val="72"/>
        </w:rPr>
      </w:pPr>
    </w:p>
    <w:p w:rsidR="00DA1185" w:rsidRDefault="00DA1185">
      <w:pPr>
        <w:jc w:val="center"/>
        <w:rPr>
          <w:rFonts w:ascii="黑体" w:eastAsia="黑体" w:hAnsi="黑体" w:cs="黑体"/>
          <w:sz w:val="56"/>
          <w:szCs w:val="72"/>
        </w:rPr>
      </w:pPr>
    </w:p>
    <w:p w:rsidR="00DA1185" w:rsidRDefault="00DA1185">
      <w:pPr>
        <w:jc w:val="center"/>
        <w:rPr>
          <w:rFonts w:ascii="黑体" w:eastAsia="黑体" w:hAnsi="黑体" w:cs="黑体"/>
          <w:sz w:val="56"/>
          <w:szCs w:val="72"/>
        </w:rPr>
      </w:pPr>
    </w:p>
    <w:p w:rsidR="00DA1185" w:rsidRDefault="00DA1185">
      <w:pPr>
        <w:jc w:val="center"/>
        <w:rPr>
          <w:rFonts w:ascii="黑体" w:eastAsia="黑体" w:hAnsi="黑体" w:cs="黑体"/>
          <w:sz w:val="56"/>
          <w:szCs w:val="72"/>
        </w:rPr>
      </w:pPr>
    </w:p>
    <w:p w:rsidR="00DA1185" w:rsidRDefault="00DA1185">
      <w:pPr>
        <w:jc w:val="center"/>
        <w:rPr>
          <w:rFonts w:ascii="黑体" w:eastAsia="黑体" w:hAnsi="黑体" w:cs="黑体"/>
          <w:sz w:val="56"/>
          <w:szCs w:val="72"/>
        </w:rPr>
      </w:pPr>
    </w:p>
    <w:p w:rsidR="00DA1185" w:rsidRDefault="00DA1185">
      <w:pPr>
        <w:jc w:val="center"/>
        <w:rPr>
          <w:rFonts w:ascii="黑体" w:eastAsia="黑体" w:hAnsi="黑体" w:cs="黑体"/>
          <w:sz w:val="56"/>
          <w:szCs w:val="72"/>
        </w:rPr>
      </w:pPr>
    </w:p>
    <w:p w:rsidR="00DA1185" w:rsidRDefault="00DA1185">
      <w:pPr>
        <w:jc w:val="center"/>
        <w:rPr>
          <w:rFonts w:ascii="黑体" w:eastAsia="黑体" w:hAnsi="黑体" w:cs="黑体"/>
          <w:sz w:val="56"/>
          <w:szCs w:val="72"/>
        </w:rPr>
      </w:pPr>
    </w:p>
    <w:p w:rsidR="00DA1185" w:rsidRDefault="00DA1185">
      <w:pPr>
        <w:jc w:val="center"/>
        <w:rPr>
          <w:rFonts w:ascii="黑体" w:eastAsia="黑体" w:hAnsi="黑体" w:cs="黑体"/>
          <w:sz w:val="56"/>
          <w:szCs w:val="72"/>
        </w:rPr>
      </w:pPr>
    </w:p>
    <w:p w:rsidR="00DA1185" w:rsidRDefault="00DA1185">
      <w:pPr>
        <w:jc w:val="center"/>
        <w:rPr>
          <w:rFonts w:ascii="黑体" w:eastAsia="黑体" w:hAnsi="黑体" w:cs="黑体"/>
          <w:sz w:val="56"/>
          <w:szCs w:val="72"/>
        </w:rPr>
      </w:pPr>
    </w:p>
    <w:p w:rsidR="00DA1185" w:rsidRDefault="006D574A">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lastRenderedPageBreak/>
        <w:t>一、收入</w:t>
      </w:r>
      <w:r>
        <w:rPr>
          <w:rFonts w:ascii="黑体" w:eastAsia="黑体" w:hAnsi="Cambria" w:cs="黑体" w:hint="eastAsia"/>
          <w:kern w:val="0"/>
          <w:sz w:val="32"/>
          <w:szCs w:val="32"/>
        </w:rPr>
        <w:t>支出</w:t>
      </w:r>
      <w:r>
        <w:rPr>
          <w:rFonts w:ascii="黑体" w:eastAsia="黑体" w:hAnsi="Calibri" w:cs="Times New Roman" w:hint="eastAsia"/>
          <w:sz w:val="32"/>
          <w:szCs w:val="32"/>
        </w:rPr>
        <w:t>决算总体情况说明</w:t>
      </w:r>
    </w:p>
    <w:p w:rsidR="00DA1185" w:rsidRDefault="006D574A">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本部门2019年度收支总计（含结转和结余）640.98万元。与2018年度决算相比，收支各减少501.57万元，下降21.95%，主</w:t>
      </w:r>
      <w:r>
        <w:rPr>
          <w:rFonts w:ascii="仿宋_GB2312" w:eastAsia="仿宋_GB2312" w:hAnsi="Times New Roman" w:cs="DengXian-Regular" w:hint="eastAsia"/>
          <w:color w:val="000000" w:themeColor="text1"/>
          <w:sz w:val="32"/>
          <w:szCs w:val="32"/>
        </w:rPr>
        <w:t>要原因是厉行节约，</w:t>
      </w:r>
      <w:r>
        <w:rPr>
          <w:rFonts w:ascii="仿宋_GB2312" w:eastAsia="仿宋_GB2312" w:cs="DengXian-Regular" w:hint="eastAsia"/>
          <w:sz w:val="32"/>
          <w:szCs w:val="32"/>
        </w:rPr>
        <w:t>美丽乡村建设及农村环境卫生长效保洁经费减少。</w:t>
      </w:r>
    </w:p>
    <w:p w:rsidR="00DA1185" w:rsidRDefault="006D574A">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二、收入决算情况说明</w:t>
      </w:r>
    </w:p>
    <w:p w:rsidR="00DA1185" w:rsidRDefault="006D574A">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本部门2019年度本年收入合计640.98万元，其中：财政拨款收入640.98万元，占100%。</w:t>
      </w:r>
    </w:p>
    <w:p w:rsidR="00DA1185" w:rsidRDefault="00DA1185">
      <w:pPr>
        <w:adjustRightInd w:val="0"/>
        <w:snapToGrid w:val="0"/>
        <w:spacing w:line="580" w:lineRule="exact"/>
        <w:ind w:firstLineChars="200" w:firstLine="640"/>
        <w:rPr>
          <w:rFonts w:ascii="仿宋_GB2312" w:eastAsia="仿宋_GB2312" w:hAnsi="Times New Roman" w:cs="DengXian-Regular"/>
          <w:sz w:val="32"/>
          <w:szCs w:val="32"/>
        </w:rPr>
      </w:pPr>
    </w:p>
    <w:p w:rsidR="00DA1185" w:rsidRDefault="006D574A">
      <w:pPr>
        <w:adjustRightInd w:val="0"/>
        <w:snapToGrid w:val="0"/>
        <w:spacing w:line="580" w:lineRule="exact"/>
        <w:ind w:firstLineChars="200" w:firstLine="420"/>
        <w:rPr>
          <w:rFonts w:ascii="仿宋_GB2312" w:eastAsia="仿宋_GB2312" w:hAnsi="Times New Roman" w:cs="DengXian-Regular"/>
          <w:sz w:val="32"/>
          <w:szCs w:val="32"/>
        </w:rPr>
      </w:pPr>
      <w:r>
        <w:rPr>
          <w:noProof/>
        </w:rPr>
        <w:drawing>
          <wp:anchor distT="0" distB="0" distL="114300" distR="114300" simplePos="0" relativeHeight="251693056" behindDoc="0" locked="0" layoutInCell="1" allowOverlap="1">
            <wp:simplePos x="0" y="0"/>
            <wp:positionH relativeFrom="column">
              <wp:posOffset>320040</wp:posOffset>
            </wp:positionH>
            <wp:positionV relativeFrom="paragraph">
              <wp:posOffset>342900</wp:posOffset>
            </wp:positionV>
            <wp:extent cx="4225290" cy="3235960"/>
            <wp:effectExtent l="0" t="0" r="3810" b="2540"/>
            <wp:wrapSquare wrapText="bothSides"/>
            <wp:docPr id="23" name="图片 1"/>
            <wp:cNvGraphicFramePr/>
            <a:graphic xmlns:a="http://schemas.openxmlformats.org/drawingml/2006/main">
              <a:graphicData uri="http://schemas.openxmlformats.org/drawingml/2006/picture">
                <pic:pic xmlns:pic="http://schemas.openxmlformats.org/drawingml/2006/picture">
                  <pic:nvPicPr>
                    <pic:cNvPr id="23" name="图片 1"/>
                    <pic:cNvPicPr/>
                  </pic:nvPicPr>
                  <pic:blipFill>
                    <a:blip r:embed="rId28"/>
                    <a:stretch>
                      <a:fillRect/>
                    </a:stretch>
                  </pic:blipFill>
                  <pic:spPr>
                    <a:xfrm>
                      <a:off x="0" y="0"/>
                      <a:ext cx="4225290" cy="3235960"/>
                    </a:xfrm>
                    <a:prstGeom prst="rect">
                      <a:avLst/>
                    </a:prstGeom>
                    <a:noFill/>
                    <a:ln w="9525">
                      <a:noFill/>
                      <a:miter/>
                    </a:ln>
                  </pic:spPr>
                </pic:pic>
              </a:graphicData>
            </a:graphic>
          </wp:anchor>
        </w:drawing>
      </w:r>
    </w:p>
    <w:p w:rsidR="00DA1185" w:rsidRDefault="00DA1185">
      <w:pPr>
        <w:adjustRightInd w:val="0"/>
        <w:snapToGrid w:val="0"/>
        <w:spacing w:line="580" w:lineRule="exact"/>
        <w:ind w:firstLineChars="200" w:firstLine="640"/>
        <w:rPr>
          <w:rFonts w:ascii="仿宋_GB2312" w:eastAsia="仿宋_GB2312" w:hAnsi="Times New Roman" w:cs="DengXian-Regular"/>
          <w:sz w:val="32"/>
          <w:szCs w:val="32"/>
        </w:rPr>
      </w:pPr>
    </w:p>
    <w:p w:rsidR="00DA1185" w:rsidRDefault="00DA1185">
      <w:pPr>
        <w:adjustRightInd w:val="0"/>
        <w:snapToGrid w:val="0"/>
        <w:spacing w:line="580" w:lineRule="exact"/>
        <w:ind w:firstLineChars="200" w:firstLine="640"/>
        <w:rPr>
          <w:rFonts w:ascii="仿宋_GB2312" w:eastAsia="仿宋_GB2312" w:hAnsi="Times New Roman" w:cs="DengXian-Regular"/>
          <w:sz w:val="32"/>
          <w:szCs w:val="32"/>
        </w:rPr>
      </w:pPr>
    </w:p>
    <w:p w:rsidR="00DA1185" w:rsidRDefault="00DA1185">
      <w:pPr>
        <w:adjustRightInd w:val="0"/>
        <w:snapToGrid w:val="0"/>
        <w:spacing w:line="580" w:lineRule="exact"/>
        <w:ind w:firstLineChars="200" w:firstLine="640"/>
        <w:rPr>
          <w:rFonts w:ascii="仿宋_GB2312" w:eastAsia="仿宋_GB2312" w:hAnsi="Times New Roman" w:cs="DengXian-Regular"/>
          <w:sz w:val="32"/>
          <w:szCs w:val="32"/>
        </w:rPr>
      </w:pPr>
    </w:p>
    <w:p w:rsidR="00DA1185" w:rsidRDefault="00DA1185">
      <w:pPr>
        <w:adjustRightInd w:val="0"/>
        <w:snapToGrid w:val="0"/>
        <w:spacing w:line="580" w:lineRule="exact"/>
        <w:ind w:firstLineChars="200" w:firstLine="640"/>
        <w:rPr>
          <w:rFonts w:ascii="仿宋_GB2312" w:eastAsia="仿宋_GB2312" w:hAnsi="Times New Roman" w:cs="DengXian-Regular"/>
          <w:sz w:val="32"/>
          <w:szCs w:val="32"/>
        </w:rPr>
      </w:pPr>
    </w:p>
    <w:p w:rsidR="00DA1185" w:rsidRDefault="00DA1185">
      <w:pPr>
        <w:adjustRightInd w:val="0"/>
        <w:snapToGrid w:val="0"/>
        <w:spacing w:line="580" w:lineRule="exact"/>
        <w:ind w:firstLineChars="200" w:firstLine="640"/>
        <w:rPr>
          <w:rFonts w:ascii="仿宋_GB2312" w:eastAsia="仿宋_GB2312" w:hAnsi="Times New Roman" w:cs="DengXian-Regular"/>
          <w:sz w:val="32"/>
          <w:szCs w:val="32"/>
        </w:rPr>
      </w:pPr>
    </w:p>
    <w:p w:rsidR="00DA1185" w:rsidRDefault="00DA1185">
      <w:pPr>
        <w:keepNext/>
        <w:keepLines/>
        <w:snapToGrid w:val="0"/>
        <w:spacing w:line="580" w:lineRule="exact"/>
        <w:outlineLvl w:val="1"/>
        <w:rPr>
          <w:rFonts w:ascii="黑体" w:eastAsia="黑体" w:hAnsi="Calibri" w:cs="Times New Roman"/>
          <w:sz w:val="32"/>
          <w:szCs w:val="32"/>
        </w:rPr>
      </w:pPr>
    </w:p>
    <w:p w:rsidR="00DA1185" w:rsidRDefault="00DA1185">
      <w:pPr>
        <w:keepNext/>
        <w:keepLines/>
        <w:snapToGrid w:val="0"/>
        <w:spacing w:line="580" w:lineRule="exact"/>
        <w:outlineLvl w:val="1"/>
        <w:rPr>
          <w:rFonts w:ascii="黑体" w:eastAsia="黑体" w:hAnsi="Calibri" w:cs="Times New Roman"/>
          <w:sz w:val="32"/>
          <w:szCs w:val="32"/>
        </w:rPr>
      </w:pPr>
    </w:p>
    <w:p w:rsidR="00DA1185" w:rsidRDefault="00DA1185">
      <w:pPr>
        <w:keepNext/>
        <w:keepLines/>
        <w:snapToGrid w:val="0"/>
        <w:spacing w:line="580" w:lineRule="exact"/>
        <w:outlineLvl w:val="1"/>
        <w:rPr>
          <w:rFonts w:ascii="黑体" w:eastAsia="黑体" w:hAnsi="Calibri" w:cs="Times New Roman"/>
          <w:sz w:val="32"/>
          <w:szCs w:val="32"/>
        </w:rPr>
      </w:pPr>
    </w:p>
    <w:p w:rsidR="00DA1185" w:rsidRDefault="00DA1185">
      <w:pPr>
        <w:keepNext/>
        <w:keepLines/>
        <w:snapToGrid w:val="0"/>
        <w:spacing w:line="580" w:lineRule="exact"/>
        <w:outlineLvl w:val="1"/>
        <w:rPr>
          <w:rFonts w:ascii="黑体" w:eastAsia="黑体" w:hAnsi="Calibri" w:cs="Times New Roman"/>
          <w:sz w:val="32"/>
          <w:szCs w:val="32"/>
        </w:rPr>
      </w:pPr>
    </w:p>
    <w:p w:rsidR="00DA1185" w:rsidRDefault="006D574A">
      <w:pPr>
        <w:keepNext/>
        <w:keepLines/>
        <w:snapToGrid w:val="0"/>
        <w:spacing w:line="580" w:lineRule="exact"/>
        <w:outlineLvl w:val="1"/>
        <w:rPr>
          <w:rFonts w:ascii="黑体" w:eastAsia="黑体" w:hAnsi="Calibri" w:cs="Times New Roman"/>
          <w:sz w:val="32"/>
          <w:szCs w:val="32"/>
        </w:rPr>
      </w:pPr>
      <w:r>
        <w:rPr>
          <w:rFonts w:ascii="黑体" w:eastAsia="黑体" w:hAnsi="Calibri" w:cs="Times New Roman" w:hint="eastAsia"/>
          <w:sz w:val="32"/>
          <w:szCs w:val="32"/>
        </w:rPr>
        <w:t>三、支出决算情况说明</w:t>
      </w:r>
    </w:p>
    <w:p w:rsidR="00DA1185" w:rsidRDefault="006D574A">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本部门2019年度本年支出合计640.98万元，其中：基本支出505.65万元，占78.89%；项目支出135.31万元，占22.11%；</w:t>
      </w:r>
      <w:r>
        <w:rPr>
          <w:rFonts w:ascii="仿宋_GB2312" w:eastAsia="仿宋_GB2312" w:hAnsi="Times New Roman" w:cs="DengXian-Regular" w:hint="eastAsia"/>
          <w:sz w:val="32"/>
          <w:szCs w:val="32"/>
        </w:rPr>
        <w:lastRenderedPageBreak/>
        <w:t>如图所示：</w:t>
      </w:r>
    </w:p>
    <w:p w:rsidR="00DA1185" w:rsidRDefault="00DA1185">
      <w:pPr>
        <w:adjustRightInd w:val="0"/>
        <w:snapToGrid w:val="0"/>
        <w:spacing w:line="580" w:lineRule="exact"/>
        <w:ind w:firstLineChars="600" w:firstLine="1920"/>
        <w:rPr>
          <w:rFonts w:ascii="仿宋_GB2312" w:eastAsia="仿宋_GB2312" w:hAnsi="Times New Roman" w:cs="DengXian-Regular"/>
          <w:sz w:val="32"/>
          <w:szCs w:val="32"/>
        </w:rPr>
      </w:pPr>
    </w:p>
    <w:p w:rsidR="00DA1185" w:rsidRDefault="006D574A">
      <w:pPr>
        <w:adjustRightInd w:val="0"/>
        <w:snapToGrid w:val="0"/>
        <w:spacing w:line="580" w:lineRule="exact"/>
        <w:ind w:firstLineChars="600" w:firstLine="1260"/>
        <w:rPr>
          <w:rFonts w:ascii="仿宋_GB2312" w:eastAsia="仿宋_GB2312" w:hAnsi="Times New Roman" w:cs="DengXian-Regular"/>
          <w:sz w:val="32"/>
          <w:szCs w:val="32"/>
        </w:rPr>
      </w:pPr>
      <w:r>
        <w:rPr>
          <w:noProof/>
        </w:rPr>
        <w:drawing>
          <wp:anchor distT="0" distB="0" distL="114300" distR="114300" simplePos="0" relativeHeight="251688960" behindDoc="0" locked="0" layoutInCell="1" allowOverlap="1">
            <wp:simplePos x="0" y="0"/>
            <wp:positionH relativeFrom="column">
              <wp:posOffset>523875</wp:posOffset>
            </wp:positionH>
            <wp:positionV relativeFrom="paragraph">
              <wp:posOffset>210185</wp:posOffset>
            </wp:positionV>
            <wp:extent cx="4191000" cy="2486025"/>
            <wp:effectExtent l="0" t="0" r="0" b="9525"/>
            <wp:wrapSquare wrapText="bothSides"/>
            <wp:docPr id="33"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rsidR="00DA1185" w:rsidRDefault="00DA1185">
      <w:pPr>
        <w:adjustRightInd w:val="0"/>
        <w:snapToGrid w:val="0"/>
        <w:spacing w:line="580" w:lineRule="exact"/>
        <w:ind w:firstLineChars="600" w:firstLine="1920"/>
        <w:rPr>
          <w:rFonts w:ascii="仿宋_GB2312" w:eastAsia="仿宋_GB2312" w:hAnsi="Times New Roman" w:cs="DengXian-Regular"/>
          <w:sz w:val="32"/>
          <w:szCs w:val="32"/>
        </w:rPr>
      </w:pPr>
    </w:p>
    <w:p w:rsidR="00DA1185" w:rsidRDefault="00DA1185">
      <w:pPr>
        <w:keepNext/>
        <w:keepLines/>
        <w:snapToGrid w:val="0"/>
        <w:spacing w:line="580" w:lineRule="exact"/>
        <w:ind w:firstLineChars="200" w:firstLine="643"/>
        <w:outlineLvl w:val="1"/>
        <w:rPr>
          <w:rFonts w:ascii="黑体" w:eastAsia="黑体" w:hAnsi="Calibri" w:cs="Times New Roman"/>
          <w:b/>
          <w:bCs/>
          <w:sz w:val="32"/>
          <w:szCs w:val="32"/>
        </w:rPr>
      </w:pPr>
    </w:p>
    <w:p w:rsidR="00DA1185" w:rsidRDefault="00DA1185">
      <w:pPr>
        <w:keepNext/>
        <w:keepLines/>
        <w:snapToGrid w:val="0"/>
        <w:spacing w:line="580" w:lineRule="exact"/>
        <w:outlineLvl w:val="1"/>
        <w:rPr>
          <w:rFonts w:ascii="黑体" w:eastAsia="黑体" w:hAnsi="Calibri" w:cs="Times New Roman"/>
          <w:sz w:val="32"/>
          <w:szCs w:val="32"/>
        </w:rPr>
      </w:pPr>
    </w:p>
    <w:p w:rsidR="00DA1185" w:rsidRDefault="00DA1185">
      <w:pPr>
        <w:keepNext/>
        <w:keepLines/>
        <w:snapToGrid w:val="0"/>
        <w:spacing w:line="580" w:lineRule="exact"/>
        <w:outlineLvl w:val="1"/>
        <w:rPr>
          <w:rFonts w:ascii="黑体" w:eastAsia="黑体" w:hAnsi="Calibri" w:cs="Times New Roman"/>
          <w:sz w:val="32"/>
          <w:szCs w:val="32"/>
        </w:rPr>
      </w:pPr>
    </w:p>
    <w:p w:rsidR="00DA1185" w:rsidRDefault="00DA1185">
      <w:pPr>
        <w:keepNext/>
        <w:keepLines/>
        <w:snapToGrid w:val="0"/>
        <w:spacing w:line="580" w:lineRule="exact"/>
        <w:outlineLvl w:val="1"/>
        <w:rPr>
          <w:rFonts w:ascii="黑体" w:eastAsia="黑体" w:hAnsi="Calibri" w:cs="Times New Roman"/>
          <w:sz w:val="32"/>
          <w:szCs w:val="32"/>
        </w:rPr>
      </w:pPr>
    </w:p>
    <w:p w:rsidR="00DA1185" w:rsidRDefault="00DA1185">
      <w:pPr>
        <w:keepNext/>
        <w:keepLines/>
        <w:snapToGrid w:val="0"/>
        <w:spacing w:line="580" w:lineRule="exact"/>
        <w:outlineLvl w:val="1"/>
        <w:rPr>
          <w:rFonts w:ascii="黑体" w:eastAsia="黑体" w:hAnsi="Calibri" w:cs="Times New Roman"/>
          <w:sz w:val="32"/>
          <w:szCs w:val="32"/>
        </w:rPr>
      </w:pPr>
    </w:p>
    <w:p w:rsidR="00DA1185" w:rsidRDefault="00DA1185">
      <w:pPr>
        <w:keepNext/>
        <w:keepLines/>
        <w:snapToGrid w:val="0"/>
        <w:spacing w:line="580" w:lineRule="exact"/>
        <w:outlineLvl w:val="1"/>
        <w:rPr>
          <w:rFonts w:ascii="黑体" w:eastAsia="黑体" w:hAnsi="Calibri" w:cs="Times New Roman"/>
          <w:sz w:val="32"/>
          <w:szCs w:val="32"/>
        </w:rPr>
      </w:pPr>
    </w:p>
    <w:p w:rsidR="00DA1185" w:rsidRDefault="006D574A">
      <w:pPr>
        <w:keepNext/>
        <w:keepLines/>
        <w:snapToGrid w:val="0"/>
        <w:spacing w:line="580" w:lineRule="exact"/>
        <w:outlineLvl w:val="1"/>
        <w:rPr>
          <w:rFonts w:ascii="黑体" w:eastAsia="黑体" w:hAnsi="Calibri" w:cs="Times New Roman"/>
          <w:sz w:val="32"/>
          <w:szCs w:val="32"/>
        </w:rPr>
      </w:pPr>
      <w:r>
        <w:rPr>
          <w:rFonts w:ascii="黑体" w:eastAsia="黑体" w:hAnsi="Calibri" w:cs="Times New Roman" w:hint="eastAsia"/>
          <w:sz w:val="32"/>
          <w:szCs w:val="32"/>
        </w:rPr>
        <w:t>四、</w:t>
      </w:r>
      <w:r>
        <w:rPr>
          <w:rFonts w:ascii="黑体" w:eastAsia="黑体" w:hAnsi="Cambria" w:cs="黑体" w:hint="eastAsia"/>
          <w:kern w:val="0"/>
          <w:sz w:val="32"/>
          <w:szCs w:val="32"/>
        </w:rPr>
        <w:t>财政</w:t>
      </w:r>
      <w:r>
        <w:rPr>
          <w:rFonts w:ascii="黑体" w:eastAsia="黑体" w:hAnsi="Calibri" w:cs="Times New Roman" w:hint="eastAsia"/>
          <w:sz w:val="32"/>
          <w:szCs w:val="32"/>
        </w:rPr>
        <w:t>拨款收入支出决算总体情况说明</w:t>
      </w:r>
    </w:p>
    <w:p w:rsidR="00DA1185" w:rsidRDefault="006D574A">
      <w:pPr>
        <w:snapToGrid w:val="0"/>
        <w:spacing w:line="580" w:lineRule="exact"/>
        <w:ind w:firstLineChars="200" w:firstLine="643"/>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（一）财政拨款收支与2018 年度决算对比情况</w:t>
      </w:r>
    </w:p>
    <w:p w:rsidR="00DA1185" w:rsidRDefault="006D574A">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本部门2019年度形成的财政拨款收支均为一般公共预算财政拨款，其中本年收入640.98万元,比2018年度减少501.57万元，降低43.90%，主要是项目减少；本年支出640.98万元，减少598.09万元，降低48.27%，主要是项目减少。</w:t>
      </w:r>
    </w:p>
    <w:p w:rsidR="00DA1185" w:rsidRDefault="00DA1185">
      <w:pPr>
        <w:adjustRightInd w:val="0"/>
        <w:snapToGrid w:val="0"/>
        <w:spacing w:line="580" w:lineRule="exact"/>
        <w:ind w:firstLineChars="200" w:firstLine="640"/>
        <w:rPr>
          <w:rFonts w:ascii="仿宋_GB2312" w:eastAsia="仿宋_GB2312" w:hAnsi="Times New Roman" w:cs="DengXian-Regular"/>
          <w:sz w:val="32"/>
          <w:szCs w:val="32"/>
        </w:rPr>
      </w:pPr>
    </w:p>
    <w:p w:rsidR="00DA1185" w:rsidRDefault="00DA1185">
      <w:pPr>
        <w:adjustRightInd w:val="0"/>
        <w:snapToGrid w:val="0"/>
        <w:spacing w:line="580" w:lineRule="exact"/>
        <w:ind w:firstLineChars="200" w:firstLine="640"/>
        <w:rPr>
          <w:rFonts w:ascii="仿宋_GB2312" w:eastAsia="仿宋_GB2312" w:hAnsi="Times New Roman" w:cs="DengXian-Regular"/>
          <w:sz w:val="32"/>
          <w:szCs w:val="32"/>
        </w:rPr>
      </w:pPr>
    </w:p>
    <w:p w:rsidR="00DA1185" w:rsidRDefault="006D574A">
      <w:pPr>
        <w:adjustRightInd w:val="0"/>
        <w:snapToGrid w:val="0"/>
        <w:spacing w:line="580" w:lineRule="exact"/>
        <w:ind w:firstLineChars="200" w:firstLine="420"/>
        <w:rPr>
          <w:rFonts w:ascii="仿宋_GB2312" w:eastAsia="仿宋_GB2312" w:hAnsi="Times New Roman" w:cs="DengXian-Regular"/>
          <w:sz w:val="32"/>
          <w:szCs w:val="32"/>
        </w:rPr>
      </w:pPr>
      <w:r>
        <w:rPr>
          <w:noProof/>
        </w:rPr>
        <w:drawing>
          <wp:anchor distT="0" distB="0" distL="114300" distR="114300" simplePos="0" relativeHeight="251689984" behindDoc="0" locked="0" layoutInCell="1" allowOverlap="1">
            <wp:simplePos x="0" y="0"/>
            <wp:positionH relativeFrom="column">
              <wp:posOffset>439420</wp:posOffset>
            </wp:positionH>
            <wp:positionV relativeFrom="paragraph">
              <wp:posOffset>131445</wp:posOffset>
            </wp:positionV>
            <wp:extent cx="4572000" cy="2981325"/>
            <wp:effectExtent l="47625" t="4445" r="47625" b="100330"/>
            <wp:wrapSquare wrapText="bothSides"/>
            <wp:docPr id="36"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rsidR="00DA1185" w:rsidRDefault="006D574A">
      <w:pPr>
        <w:adjustRightInd w:val="0"/>
        <w:snapToGrid w:val="0"/>
        <w:spacing w:line="580" w:lineRule="exact"/>
        <w:ind w:firstLineChars="200" w:firstLine="420"/>
        <w:rPr>
          <w:rFonts w:ascii="仿宋_GB2312" w:eastAsia="仿宋_GB2312" w:hAnsi="Times New Roman" w:cs="DengXian-Regular"/>
          <w:sz w:val="32"/>
          <w:szCs w:val="32"/>
        </w:rPr>
      </w:pPr>
      <w:r>
        <w:rPr>
          <w:noProof/>
        </w:rPr>
        <w:drawing>
          <wp:inline distT="0" distB="0" distL="114300" distR="114300">
            <wp:extent cx="4572000" cy="2981325"/>
            <wp:effectExtent l="47625" t="4445" r="47625" b="100330"/>
            <wp:docPr id="34"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DA1185" w:rsidRDefault="006D574A">
      <w:pPr>
        <w:adjustRightInd w:val="0"/>
        <w:snapToGrid w:val="0"/>
        <w:spacing w:line="580" w:lineRule="exact"/>
        <w:ind w:firstLineChars="200" w:firstLine="420"/>
        <w:rPr>
          <w:rFonts w:ascii="仿宋_GB2312" w:eastAsia="仿宋_GB2312" w:hAnsi="Times New Roman" w:cs="DengXian-Regular"/>
          <w:sz w:val="32"/>
          <w:szCs w:val="32"/>
        </w:rPr>
      </w:pPr>
      <w:r>
        <w:rPr>
          <w:noProof/>
        </w:rPr>
        <w:drawing>
          <wp:inline distT="0" distB="0" distL="114300" distR="114300">
            <wp:extent cx="4572000" cy="2981325"/>
            <wp:effectExtent l="47625" t="4445" r="47625" b="100330"/>
            <wp:docPr id="35"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DA1185" w:rsidRDefault="00DA1185">
      <w:pPr>
        <w:adjustRightInd w:val="0"/>
        <w:snapToGrid w:val="0"/>
        <w:spacing w:line="580" w:lineRule="exact"/>
        <w:ind w:firstLineChars="200" w:firstLine="640"/>
        <w:rPr>
          <w:rFonts w:ascii="仿宋_GB2312" w:eastAsia="仿宋_GB2312" w:hAnsi="Times New Roman" w:cs="DengXian-Regular"/>
          <w:sz w:val="32"/>
          <w:szCs w:val="32"/>
        </w:rPr>
      </w:pPr>
    </w:p>
    <w:p w:rsidR="00DA1185" w:rsidRDefault="00DA1185">
      <w:pPr>
        <w:adjustRightInd w:val="0"/>
        <w:snapToGrid w:val="0"/>
        <w:spacing w:line="580" w:lineRule="exact"/>
        <w:ind w:firstLineChars="200" w:firstLine="640"/>
        <w:rPr>
          <w:rFonts w:ascii="仿宋_GB2312" w:eastAsia="仿宋_GB2312" w:hAnsi="Times New Roman" w:cs="DengXian-Regular"/>
          <w:sz w:val="32"/>
          <w:szCs w:val="32"/>
        </w:rPr>
      </w:pPr>
    </w:p>
    <w:p w:rsidR="00DA1185" w:rsidRDefault="00DA1185">
      <w:pPr>
        <w:adjustRightInd w:val="0"/>
        <w:snapToGrid w:val="0"/>
        <w:spacing w:line="580" w:lineRule="exact"/>
        <w:ind w:firstLineChars="200" w:firstLine="640"/>
        <w:rPr>
          <w:rFonts w:ascii="仿宋_GB2312" w:eastAsia="仿宋_GB2312" w:hAnsi="Times New Roman" w:cs="DengXian-Regular"/>
          <w:sz w:val="32"/>
          <w:szCs w:val="32"/>
        </w:rPr>
      </w:pPr>
    </w:p>
    <w:p w:rsidR="00DA1185" w:rsidRDefault="00DA1185">
      <w:pPr>
        <w:adjustRightInd w:val="0"/>
        <w:snapToGrid w:val="0"/>
        <w:spacing w:line="580" w:lineRule="exact"/>
        <w:ind w:firstLineChars="200" w:firstLine="640"/>
        <w:rPr>
          <w:rFonts w:ascii="仿宋_GB2312" w:eastAsia="仿宋_GB2312" w:hAnsi="Times New Roman" w:cs="DengXian-Regular"/>
          <w:sz w:val="32"/>
          <w:szCs w:val="32"/>
        </w:rPr>
      </w:pPr>
    </w:p>
    <w:p w:rsidR="00DA1185" w:rsidRDefault="00DA1185">
      <w:pPr>
        <w:adjustRightInd w:val="0"/>
        <w:snapToGrid w:val="0"/>
        <w:spacing w:line="580" w:lineRule="exact"/>
        <w:ind w:firstLineChars="200" w:firstLine="640"/>
        <w:rPr>
          <w:rFonts w:ascii="仿宋_GB2312" w:eastAsia="仿宋_GB2312" w:hAnsi="Times New Roman" w:cs="DengXian-Regular"/>
          <w:sz w:val="32"/>
          <w:szCs w:val="32"/>
        </w:rPr>
      </w:pPr>
    </w:p>
    <w:p w:rsidR="00DA1185" w:rsidRDefault="006D574A">
      <w:pPr>
        <w:snapToGrid w:val="0"/>
        <w:spacing w:line="580" w:lineRule="exact"/>
        <w:rPr>
          <w:rFonts w:ascii="仿宋_GB2312" w:eastAsia="仿宋_GB2312" w:hAnsi="Times New Roman" w:cs="DengXian-Bold"/>
          <w:b/>
          <w:bCs/>
          <w:sz w:val="32"/>
          <w:szCs w:val="32"/>
        </w:rPr>
      </w:pPr>
      <w:r>
        <w:rPr>
          <w:rFonts w:ascii="楷体_GB2312" w:eastAsia="楷体_GB2312" w:hAnsi="Times New Roman" w:cs="DengXian-Bold" w:hint="eastAsia"/>
          <w:b/>
          <w:bCs/>
          <w:sz w:val="32"/>
          <w:szCs w:val="32"/>
        </w:rPr>
        <w:t xml:space="preserve">   （二）财政拨款收支与年初预算数对比情况</w:t>
      </w:r>
    </w:p>
    <w:p w:rsidR="00DA1185" w:rsidRDefault="006D574A">
      <w:pPr>
        <w:adjustRightInd w:val="0"/>
        <w:snapToGrid w:val="0"/>
        <w:spacing w:line="580" w:lineRule="exact"/>
        <w:ind w:firstLineChars="200" w:firstLine="640"/>
        <w:rPr>
          <w:rFonts w:ascii="仿宋_GB2312" w:eastAsia="仿宋_GB2312" w:hAnsi="Times New Roman" w:cs="DengXian-Regular"/>
          <w:color w:val="000000" w:themeColor="text1"/>
          <w:sz w:val="32"/>
          <w:szCs w:val="32"/>
        </w:rPr>
      </w:pPr>
      <w:r>
        <w:rPr>
          <w:rFonts w:ascii="仿宋_GB2312" w:eastAsia="仿宋_GB2312" w:hAnsi="Times New Roman" w:cs="DengXian-Regular" w:hint="eastAsia"/>
          <w:color w:val="000000" w:themeColor="text1"/>
          <w:sz w:val="32"/>
          <w:szCs w:val="32"/>
        </w:rPr>
        <w:t>本部门2019年度一般公共预算财政拨款收入640.98万元，完成年初预算的21.99%,比年初预算减少2274.13万元，决算数小于预算</w:t>
      </w:r>
      <w:proofErr w:type="gramStart"/>
      <w:r>
        <w:rPr>
          <w:rFonts w:ascii="仿宋_GB2312" w:eastAsia="仿宋_GB2312" w:hAnsi="Times New Roman" w:cs="DengXian-Regular" w:hint="eastAsia"/>
          <w:color w:val="000000" w:themeColor="text1"/>
          <w:sz w:val="32"/>
          <w:szCs w:val="32"/>
        </w:rPr>
        <w:t>数主要</w:t>
      </w:r>
      <w:proofErr w:type="gramEnd"/>
      <w:r>
        <w:rPr>
          <w:rFonts w:ascii="仿宋_GB2312" w:eastAsia="仿宋_GB2312" w:hAnsi="Times New Roman" w:cs="DengXian-Regular" w:hint="eastAsia"/>
          <w:color w:val="000000" w:themeColor="text1"/>
          <w:sz w:val="32"/>
          <w:szCs w:val="32"/>
        </w:rPr>
        <w:t>原因是项目减少；本年支出640.98万元，完成年初预算的21.99%,比年初预算减少2274.132万元，决算数小于预算</w:t>
      </w:r>
      <w:proofErr w:type="gramStart"/>
      <w:r>
        <w:rPr>
          <w:rFonts w:ascii="仿宋_GB2312" w:eastAsia="仿宋_GB2312" w:hAnsi="Times New Roman" w:cs="DengXian-Regular" w:hint="eastAsia"/>
          <w:color w:val="000000" w:themeColor="text1"/>
          <w:sz w:val="32"/>
          <w:szCs w:val="32"/>
        </w:rPr>
        <w:t>数主要</w:t>
      </w:r>
      <w:proofErr w:type="gramEnd"/>
      <w:r>
        <w:rPr>
          <w:rFonts w:ascii="仿宋_GB2312" w:eastAsia="仿宋_GB2312" w:hAnsi="Times New Roman" w:cs="DengXian-Regular" w:hint="eastAsia"/>
          <w:color w:val="000000" w:themeColor="text1"/>
          <w:sz w:val="32"/>
          <w:szCs w:val="32"/>
        </w:rPr>
        <w:t>原因是主要是项目减少。</w:t>
      </w:r>
    </w:p>
    <w:p w:rsidR="00DA1185" w:rsidRDefault="00DA1185">
      <w:pPr>
        <w:adjustRightInd w:val="0"/>
        <w:snapToGrid w:val="0"/>
        <w:spacing w:line="580" w:lineRule="exact"/>
        <w:ind w:firstLineChars="200" w:firstLine="640"/>
        <w:rPr>
          <w:rFonts w:ascii="仿宋_GB2312" w:eastAsia="仿宋_GB2312" w:hAnsi="Times New Roman" w:cs="DengXian-Regular"/>
          <w:sz w:val="32"/>
          <w:szCs w:val="32"/>
        </w:rPr>
      </w:pPr>
    </w:p>
    <w:p w:rsidR="00DA1185" w:rsidRDefault="00DA1185">
      <w:pPr>
        <w:adjustRightInd w:val="0"/>
        <w:snapToGrid w:val="0"/>
        <w:spacing w:line="580" w:lineRule="exact"/>
        <w:ind w:firstLineChars="200" w:firstLine="640"/>
        <w:rPr>
          <w:rFonts w:ascii="仿宋_GB2312" w:eastAsia="仿宋_GB2312" w:hAnsi="Times New Roman" w:cs="DengXian-Regular"/>
          <w:sz w:val="32"/>
          <w:szCs w:val="32"/>
        </w:rPr>
      </w:pPr>
    </w:p>
    <w:p w:rsidR="00DA1185" w:rsidRDefault="00DA1185">
      <w:pPr>
        <w:adjustRightInd w:val="0"/>
        <w:snapToGrid w:val="0"/>
        <w:spacing w:line="580" w:lineRule="exact"/>
        <w:ind w:firstLineChars="200" w:firstLine="640"/>
        <w:rPr>
          <w:rFonts w:ascii="仿宋_GB2312" w:eastAsia="仿宋_GB2312" w:hAnsi="Times New Roman" w:cs="DengXian-Regular"/>
          <w:sz w:val="32"/>
          <w:szCs w:val="32"/>
        </w:rPr>
      </w:pPr>
    </w:p>
    <w:p w:rsidR="00DA1185" w:rsidRDefault="00DA1185">
      <w:pPr>
        <w:adjustRightInd w:val="0"/>
        <w:snapToGrid w:val="0"/>
        <w:spacing w:line="580" w:lineRule="exact"/>
        <w:ind w:firstLineChars="200" w:firstLine="640"/>
        <w:rPr>
          <w:rFonts w:ascii="仿宋_GB2312" w:eastAsia="仿宋_GB2312" w:hAnsi="Times New Roman" w:cs="DengXian-Regular"/>
          <w:sz w:val="32"/>
          <w:szCs w:val="32"/>
        </w:rPr>
      </w:pPr>
    </w:p>
    <w:p w:rsidR="00DA1185" w:rsidRDefault="006D574A">
      <w:pPr>
        <w:adjustRightInd w:val="0"/>
        <w:snapToGrid w:val="0"/>
        <w:spacing w:line="580" w:lineRule="exact"/>
        <w:ind w:firstLineChars="200" w:firstLine="420"/>
        <w:rPr>
          <w:rFonts w:ascii="仿宋_GB2312" w:eastAsia="仿宋_GB2312" w:hAnsi="Times New Roman" w:cs="DengXian-Regular"/>
          <w:sz w:val="32"/>
          <w:szCs w:val="32"/>
        </w:rPr>
      </w:pPr>
      <w:r>
        <w:rPr>
          <w:noProof/>
        </w:rPr>
        <w:drawing>
          <wp:anchor distT="0" distB="0" distL="114300" distR="114300" simplePos="0" relativeHeight="251691008" behindDoc="0" locked="0" layoutInCell="1" allowOverlap="1">
            <wp:simplePos x="0" y="0"/>
            <wp:positionH relativeFrom="column">
              <wp:posOffset>314325</wp:posOffset>
            </wp:positionH>
            <wp:positionV relativeFrom="paragraph">
              <wp:posOffset>127635</wp:posOffset>
            </wp:positionV>
            <wp:extent cx="4572000" cy="3486150"/>
            <wp:effectExtent l="47625" t="4445" r="47625" b="109855"/>
            <wp:wrapSquare wrapText="bothSides"/>
            <wp:docPr id="38"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p>
    <w:p w:rsidR="00DA1185" w:rsidRDefault="00DA1185">
      <w:pPr>
        <w:adjustRightInd w:val="0"/>
        <w:snapToGrid w:val="0"/>
        <w:spacing w:line="580" w:lineRule="exact"/>
        <w:ind w:firstLineChars="200" w:firstLine="640"/>
        <w:rPr>
          <w:rFonts w:ascii="仿宋_GB2312" w:eastAsia="仿宋_GB2312" w:hAnsi="Times New Roman" w:cs="DengXian-Regular"/>
          <w:sz w:val="32"/>
          <w:szCs w:val="32"/>
        </w:rPr>
      </w:pPr>
    </w:p>
    <w:p w:rsidR="00DA1185" w:rsidRDefault="00DA1185">
      <w:pPr>
        <w:adjustRightInd w:val="0"/>
        <w:snapToGrid w:val="0"/>
        <w:spacing w:line="580" w:lineRule="exact"/>
        <w:ind w:firstLineChars="200" w:firstLine="640"/>
        <w:rPr>
          <w:rFonts w:ascii="仿宋_GB2312" w:eastAsia="仿宋_GB2312" w:hAnsi="Times New Roman" w:cs="DengXian-Regular"/>
          <w:sz w:val="32"/>
          <w:szCs w:val="32"/>
        </w:rPr>
      </w:pPr>
    </w:p>
    <w:p w:rsidR="00DA1185" w:rsidRDefault="00DA1185">
      <w:pPr>
        <w:adjustRightInd w:val="0"/>
        <w:snapToGrid w:val="0"/>
        <w:spacing w:line="580" w:lineRule="exact"/>
        <w:rPr>
          <w:rFonts w:ascii="仿宋_GB2312" w:eastAsia="仿宋_GB2312" w:hAnsi="Times New Roman" w:cs="DengXian-Regular"/>
          <w:sz w:val="32"/>
          <w:szCs w:val="32"/>
          <w:highlight w:val="yellow"/>
        </w:rPr>
      </w:pPr>
    </w:p>
    <w:p w:rsidR="00DA1185" w:rsidRDefault="00DA1185">
      <w:pPr>
        <w:adjustRightInd w:val="0"/>
        <w:snapToGrid w:val="0"/>
        <w:spacing w:line="580" w:lineRule="exact"/>
        <w:rPr>
          <w:rFonts w:ascii="仿宋_GB2312" w:eastAsia="仿宋_GB2312" w:hAnsi="Times New Roman" w:cs="DengXian-Regular"/>
          <w:sz w:val="32"/>
          <w:szCs w:val="32"/>
          <w:highlight w:val="yellow"/>
        </w:rPr>
      </w:pPr>
    </w:p>
    <w:p w:rsidR="00DA1185" w:rsidRDefault="00DA1185">
      <w:pPr>
        <w:adjustRightInd w:val="0"/>
        <w:snapToGrid w:val="0"/>
        <w:spacing w:line="580" w:lineRule="exact"/>
        <w:rPr>
          <w:rFonts w:ascii="仿宋_GB2312" w:eastAsia="仿宋_GB2312" w:hAnsi="Times New Roman" w:cs="DengXian-Regular"/>
          <w:sz w:val="32"/>
          <w:szCs w:val="32"/>
          <w:highlight w:val="yellow"/>
        </w:rPr>
      </w:pPr>
    </w:p>
    <w:p w:rsidR="00DA1185" w:rsidRDefault="00DA1185">
      <w:pPr>
        <w:adjustRightInd w:val="0"/>
        <w:snapToGrid w:val="0"/>
        <w:spacing w:line="580" w:lineRule="exact"/>
        <w:rPr>
          <w:rFonts w:ascii="仿宋_GB2312" w:eastAsia="仿宋_GB2312" w:hAnsi="Times New Roman" w:cs="DengXian-Regular"/>
          <w:sz w:val="32"/>
          <w:szCs w:val="32"/>
          <w:highlight w:val="yellow"/>
        </w:rPr>
      </w:pPr>
    </w:p>
    <w:p w:rsidR="00DA1185" w:rsidRDefault="00DA1185">
      <w:pPr>
        <w:adjustRightInd w:val="0"/>
        <w:snapToGrid w:val="0"/>
        <w:spacing w:line="580" w:lineRule="exact"/>
        <w:rPr>
          <w:rFonts w:ascii="仿宋_GB2312" w:eastAsia="仿宋_GB2312" w:hAnsi="Times New Roman" w:cs="DengXian-Regular"/>
          <w:sz w:val="32"/>
          <w:szCs w:val="32"/>
          <w:highlight w:val="yellow"/>
        </w:rPr>
      </w:pPr>
    </w:p>
    <w:p w:rsidR="00DA1185" w:rsidRDefault="00DA1185">
      <w:pPr>
        <w:adjustRightInd w:val="0"/>
        <w:snapToGrid w:val="0"/>
        <w:spacing w:line="580" w:lineRule="exact"/>
        <w:rPr>
          <w:rFonts w:ascii="仿宋_GB2312" w:eastAsia="仿宋_GB2312" w:hAnsi="Times New Roman" w:cs="DengXian-Regular"/>
          <w:sz w:val="32"/>
          <w:szCs w:val="32"/>
          <w:highlight w:val="yellow"/>
        </w:rPr>
      </w:pPr>
    </w:p>
    <w:p w:rsidR="00DA1185" w:rsidRDefault="006D574A">
      <w:pPr>
        <w:adjustRightInd w:val="0"/>
        <w:snapToGrid w:val="0"/>
        <w:spacing w:line="580" w:lineRule="exact"/>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(3)财政拨款支出决算结构情况。</w:t>
      </w:r>
    </w:p>
    <w:p w:rsidR="00DA1185" w:rsidRDefault="006D574A">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2019 年度财政拨款支出640.98万元，主要用于以下方面：一般公共服务（类）支出550.98万元，占85.91%，；社会保障和就业（类）支出74.44万元，占11.61%；卫生健康支出（类）支出15.85万元，占 2.47%。</w:t>
      </w:r>
    </w:p>
    <w:p w:rsidR="00DA1185" w:rsidRDefault="00DA1185">
      <w:pPr>
        <w:adjustRightInd w:val="0"/>
        <w:snapToGrid w:val="0"/>
        <w:spacing w:line="580" w:lineRule="exact"/>
        <w:rPr>
          <w:rFonts w:ascii="楷体_GB2312" w:eastAsia="楷体_GB2312" w:hAnsi="Times New Roman" w:cs="DengXian-Bold"/>
          <w:b/>
          <w:bCs/>
          <w:sz w:val="32"/>
          <w:szCs w:val="32"/>
        </w:rPr>
      </w:pPr>
    </w:p>
    <w:p w:rsidR="00DA1185" w:rsidRDefault="006D574A">
      <w:pPr>
        <w:adjustRightInd w:val="0"/>
        <w:snapToGrid w:val="0"/>
        <w:spacing w:line="580" w:lineRule="exact"/>
        <w:rPr>
          <w:rFonts w:ascii="楷体_GB2312" w:eastAsia="楷体_GB2312" w:hAnsi="Times New Roman" w:cs="DengXian-Bold"/>
          <w:b/>
          <w:bCs/>
          <w:sz w:val="32"/>
          <w:szCs w:val="32"/>
        </w:rPr>
      </w:pPr>
      <w:bookmarkStart w:id="0" w:name="_GoBack"/>
      <w:r>
        <w:rPr>
          <w:noProof/>
        </w:rPr>
        <w:drawing>
          <wp:anchor distT="0" distB="0" distL="114300" distR="114300" simplePos="0" relativeHeight="251692032" behindDoc="0" locked="0" layoutInCell="1" allowOverlap="1">
            <wp:simplePos x="0" y="0"/>
            <wp:positionH relativeFrom="column">
              <wp:posOffset>921385</wp:posOffset>
            </wp:positionH>
            <wp:positionV relativeFrom="paragraph">
              <wp:posOffset>166370</wp:posOffset>
            </wp:positionV>
            <wp:extent cx="3181350" cy="2609850"/>
            <wp:effectExtent l="57150" t="0" r="38100" b="95250"/>
            <wp:wrapSquare wrapText="bothSides"/>
            <wp:docPr id="39"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bookmarkEnd w:id="0"/>
    </w:p>
    <w:p w:rsidR="00DA1185" w:rsidRDefault="00DA1185">
      <w:pPr>
        <w:adjustRightInd w:val="0"/>
        <w:snapToGrid w:val="0"/>
        <w:spacing w:line="580" w:lineRule="exact"/>
        <w:rPr>
          <w:rFonts w:ascii="楷体_GB2312" w:eastAsia="楷体_GB2312" w:hAnsi="Times New Roman" w:cs="DengXian-Bold"/>
          <w:b/>
          <w:bCs/>
          <w:sz w:val="32"/>
          <w:szCs w:val="32"/>
        </w:rPr>
      </w:pPr>
    </w:p>
    <w:p w:rsidR="00DA1185" w:rsidRDefault="00DA1185">
      <w:pPr>
        <w:adjustRightInd w:val="0"/>
        <w:snapToGrid w:val="0"/>
        <w:spacing w:line="580" w:lineRule="exact"/>
        <w:rPr>
          <w:rFonts w:ascii="楷体_GB2312" w:eastAsia="楷体_GB2312" w:hAnsi="Times New Roman" w:cs="DengXian-Bold"/>
          <w:b/>
          <w:bCs/>
          <w:sz w:val="32"/>
          <w:szCs w:val="32"/>
        </w:rPr>
      </w:pPr>
    </w:p>
    <w:p w:rsidR="00DA1185" w:rsidRDefault="00DA1185">
      <w:pPr>
        <w:adjustRightInd w:val="0"/>
        <w:snapToGrid w:val="0"/>
        <w:spacing w:line="580" w:lineRule="exact"/>
        <w:ind w:leftChars="200" w:left="420"/>
        <w:rPr>
          <w:rFonts w:ascii="楷体_GB2312" w:eastAsia="楷体_GB2312" w:hAnsi="Times New Roman" w:cs="DengXian-Bold"/>
          <w:b/>
          <w:bCs/>
          <w:sz w:val="32"/>
          <w:szCs w:val="32"/>
        </w:rPr>
      </w:pPr>
    </w:p>
    <w:p w:rsidR="00DA1185" w:rsidRDefault="00DA1185">
      <w:pPr>
        <w:adjustRightInd w:val="0"/>
        <w:snapToGrid w:val="0"/>
        <w:spacing w:line="580" w:lineRule="exact"/>
        <w:ind w:leftChars="200" w:left="420"/>
        <w:rPr>
          <w:rFonts w:ascii="楷体_GB2312" w:eastAsia="楷体_GB2312" w:hAnsi="Times New Roman" w:cs="DengXian-Bold"/>
          <w:b/>
          <w:bCs/>
          <w:sz w:val="32"/>
          <w:szCs w:val="32"/>
        </w:rPr>
      </w:pPr>
    </w:p>
    <w:p w:rsidR="00DA1185" w:rsidRDefault="00DA1185">
      <w:pPr>
        <w:adjustRightInd w:val="0"/>
        <w:snapToGrid w:val="0"/>
        <w:spacing w:line="580" w:lineRule="exact"/>
        <w:ind w:leftChars="200" w:left="420"/>
        <w:rPr>
          <w:rFonts w:ascii="楷体_GB2312" w:eastAsia="楷体_GB2312" w:hAnsi="Times New Roman" w:cs="DengXian-Bold"/>
          <w:b/>
          <w:bCs/>
          <w:sz w:val="32"/>
          <w:szCs w:val="32"/>
        </w:rPr>
      </w:pPr>
    </w:p>
    <w:p w:rsidR="00DA1185" w:rsidRDefault="00DA1185">
      <w:pPr>
        <w:adjustRightInd w:val="0"/>
        <w:snapToGrid w:val="0"/>
        <w:spacing w:line="580" w:lineRule="exact"/>
        <w:ind w:leftChars="200" w:left="420"/>
        <w:rPr>
          <w:rFonts w:ascii="楷体_GB2312" w:eastAsia="楷体_GB2312" w:hAnsi="Times New Roman" w:cs="DengXian-Bold"/>
          <w:b/>
          <w:bCs/>
          <w:sz w:val="32"/>
          <w:szCs w:val="32"/>
        </w:rPr>
      </w:pPr>
    </w:p>
    <w:p w:rsidR="00DA1185" w:rsidRDefault="00DA1185">
      <w:pPr>
        <w:adjustRightInd w:val="0"/>
        <w:snapToGrid w:val="0"/>
        <w:spacing w:line="580" w:lineRule="exact"/>
        <w:rPr>
          <w:rFonts w:ascii="楷体_GB2312" w:eastAsia="楷体_GB2312" w:hAnsi="Times New Roman" w:cs="DengXian-Bold"/>
          <w:b/>
          <w:bCs/>
          <w:sz w:val="32"/>
          <w:szCs w:val="32"/>
        </w:rPr>
      </w:pPr>
    </w:p>
    <w:p w:rsidR="00DA1185" w:rsidRDefault="006D574A">
      <w:p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（四）一般公共预算基本支出决算情况说明</w:t>
      </w:r>
    </w:p>
    <w:p w:rsidR="00DA1185" w:rsidRDefault="006D574A">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2019 年度财政拨款基本支出640.98万元，其中：人员经费 384.41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w:t>
      </w:r>
      <w:r>
        <w:rPr>
          <w:rFonts w:ascii="仿宋_GB2312" w:eastAsia="仿宋_GB2312" w:hAnsi="Times New Roman" w:cs="DengXian-Regular" w:hint="eastAsia"/>
          <w:sz w:val="32"/>
          <w:szCs w:val="32"/>
        </w:rPr>
        <w:lastRenderedPageBreak/>
        <w:t>补助支出；公用经费121.24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rsidR="00DA1185" w:rsidRDefault="006D574A">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五、一般公共预算“三公” 经费支出决算情况说明</w:t>
      </w:r>
    </w:p>
    <w:p w:rsidR="00DA1185" w:rsidRDefault="006D574A">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本部门2019年度“三公”经费支出共计10.19万元，完成预算的67.93%,</w:t>
      </w:r>
      <w:proofErr w:type="gramStart"/>
      <w:r>
        <w:rPr>
          <w:rFonts w:ascii="仿宋_GB2312" w:eastAsia="仿宋_GB2312" w:hAnsi="Times New Roman" w:cs="DengXian-Regular" w:hint="eastAsia"/>
          <w:sz w:val="32"/>
          <w:szCs w:val="32"/>
        </w:rPr>
        <w:t>较预算</w:t>
      </w:r>
      <w:proofErr w:type="gramEnd"/>
      <w:r>
        <w:rPr>
          <w:rFonts w:ascii="仿宋_GB2312" w:eastAsia="仿宋_GB2312" w:hAnsi="Times New Roman" w:cs="DengXian-Regular" w:hint="eastAsia"/>
          <w:sz w:val="32"/>
          <w:szCs w:val="32"/>
        </w:rPr>
        <w:t>减少4.81万元，降低32.07%，主要是厉行节约；较2018年度减少1.75万元，降低14.66%，主要是厉行节俭。具体情况如下：</w:t>
      </w:r>
    </w:p>
    <w:p w:rsidR="00DA1185" w:rsidRDefault="006D574A">
      <w:pPr>
        <w:numPr>
          <w:ilvl w:val="0"/>
          <w:numId w:val="1"/>
        </w:numPr>
        <w:adjustRightInd w:val="0"/>
        <w:snapToGrid w:val="0"/>
        <w:spacing w:line="580" w:lineRule="exact"/>
        <w:ind w:firstLineChars="200" w:firstLine="643"/>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因公出国（境）费支出0万元。</w:t>
      </w:r>
    </w:p>
    <w:p w:rsidR="00DA1185" w:rsidRDefault="006D574A">
      <w:pPr>
        <w:adjustRightInd w:val="0"/>
        <w:snapToGrid w:val="0"/>
        <w:spacing w:line="580" w:lineRule="exact"/>
        <w:rPr>
          <w:rFonts w:ascii="楷体_GB2312" w:eastAsia="楷体_GB2312" w:hAnsi="Times New Roman" w:cs="DengXian-Bold"/>
          <w:b/>
          <w:bCs/>
          <w:sz w:val="32"/>
          <w:szCs w:val="32"/>
        </w:rPr>
      </w:pPr>
      <w:r>
        <w:rPr>
          <w:rFonts w:ascii="仿宋_GB2312" w:eastAsia="仿宋_GB2312" w:hAnsi="Times New Roman" w:cs="DengXian-Regular" w:hint="eastAsia"/>
          <w:sz w:val="32"/>
          <w:szCs w:val="32"/>
        </w:rPr>
        <w:t>本部门2019年度因公出国（境）团组0个、共0人/参加其他单位组织的因公出国（境）团组0个、共0人/无</w:t>
      </w:r>
      <w:r w:rsidR="00B307BA">
        <w:rPr>
          <w:rFonts w:ascii="仿宋_GB2312" w:eastAsia="仿宋_GB2312" w:hAnsi="Times New Roman" w:cs="DengXian-Regular" w:hint="eastAsia"/>
          <w:sz w:val="32"/>
          <w:szCs w:val="32"/>
        </w:rPr>
        <w:t>本单位组织的出国（境）团组。因公出国（境）费支出</w:t>
      </w:r>
      <w:proofErr w:type="gramStart"/>
      <w:r w:rsidR="00B307BA">
        <w:rPr>
          <w:rFonts w:ascii="仿宋_GB2312" w:eastAsia="仿宋_GB2312" w:hAnsi="Times New Roman" w:cs="DengXian-Regular" w:hint="eastAsia"/>
          <w:sz w:val="32"/>
          <w:szCs w:val="32"/>
        </w:rPr>
        <w:t>较预算</w:t>
      </w:r>
      <w:proofErr w:type="gramEnd"/>
      <w:r w:rsidR="00B307BA">
        <w:rPr>
          <w:rFonts w:ascii="仿宋_GB2312" w:eastAsia="仿宋_GB2312" w:hAnsi="Times New Roman" w:cs="DengXian-Regular" w:hint="eastAsia"/>
          <w:sz w:val="32"/>
          <w:szCs w:val="32"/>
        </w:rPr>
        <w:t>持平；较2018</w:t>
      </w:r>
      <w:r>
        <w:rPr>
          <w:rFonts w:ascii="仿宋_GB2312" w:eastAsia="仿宋_GB2312" w:hAnsi="Times New Roman" w:cs="DengXian-Regular" w:hint="eastAsia"/>
          <w:sz w:val="32"/>
          <w:szCs w:val="32"/>
        </w:rPr>
        <w:t>年</w:t>
      </w:r>
      <w:r w:rsidR="00B307BA">
        <w:rPr>
          <w:rFonts w:ascii="仿宋_GB2312" w:eastAsia="仿宋_GB2312" w:hAnsi="Times New Roman" w:cs="DengXian-Regular" w:hint="eastAsia"/>
          <w:sz w:val="32"/>
          <w:szCs w:val="32"/>
        </w:rPr>
        <w:t>决算</w:t>
      </w:r>
      <w:r>
        <w:rPr>
          <w:rFonts w:ascii="仿宋_GB2312" w:eastAsia="仿宋_GB2312" w:hAnsi="Times New Roman" w:cs="DengXian-Regular" w:hint="eastAsia"/>
          <w:sz w:val="32"/>
          <w:szCs w:val="32"/>
        </w:rPr>
        <w:t>持平</w:t>
      </w:r>
      <w:r w:rsidR="00B307BA">
        <w:rPr>
          <w:rFonts w:ascii="仿宋_GB2312" w:eastAsia="仿宋_GB2312" w:hAnsi="Times New Roman" w:cs="DengXian-Regular" w:hint="eastAsia"/>
          <w:sz w:val="32"/>
          <w:szCs w:val="32"/>
        </w:rPr>
        <w:t>无增减变化</w:t>
      </w:r>
      <w:r>
        <w:rPr>
          <w:rFonts w:ascii="仿宋_GB2312" w:eastAsia="仿宋_GB2312" w:hAnsi="Times New Roman" w:cs="DengXian-Regular" w:hint="eastAsia"/>
          <w:sz w:val="32"/>
          <w:szCs w:val="32"/>
        </w:rPr>
        <w:t>。</w:t>
      </w:r>
    </w:p>
    <w:p w:rsidR="00DA1185" w:rsidRDefault="006D574A">
      <w:p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（二）公务用车购置及运行维护费支出10.19万元。其中公务用车购置费0元，公务用车运行费10.19万元。</w:t>
      </w:r>
      <w:r>
        <w:rPr>
          <w:rFonts w:ascii="仿宋_GB2312" w:eastAsia="仿宋_GB2312" w:hAnsi="Times New Roman" w:cs="DengXian-Regular" w:hint="eastAsia"/>
          <w:sz w:val="32"/>
          <w:szCs w:val="32"/>
        </w:rPr>
        <w:t>本部门2019年度公务用车购置及运行维护费</w:t>
      </w:r>
      <w:proofErr w:type="gramStart"/>
      <w:r>
        <w:rPr>
          <w:rFonts w:ascii="仿宋_GB2312" w:eastAsia="仿宋_GB2312" w:hAnsi="Times New Roman" w:cs="DengXian-Regular" w:hint="eastAsia"/>
          <w:sz w:val="32"/>
          <w:szCs w:val="32"/>
        </w:rPr>
        <w:t>较预算</w:t>
      </w:r>
      <w:proofErr w:type="gramEnd"/>
      <w:r>
        <w:rPr>
          <w:rFonts w:ascii="仿宋_GB2312" w:eastAsia="仿宋_GB2312" w:hAnsi="Times New Roman" w:cs="DengXian-Regular" w:hint="eastAsia"/>
          <w:sz w:val="32"/>
          <w:szCs w:val="32"/>
        </w:rPr>
        <w:t>减少4.81万元，降低32.07%,主要是厉行节约；较上年减少1.61万元，降低13.64%,主要是厉行节约。</w:t>
      </w:r>
    </w:p>
    <w:p w:rsidR="00B307BA" w:rsidRDefault="00B307BA" w:rsidP="00B307BA">
      <w:pPr>
        <w:adjustRightInd w:val="0"/>
        <w:snapToGrid w:val="0"/>
        <w:spacing w:line="580" w:lineRule="exact"/>
        <w:ind w:firstLineChars="200" w:firstLine="643"/>
        <w:rPr>
          <w:rFonts w:ascii="仿宋_GB2312" w:eastAsia="仿宋_GB2312" w:hAnsi="Times New Roman" w:cs="DengXian-Regular"/>
          <w:sz w:val="32"/>
          <w:szCs w:val="32"/>
        </w:rPr>
      </w:pPr>
      <w:r>
        <w:rPr>
          <w:rFonts w:ascii="仿宋_GB2312" w:eastAsia="仿宋_GB2312" w:hAnsi="Times New Roman" w:cs="DengXian-Regular" w:hint="eastAsia"/>
          <w:b/>
          <w:sz w:val="32"/>
          <w:szCs w:val="32"/>
        </w:rPr>
        <w:lastRenderedPageBreak/>
        <w:t>公务用车购置费：</w:t>
      </w:r>
      <w:r>
        <w:rPr>
          <w:rFonts w:ascii="仿宋_GB2312" w:eastAsia="仿宋_GB2312" w:hAnsi="Times New Roman" w:cs="DengXian-Regular" w:hint="eastAsia"/>
          <w:sz w:val="32"/>
          <w:szCs w:val="32"/>
        </w:rPr>
        <w:t>本部门2019年度公务用车购置量0辆，发生“公务用车购置”经费支出0万元。与预算持平，无增减变化；与2018年决算持平，无增减变化，</w:t>
      </w:r>
    </w:p>
    <w:p w:rsidR="00B307BA" w:rsidRDefault="00B307BA" w:rsidP="00B307BA">
      <w:pPr>
        <w:adjustRightInd w:val="0"/>
        <w:snapToGrid w:val="0"/>
        <w:spacing w:line="580" w:lineRule="exact"/>
        <w:ind w:firstLineChars="200" w:firstLine="643"/>
        <w:rPr>
          <w:rFonts w:ascii="仿宋_GB2312" w:eastAsia="仿宋_GB2312" w:hAnsi="Times New Roman" w:cs="DengXian-Regular"/>
          <w:sz w:val="32"/>
          <w:szCs w:val="32"/>
        </w:rPr>
      </w:pPr>
      <w:r>
        <w:rPr>
          <w:rFonts w:ascii="仿宋_GB2312" w:eastAsia="仿宋_GB2312" w:hAnsi="Times New Roman" w:cs="DengXian-Regular" w:hint="eastAsia"/>
          <w:b/>
          <w:sz w:val="32"/>
          <w:szCs w:val="32"/>
        </w:rPr>
        <w:t>公务用车运行维护费：</w:t>
      </w:r>
      <w:r>
        <w:rPr>
          <w:rFonts w:ascii="仿宋_GB2312" w:eastAsia="仿宋_GB2312" w:hAnsi="Times New Roman" w:cs="DengXian-Regular" w:hint="eastAsia"/>
          <w:sz w:val="32"/>
          <w:szCs w:val="32"/>
        </w:rPr>
        <w:t>本部门2019年度单位公务用车保有量5辆。公车运行维护费支出</w:t>
      </w:r>
      <w:proofErr w:type="gramStart"/>
      <w:r>
        <w:rPr>
          <w:rFonts w:ascii="仿宋_GB2312" w:eastAsia="仿宋_GB2312" w:hAnsi="Times New Roman" w:cs="DengXian-Regular" w:hint="eastAsia"/>
          <w:sz w:val="32"/>
          <w:szCs w:val="32"/>
        </w:rPr>
        <w:t>较预算</w:t>
      </w:r>
      <w:proofErr w:type="gramEnd"/>
      <w:r>
        <w:rPr>
          <w:rFonts w:ascii="仿宋_GB2312" w:eastAsia="仿宋_GB2312" w:hAnsi="Times New Roman" w:cs="DengXian-Regular" w:hint="eastAsia"/>
          <w:sz w:val="32"/>
          <w:szCs w:val="32"/>
        </w:rPr>
        <w:t>减少5.82万元，降低36.37%,主要是</w:t>
      </w:r>
      <w:r>
        <w:rPr>
          <w:rFonts w:ascii="仿宋_GB2312" w:eastAsia="仿宋_GB2312" w:cs="DengXian-Regular" w:hint="eastAsia"/>
          <w:sz w:val="32"/>
          <w:szCs w:val="32"/>
        </w:rPr>
        <w:t>严控公务用车支出</w:t>
      </w:r>
      <w:r w:rsidR="0053726A">
        <w:rPr>
          <w:rFonts w:ascii="仿宋_GB2312" w:eastAsia="仿宋_GB2312" w:hAnsi="Times New Roman" w:cs="DengXian-Regular" w:hint="eastAsia"/>
          <w:sz w:val="32"/>
          <w:szCs w:val="32"/>
        </w:rPr>
        <w:t>；较2018</w:t>
      </w:r>
      <w:r>
        <w:rPr>
          <w:rFonts w:ascii="仿宋_GB2312" w:eastAsia="仿宋_GB2312" w:hAnsi="Times New Roman" w:cs="DengXian-Regular" w:hint="eastAsia"/>
          <w:sz w:val="32"/>
          <w:szCs w:val="32"/>
        </w:rPr>
        <w:t>年</w:t>
      </w:r>
      <w:r w:rsidR="0053726A">
        <w:rPr>
          <w:rFonts w:ascii="仿宋_GB2312" w:eastAsia="仿宋_GB2312" w:hAnsi="Times New Roman" w:cs="DengXian-Regular" w:hint="eastAsia"/>
          <w:sz w:val="32"/>
          <w:szCs w:val="32"/>
        </w:rPr>
        <w:t>决算</w:t>
      </w:r>
      <w:r>
        <w:rPr>
          <w:rFonts w:ascii="仿宋_GB2312" w:eastAsia="仿宋_GB2312" w:hAnsi="Times New Roman" w:cs="DengXian-Regular" w:hint="eastAsia"/>
          <w:sz w:val="32"/>
          <w:szCs w:val="32"/>
        </w:rPr>
        <w:t>减少1.62万元，</w:t>
      </w:r>
      <w:r w:rsidR="00DB17CD">
        <w:rPr>
          <w:rFonts w:ascii="仿宋_GB2312" w:eastAsia="仿宋_GB2312" w:hAnsi="Times New Roman" w:cs="DengXian-Regular" w:hint="eastAsia"/>
          <w:sz w:val="32"/>
          <w:szCs w:val="32"/>
        </w:rPr>
        <w:t>下降</w:t>
      </w:r>
      <w:r>
        <w:rPr>
          <w:rFonts w:ascii="仿宋_GB2312" w:eastAsia="仿宋_GB2312" w:hAnsi="Times New Roman" w:cs="DengXian-Regular" w:hint="eastAsia"/>
          <w:sz w:val="32"/>
          <w:szCs w:val="32"/>
        </w:rPr>
        <w:t>3.73%,主要是尽量减少公务用车行为。</w:t>
      </w:r>
    </w:p>
    <w:p w:rsidR="00B307BA" w:rsidRPr="00B307BA" w:rsidRDefault="00B307BA" w:rsidP="00B307BA">
      <w:pPr>
        <w:adjustRightInd w:val="0"/>
        <w:snapToGrid w:val="0"/>
        <w:spacing w:line="580" w:lineRule="exact"/>
        <w:ind w:firstLineChars="200" w:firstLine="640"/>
        <w:rPr>
          <w:rFonts w:ascii="仿宋_GB2312" w:eastAsia="仿宋_GB2312" w:hAnsi="Times New Roman" w:cs="DengXian-Regular"/>
          <w:color w:val="FF0000"/>
          <w:sz w:val="32"/>
          <w:szCs w:val="32"/>
        </w:rPr>
      </w:pPr>
    </w:p>
    <w:p w:rsidR="00DA1185" w:rsidRDefault="006D574A">
      <w:pPr>
        <w:adjustRightInd w:val="0"/>
        <w:snapToGrid w:val="0"/>
        <w:spacing w:line="580" w:lineRule="exact"/>
        <w:ind w:firstLineChars="200" w:firstLine="643"/>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（三）公务接待费支出0万元。</w:t>
      </w:r>
    </w:p>
    <w:p w:rsidR="00B307BA" w:rsidRDefault="006D574A" w:rsidP="00B307BA">
      <w:pPr>
        <w:adjustRightInd w:val="0"/>
        <w:snapToGrid w:val="0"/>
        <w:spacing w:line="580" w:lineRule="exact"/>
        <w:rPr>
          <w:rFonts w:ascii="楷体_GB2312" w:eastAsia="楷体_GB2312" w:hAnsi="Times New Roman" w:cs="DengXian-Bold"/>
          <w:b/>
          <w:bCs/>
          <w:sz w:val="32"/>
          <w:szCs w:val="32"/>
        </w:rPr>
      </w:pPr>
      <w:r>
        <w:rPr>
          <w:rFonts w:ascii="仿宋_GB2312" w:eastAsia="仿宋_GB2312" w:hAnsi="Times New Roman" w:cs="DengXian-Regular" w:hint="eastAsia"/>
          <w:sz w:val="32"/>
          <w:szCs w:val="32"/>
        </w:rPr>
        <w:t>本部门2019年度公务接待共0批次、0人次。</w:t>
      </w:r>
      <w:r>
        <w:rPr>
          <w:rFonts w:ascii="仿宋_GB2312" w:eastAsia="仿宋_GB2312" w:cs="DengXian-Regular" w:hint="eastAsia"/>
          <w:sz w:val="32"/>
          <w:szCs w:val="32"/>
        </w:rPr>
        <w:t>公务接待费支出</w:t>
      </w:r>
      <w:proofErr w:type="gramStart"/>
      <w:r>
        <w:rPr>
          <w:rFonts w:ascii="仿宋_GB2312" w:eastAsia="仿宋_GB2312" w:cs="DengXian-Regular" w:hint="eastAsia"/>
          <w:sz w:val="32"/>
          <w:szCs w:val="32"/>
        </w:rPr>
        <w:t>较预算</w:t>
      </w:r>
      <w:proofErr w:type="gramEnd"/>
      <w:r w:rsidR="005E670E">
        <w:rPr>
          <w:rFonts w:ascii="仿宋_GB2312" w:eastAsia="仿宋_GB2312" w:cs="DengXian-Regular" w:hint="eastAsia"/>
          <w:sz w:val="32"/>
          <w:szCs w:val="32"/>
        </w:rPr>
        <w:t>减少0.2万元，主要是在预算执行过程中无发生公务接待行为</w:t>
      </w:r>
      <w:r>
        <w:rPr>
          <w:rFonts w:ascii="仿宋_GB2312" w:eastAsia="仿宋_GB2312" w:cs="DengXian-Regular" w:hint="eastAsia"/>
          <w:sz w:val="32"/>
          <w:szCs w:val="32"/>
        </w:rPr>
        <w:t>无增减变化。</w:t>
      </w:r>
      <w:r w:rsidR="00B307BA">
        <w:rPr>
          <w:rFonts w:ascii="仿宋_GB2312" w:eastAsia="仿宋_GB2312" w:hAnsi="Times New Roman" w:cs="DengXian-Regular" w:hint="eastAsia"/>
          <w:sz w:val="32"/>
          <w:szCs w:val="32"/>
        </w:rPr>
        <w:t>较2018年决算</w:t>
      </w:r>
      <w:r w:rsidR="005E670E">
        <w:rPr>
          <w:rFonts w:ascii="仿宋_GB2312" w:eastAsia="仿宋_GB2312" w:hAnsi="Times New Roman" w:cs="DengXian-Regular" w:hint="eastAsia"/>
          <w:sz w:val="32"/>
          <w:szCs w:val="32"/>
        </w:rPr>
        <w:t>减少0.14万元，主要是今年未发生公务接待。</w:t>
      </w:r>
    </w:p>
    <w:p w:rsidR="00DA1185" w:rsidRPr="00B307BA" w:rsidRDefault="00DA1185" w:rsidP="00B307BA">
      <w:pPr>
        <w:adjustRightInd w:val="0"/>
        <w:snapToGrid w:val="0"/>
        <w:spacing w:line="580" w:lineRule="exact"/>
        <w:ind w:firstLineChars="200" w:firstLine="643"/>
        <w:rPr>
          <w:rFonts w:ascii="楷体_GB2312" w:eastAsia="楷体_GB2312" w:hAnsi="Times New Roman" w:cs="DengXian-Bold"/>
          <w:b/>
          <w:bCs/>
          <w:sz w:val="32"/>
          <w:szCs w:val="32"/>
        </w:rPr>
      </w:pPr>
    </w:p>
    <w:p w:rsidR="00DA1185" w:rsidRDefault="006D574A">
      <w:pPr>
        <w:adjustRightInd w:val="0"/>
        <w:snapToGrid w:val="0"/>
        <w:spacing w:line="580" w:lineRule="exact"/>
        <w:ind w:firstLineChars="200" w:firstLine="640"/>
        <w:rPr>
          <w:rFonts w:ascii="黑体" w:eastAsia="黑体" w:hAnsi="Times New Roman" w:cs="Times New Roman"/>
          <w:sz w:val="32"/>
          <w:szCs w:val="40"/>
        </w:rPr>
      </w:pPr>
      <w:r>
        <w:rPr>
          <w:rFonts w:ascii="黑体" w:eastAsia="黑体" w:hAnsi="Times New Roman" w:cs="Times New Roman" w:hint="eastAsia"/>
          <w:sz w:val="32"/>
          <w:szCs w:val="40"/>
        </w:rPr>
        <w:t>六、预算绩效情况说明</w:t>
      </w:r>
    </w:p>
    <w:p w:rsidR="00DA1185" w:rsidRDefault="006D574A">
      <w:pPr>
        <w:adjustRightInd w:val="0"/>
        <w:snapToGrid w:val="0"/>
        <w:spacing w:line="580"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1. 预算绩效管理工作开展情况。</w:t>
      </w:r>
    </w:p>
    <w:p w:rsidR="00DA1185" w:rsidRDefault="006D574A">
      <w:pPr>
        <w:adjustRightInd w:val="0"/>
        <w:snapToGrid w:val="0"/>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根据预算绩效管理要求，本部门组织对2019年度一般公共预算项目支出全面开展绩效自评，其中二级项目10个，共涉及资金135.33万元，占一般公共预算项目支出总额的100%。本单位认真开展了预算绩效管理改革开展情况自查，对部门全面规范绩效预算编制、严格执行预算管理、推进绩效评价工作、推进预决算信息公开等方面进行了自评。</w:t>
      </w:r>
    </w:p>
    <w:p w:rsidR="00DA1185" w:rsidRDefault="006D574A">
      <w:pPr>
        <w:adjustRightInd w:val="0"/>
        <w:snapToGrid w:val="0"/>
        <w:spacing w:line="580" w:lineRule="exact"/>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2. 部门决算</w:t>
      </w:r>
      <w:proofErr w:type="gramStart"/>
      <w:r>
        <w:rPr>
          <w:rFonts w:ascii="仿宋_GB2312" w:eastAsia="仿宋_GB2312" w:hAnsi="仿宋_GB2312" w:cs="仿宋_GB2312" w:hint="eastAsia"/>
          <w:b/>
          <w:bCs/>
          <w:sz w:val="32"/>
          <w:szCs w:val="32"/>
        </w:rPr>
        <w:t>中项目</w:t>
      </w:r>
      <w:proofErr w:type="gramEnd"/>
      <w:r>
        <w:rPr>
          <w:rFonts w:ascii="仿宋_GB2312" w:eastAsia="仿宋_GB2312" w:hAnsi="仿宋_GB2312" w:cs="仿宋_GB2312" w:hint="eastAsia"/>
          <w:b/>
          <w:bCs/>
          <w:sz w:val="32"/>
          <w:szCs w:val="32"/>
        </w:rPr>
        <w:t>绩效自评结果。</w:t>
      </w:r>
    </w:p>
    <w:p w:rsidR="00DA1185" w:rsidRDefault="006D574A">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本部门在今年部门决算公开中反映对县委机要局2019年度</w:t>
      </w:r>
      <w:r>
        <w:rPr>
          <w:rFonts w:ascii="仿宋_GB2312" w:eastAsia="仿宋_GB2312" w:hAnsi="仿宋_GB2312" w:cs="仿宋_GB2312" w:hint="eastAsia"/>
          <w:sz w:val="32"/>
          <w:szCs w:val="32"/>
        </w:rPr>
        <w:lastRenderedPageBreak/>
        <w:t>密码渠道和电子政务</w:t>
      </w:r>
      <w:proofErr w:type="gramStart"/>
      <w:r>
        <w:rPr>
          <w:rFonts w:ascii="仿宋_GB2312" w:eastAsia="仿宋_GB2312" w:hAnsi="仿宋_GB2312" w:cs="仿宋_GB2312" w:hint="eastAsia"/>
          <w:sz w:val="32"/>
          <w:szCs w:val="32"/>
        </w:rPr>
        <w:t>内网运维</w:t>
      </w:r>
      <w:proofErr w:type="gramEnd"/>
      <w:r>
        <w:rPr>
          <w:rFonts w:ascii="仿宋_GB2312" w:eastAsia="仿宋_GB2312" w:hAnsi="仿宋_GB2312" w:cs="仿宋_GB2312" w:hint="eastAsia"/>
          <w:sz w:val="32"/>
          <w:szCs w:val="32"/>
        </w:rPr>
        <w:t>费、全市传统行业转型升级现场会议经费、无极县地方志年鉴印刷费、无极县县志原本修改专项经费、无极县机关效能办公室工作专项经费、县委机要局电话二级网延伸过程专项经费、2019年县委办党史编纂经费这7个项目绩效自评结果。</w:t>
      </w:r>
    </w:p>
    <w:p w:rsidR="00DA1185" w:rsidRDefault="006D574A">
      <w:pPr>
        <w:numPr>
          <w:ilvl w:val="0"/>
          <w:numId w:val="2"/>
        </w:num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县委机要局2019年度密码渠道和电子政务</w:t>
      </w:r>
      <w:proofErr w:type="gramStart"/>
      <w:r>
        <w:rPr>
          <w:rFonts w:ascii="仿宋_GB2312" w:eastAsia="仿宋_GB2312" w:hAnsi="仿宋_GB2312" w:cs="仿宋_GB2312" w:hint="eastAsia"/>
          <w:sz w:val="32"/>
          <w:szCs w:val="32"/>
        </w:rPr>
        <w:t>内网运维</w:t>
      </w:r>
      <w:proofErr w:type="gramEnd"/>
      <w:r>
        <w:rPr>
          <w:rFonts w:ascii="仿宋_GB2312" w:eastAsia="仿宋_GB2312" w:hAnsi="仿宋_GB2312" w:cs="仿宋_GB2312" w:hint="eastAsia"/>
          <w:sz w:val="32"/>
          <w:szCs w:val="32"/>
        </w:rPr>
        <w:t>费项目自评综述：根据年初设定的绩效目标，县委机要局2019年度密码渠道和电子政务</w:t>
      </w:r>
      <w:proofErr w:type="gramStart"/>
      <w:r>
        <w:rPr>
          <w:rFonts w:ascii="仿宋_GB2312" w:eastAsia="仿宋_GB2312" w:hAnsi="仿宋_GB2312" w:cs="仿宋_GB2312" w:hint="eastAsia"/>
          <w:sz w:val="32"/>
          <w:szCs w:val="32"/>
        </w:rPr>
        <w:t>内网运维</w:t>
      </w:r>
      <w:proofErr w:type="gramEnd"/>
      <w:r>
        <w:rPr>
          <w:rFonts w:ascii="仿宋_GB2312" w:eastAsia="仿宋_GB2312" w:hAnsi="仿宋_GB2312" w:cs="仿宋_GB2312" w:hint="eastAsia"/>
          <w:sz w:val="32"/>
          <w:szCs w:val="32"/>
        </w:rPr>
        <w:t>费项目绩效自评得分为97分（绩效自评表附后）。共投入资金16.07万，使用24.8万元项目绩效目标完成情况：密码通讯主渠道网络和电子政务内网要严格物理隔离，机房要分开设置，核心设备、网络终端及配套严禁混用。</w:t>
      </w:r>
    </w:p>
    <w:p w:rsidR="00DA1185" w:rsidRDefault="006D574A">
      <w:pPr>
        <w:numPr>
          <w:ilvl w:val="0"/>
          <w:numId w:val="2"/>
        </w:num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全市传统行业转型升级现场会议经费项目自评综述：根据年初设定的绩效目标，由县委办牵头了大量会务协调工作，确保了会议的圆满召开。绩效自评得分为98分（绩效自评表附后）。已使用23.68万元，项目预期绩效目标：确保了会议的圆满召开。</w:t>
      </w:r>
    </w:p>
    <w:p w:rsidR="00DA1185" w:rsidRDefault="006D574A">
      <w:pPr>
        <w:adjustRightInd w:val="0"/>
        <w:snapToGrid w:val="0"/>
        <w:spacing w:line="58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（3）无极县地方志年鉴印刷费项目自评综述：按要求，按标准2018卷.2019卷年鉴，</w:t>
      </w:r>
      <w:proofErr w:type="gramStart"/>
      <w:r>
        <w:rPr>
          <w:rFonts w:ascii="仿宋_GB2312" w:eastAsia="仿宋_GB2312" w:hAnsi="仿宋_GB2312" w:cs="仿宋_GB2312" w:hint="eastAsia"/>
          <w:sz w:val="32"/>
          <w:szCs w:val="32"/>
        </w:rPr>
        <w:t>完善汇</w:t>
      </w:r>
      <w:proofErr w:type="gramEnd"/>
      <w:r>
        <w:rPr>
          <w:rFonts w:ascii="仿宋_GB2312" w:eastAsia="仿宋_GB2312" w:hAnsi="仿宋_GB2312" w:cs="仿宋_GB2312" w:hint="eastAsia"/>
          <w:sz w:val="32"/>
          <w:szCs w:val="32"/>
        </w:rPr>
        <w:t>辑，2020年是全国地方志系统决胜完成“两全目标”目标之年。自评得分为99分（绩效自评表附后）本年度资金支出9.59万元。绩效目标完成情况：（即到2020年，全面完成第二轮修</w:t>
      </w:r>
      <w:proofErr w:type="gramStart"/>
      <w:r>
        <w:rPr>
          <w:rFonts w:ascii="仿宋_GB2312" w:eastAsia="仿宋_GB2312" w:hAnsi="仿宋_GB2312" w:cs="仿宋_GB2312" w:hint="eastAsia"/>
          <w:sz w:val="32"/>
          <w:szCs w:val="32"/>
        </w:rPr>
        <w:t>志规划</w:t>
      </w:r>
      <w:proofErr w:type="gramEnd"/>
      <w:r>
        <w:rPr>
          <w:rFonts w:ascii="仿宋_GB2312" w:eastAsia="仿宋_GB2312" w:hAnsi="仿宋_GB2312" w:cs="仿宋_GB2312" w:hint="eastAsia"/>
          <w:sz w:val="32"/>
          <w:szCs w:val="32"/>
        </w:rPr>
        <w:t>任务，实现省、市、县三</w:t>
      </w:r>
      <w:r>
        <w:rPr>
          <w:rFonts w:ascii="仿宋_GB2312" w:eastAsia="仿宋_GB2312" w:hAnsi="仿宋_GB2312" w:cs="仿宋_GB2312" w:hint="eastAsia"/>
          <w:sz w:val="32"/>
          <w:szCs w:val="32"/>
        </w:rPr>
        <w:lastRenderedPageBreak/>
        <w:t>级综合年鉴全覆盖）。</w:t>
      </w:r>
    </w:p>
    <w:p w:rsidR="00DA1185" w:rsidRDefault="006D574A">
      <w:pPr>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4）无极县县志原本修改专项经费项目自评综述：县志是我国文化遗产的重要组成部分，也是古代文化发展特有的现象，为永续传承和利用《无极县志》旧志现提出修改专项方案，根据年初设定的绩效目标，项目绩效自评得分为95分（绩效自评表附后）。已使用43.68万。项目绩效目标完成情况：为永续传承和利用《无极县志》旧治，依据现代出版方式，重新编排、排版、印刷，方便大众阅读，让无极旧志走入寻常百姓家。</w:t>
      </w:r>
    </w:p>
    <w:p w:rsidR="00DA1185" w:rsidRDefault="006D574A">
      <w:pPr>
        <w:numPr>
          <w:ilvl w:val="0"/>
          <w:numId w:val="3"/>
        </w:numPr>
        <w:ind w:leftChars="200" w:left="420"/>
        <w:rPr>
          <w:rFonts w:ascii="仿宋_GB2312" w:eastAsia="仿宋_GB2312" w:hAnsi="仿宋_GB2312" w:cs="仿宋_GB2312"/>
          <w:sz w:val="32"/>
          <w:szCs w:val="32"/>
        </w:rPr>
      </w:pPr>
      <w:r>
        <w:rPr>
          <w:rFonts w:ascii="宋体" w:eastAsia="宋体" w:hAnsi="宋体" w:cs="宋体" w:hint="eastAsia"/>
          <w:color w:val="000000"/>
          <w:sz w:val="28"/>
          <w:szCs w:val="28"/>
        </w:rPr>
        <w:t>无极县机关效能办公室工作专项</w:t>
      </w:r>
      <w:r>
        <w:rPr>
          <w:rFonts w:ascii="仿宋_GB2312" w:eastAsia="仿宋_GB2312" w:hAnsi="仿宋_GB2312" w:cs="仿宋_GB2312" w:hint="eastAsia"/>
          <w:sz w:val="32"/>
          <w:szCs w:val="32"/>
        </w:rPr>
        <w:t>经费项目自评综述：项目绩效自评得分为99分（绩效自评表附后）已使用3.87万目绩效目标完成情况：进一步提升基础建设承载力、创新发展、绿色发展。</w:t>
      </w:r>
    </w:p>
    <w:p w:rsidR="00DA1185" w:rsidRDefault="006D574A">
      <w:pPr>
        <w:numPr>
          <w:ilvl w:val="0"/>
          <w:numId w:val="3"/>
        </w:numPr>
        <w:ind w:leftChars="200" w:left="420"/>
        <w:rPr>
          <w:rFonts w:ascii="宋体" w:eastAsia="宋体" w:hAnsi="宋体" w:cs="宋体"/>
          <w:color w:val="000000"/>
          <w:sz w:val="28"/>
          <w:szCs w:val="28"/>
        </w:rPr>
      </w:pPr>
      <w:r>
        <w:rPr>
          <w:rFonts w:ascii="仿宋_GB2312" w:eastAsia="仿宋_GB2312" w:hAnsi="仿宋_GB2312" w:cs="仿宋_GB2312" w:hint="eastAsia"/>
          <w:sz w:val="32"/>
          <w:szCs w:val="32"/>
        </w:rPr>
        <w:t>县委机要局电话二级网延伸过程专项经费项目自评综述：项目绩效自评得分为98分（绩效自评表附后），共投入资金12万，项目预期绩效目标：</w:t>
      </w:r>
      <w:proofErr w:type="gramStart"/>
      <w:r>
        <w:rPr>
          <w:rFonts w:ascii="仿宋_GB2312" w:eastAsia="仿宋_GB2312" w:hAnsi="仿宋_GB2312" w:cs="仿宋_GB2312" w:hint="eastAsia"/>
          <w:sz w:val="32"/>
          <w:szCs w:val="32"/>
        </w:rPr>
        <w:t>冀办密传</w:t>
      </w:r>
      <w:proofErr w:type="gramEnd"/>
      <w:r>
        <w:rPr>
          <w:rFonts w:ascii="仿宋_GB2312" w:eastAsia="仿宋_GB2312" w:hAnsi="仿宋_GB2312" w:cs="仿宋_GB2312" w:hint="eastAsia"/>
          <w:sz w:val="32"/>
          <w:szCs w:val="32"/>
        </w:rPr>
        <w:t>（2018）60号要求，各县</w:t>
      </w:r>
      <w:proofErr w:type="gramStart"/>
      <w:r>
        <w:rPr>
          <w:rFonts w:ascii="仿宋_GB2312" w:eastAsia="仿宋_GB2312" w:hAnsi="仿宋_GB2312" w:cs="仿宋_GB2312" w:hint="eastAsia"/>
          <w:sz w:val="32"/>
          <w:szCs w:val="32"/>
        </w:rPr>
        <w:t>将红机电话</w:t>
      </w:r>
      <w:proofErr w:type="gramEnd"/>
      <w:r>
        <w:rPr>
          <w:rFonts w:ascii="仿宋_GB2312" w:eastAsia="仿宋_GB2312" w:hAnsi="仿宋_GB2312" w:cs="仿宋_GB2312" w:hint="eastAsia"/>
          <w:sz w:val="32"/>
          <w:szCs w:val="32"/>
        </w:rPr>
        <w:t>二级网延伸工作作为一项重要政治改革，县</w:t>
      </w:r>
      <w:r>
        <w:rPr>
          <w:rFonts w:ascii="仿宋_GB2312" w:eastAsia="仿宋_GB2312" w:hAnsi="仿宋_GB2312" w:cs="仿宋_GB2312" w:hint="eastAsia"/>
          <w:sz w:val="32"/>
          <w:szCs w:val="32"/>
        </w:rPr>
        <w:lastRenderedPageBreak/>
        <w:t>级各项建设由各县统一组织。</w:t>
      </w:r>
    </w:p>
    <w:p w:rsidR="00DA1185" w:rsidRDefault="006D574A">
      <w:pPr>
        <w:ind w:leftChars="200" w:left="420"/>
        <w:rPr>
          <w:rFonts w:ascii="仿宋_GB2312" w:eastAsia="仿宋_GB2312" w:hAnsi="仿宋_GB2312" w:cs="仿宋_GB2312"/>
          <w:sz w:val="32"/>
          <w:szCs w:val="32"/>
        </w:rPr>
      </w:pPr>
      <w:r>
        <w:rPr>
          <w:rFonts w:ascii="仿宋_GB2312" w:eastAsia="仿宋_GB2312" w:hAnsi="仿宋_GB2312" w:cs="仿宋_GB2312" w:hint="eastAsia"/>
          <w:sz w:val="32"/>
          <w:szCs w:val="32"/>
        </w:rPr>
        <w:t>（7）2019年县委办党史编纂经费项目自评综述：项目绩效自评得分为98分（绩效自评表附后）已使用17.7万元，项目预期绩效目标：撰写中国共产党无极县历史一卷本（1921-1949）和二卷本（1949-1978）完整反应改革开放以前我县党的历史各项成就。</w:t>
      </w:r>
    </w:p>
    <w:p w:rsidR="00DA1185" w:rsidRDefault="00DA1185">
      <w:pPr>
        <w:rPr>
          <w:rFonts w:ascii="仿宋_GB2312" w:eastAsia="仿宋_GB2312" w:hAnsi="仿宋_GB2312" w:cs="仿宋_GB2312"/>
          <w:sz w:val="32"/>
          <w:szCs w:val="32"/>
        </w:rPr>
      </w:pPr>
    </w:p>
    <w:p w:rsidR="00DA1185" w:rsidRDefault="00DA1185">
      <w:pPr>
        <w:ind w:leftChars="200" w:left="420"/>
        <w:rPr>
          <w:rFonts w:ascii="仿宋_GB2312" w:eastAsia="仿宋_GB2312" w:hAnsi="仿宋_GB2312" w:cs="仿宋_GB2312"/>
          <w:sz w:val="32"/>
          <w:szCs w:val="32"/>
        </w:rPr>
      </w:pPr>
    </w:p>
    <w:p w:rsidR="00DA1185" w:rsidRDefault="00DA1185">
      <w:pPr>
        <w:adjustRightInd w:val="0"/>
        <w:snapToGrid w:val="0"/>
        <w:spacing w:line="580" w:lineRule="exact"/>
        <w:rPr>
          <w:rFonts w:ascii="仿宋_GB2312" w:eastAsia="仿宋_GB2312" w:hAnsi="仿宋_GB2312" w:cs="仿宋_GB2312"/>
          <w:sz w:val="32"/>
          <w:szCs w:val="32"/>
        </w:rPr>
      </w:pPr>
    </w:p>
    <w:p w:rsidR="00DA1185" w:rsidRDefault="00DA1185">
      <w:pPr>
        <w:keepNext/>
        <w:keepLines/>
        <w:snapToGrid w:val="0"/>
        <w:spacing w:line="580" w:lineRule="exact"/>
        <w:outlineLvl w:val="1"/>
        <w:rPr>
          <w:rFonts w:ascii="仿宋_GB2312" w:eastAsia="仿宋_GB2312" w:hAnsi="仿宋_GB2312" w:cs="仿宋_GB2312"/>
          <w:b/>
          <w:bCs/>
          <w:sz w:val="32"/>
          <w:szCs w:val="32"/>
        </w:rPr>
      </w:pPr>
    </w:p>
    <w:tbl>
      <w:tblPr>
        <w:tblW w:w="9080" w:type="dxa"/>
        <w:jc w:val="center"/>
        <w:tblLayout w:type="fixed"/>
        <w:tblLook w:val="04A0" w:firstRow="1" w:lastRow="0" w:firstColumn="1" w:lastColumn="0" w:noHBand="0" w:noVBand="1"/>
      </w:tblPr>
      <w:tblGrid>
        <w:gridCol w:w="588"/>
        <w:gridCol w:w="980"/>
        <w:gridCol w:w="1112"/>
        <w:gridCol w:w="730"/>
        <w:gridCol w:w="1134"/>
        <w:gridCol w:w="284"/>
        <w:gridCol w:w="850"/>
        <w:gridCol w:w="851"/>
        <w:gridCol w:w="283"/>
        <w:gridCol w:w="284"/>
        <w:gridCol w:w="425"/>
        <w:gridCol w:w="142"/>
        <w:gridCol w:w="709"/>
        <w:gridCol w:w="708"/>
      </w:tblGrid>
      <w:tr w:rsidR="00DA1185">
        <w:trPr>
          <w:trHeight w:hRule="exact" w:val="454"/>
          <w:jc w:val="center"/>
        </w:trPr>
        <w:tc>
          <w:tcPr>
            <w:tcW w:w="9080" w:type="dxa"/>
            <w:gridSpan w:val="14"/>
            <w:tcBorders>
              <w:top w:val="nil"/>
              <w:left w:val="nil"/>
              <w:bottom w:val="nil"/>
              <w:right w:val="nil"/>
            </w:tcBorders>
            <w:vAlign w:val="center"/>
          </w:tcPr>
          <w:p w:rsidR="00DA1185" w:rsidRDefault="006D574A">
            <w:pPr>
              <w:widowControl/>
              <w:spacing w:line="320" w:lineRule="exact"/>
              <w:jc w:val="center"/>
              <w:rPr>
                <w:rFonts w:ascii="宋体" w:hAnsi="宋体" w:cs="宋体"/>
                <w:b/>
                <w:bCs/>
                <w:kern w:val="0"/>
                <w:sz w:val="32"/>
                <w:szCs w:val="32"/>
              </w:rPr>
            </w:pPr>
            <w:r>
              <w:rPr>
                <w:rFonts w:ascii="宋体" w:hAnsi="宋体" w:cs="宋体" w:hint="eastAsia"/>
                <w:b/>
                <w:bCs/>
                <w:kern w:val="0"/>
                <w:sz w:val="32"/>
                <w:szCs w:val="32"/>
              </w:rPr>
              <w:t>项目支出绩效自评表</w:t>
            </w:r>
          </w:p>
        </w:tc>
      </w:tr>
      <w:tr w:rsidR="00DA1185">
        <w:trPr>
          <w:trHeight w:val="201"/>
          <w:jc w:val="center"/>
        </w:trPr>
        <w:tc>
          <w:tcPr>
            <w:tcW w:w="9080" w:type="dxa"/>
            <w:gridSpan w:val="14"/>
            <w:tcBorders>
              <w:top w:val="nil"/>
              <w:left w:val="nil"/>
              <w:bottom w:val="nil"/>
              <w:right w:val="nil"/>
            </w:tcBorders>
          </w:tcPr>
          <w:p w:rsidR="00DA1185" w:rsidRDefault="006D574A">
            <w:pPr>
              <w:widowControl/>
              <w:jc w:val="center"/>
              <w:rPr>
                <w:rFonts w:ascii="宋体" w:hAnsi="宋体" w:cs="宋体"/>
                <w:kern w:val="0"/>
                <w:sz w:val="22"/>
              </w:rPr>
            </w:pPr>
            <w:r>
              <w:rPr>
                <w:rFonts w:ascii="宋体" w:hAnsi="宋体" w:cs="宋体" w:hint="eastAsia"/>
                <w:kern w:val="0"/>
                <w:sz w:val="22"/>
              </w:rPr>
              <w:t>（</w:t>
            </w:r>
            <w:r>
              <w:rPr>
                <w:rFonts w:ascii="宋体" w:hAnsi="宋体" w:cs="宋体" w:hint="eastAsia"/>
                <w:kern w:val="0"/>
                <w:sz w:val="22"/>
              </w:rPr>
              <w:t xml:space="preserve"> 2019   </w:t>
            </w:r>
            <w:r>
              <w:rPr>
                <w:rFonts w:ascii="宋体" w:hAnsi="宋体" w:cs="宋体" w:hint="eastAsia"/>
                <w:kern w:val="0"/>
                <w:sz w:val="22"/>
              </w:rPr>
              <w:t>年度）</w:t>
            </w:r>
          </w:p>
        </w:tc>
      </w:tr>
      <w:tr w:rsidR="00DA1185">
        <w:trPr>
          <w:trHeight w:hRule="exact" w:val="300"/>
          <w:jc w:val="center"/>
        </w:trPr>
        <w:tc>
          <w:tcPr>
            <w:tcW w:w="1568" w:type="dxa"/>
            <w:gridSpan w:val="2"/>
            <w:tcBorders>
              <w:top w:val="single" w:sz="4" w:space="0" w:color="auto"/>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项目名称</w:t>
            </w:r>
          </w:p>
        </w:tc>
        <w:tc>
          <w:tcPr>
            <w:tcW w:w="7512" w:type="dxa"/>
            <w:gridSpan w:val="12"/>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县委机要局</w:t>
            </w:r>
            <w:r>
              <w:rPr>
                <w:rFonts w:ascii="宋体" w:hAnsi="宋体" w:cs="宋体" w:hint="eastAsia"/>
                <w:kern w:val="0"/>
                <w:sz w:val="18"/>
                <w:szCs w:val="18"/>
              </w:rPr>
              <w:t>2019</w:t>
            </w:r>
            <w:r>
              <w:rPr>
                <w:rFonts w:ascii="宋体" w:hAnsi="宋体" w:cs="宋体" w:hint="eastAsia"/>
                <w:kern w:val="0"/>
                <w:sz w:val="18"/>
                <w:szCs w:val="18"/>
              </w:rPr>
              <w:t>年度密码渠道和电子政务</w:t>
            </w:r>
            <w:proofErr w:type="gramStart"/>
            <w:r>
              <w:rPr>
                <w:rFonts w:ascii="宋体" w:hAnsi="宋体" w:cs="宋体" w:hint="eastAsia"/>
                <w:kern w:val="0"/>
                <w:sz w:val="18"/>
                <w:szCs w:val="18"/>
              </w:rPr>
              <w:t>内网运维</w:t>
            </w:r>
            <w:proofErr w:type="gramEnd"/>
            <w:r>
              <w:rPr>
                <w:rFonts w:ascii="宋体" w:hAnsi="宋体" w:cs="宋体" w:hint="eastAsia"/>
                <w:kern w:val="0"/>
                <w:sz w:val="18"/>
                <w:szCs w:val="18"/>
              </w:rPr>
              <w:t>费</w:t>
            </w:r>
          </w:p>
        </w:tc>
      </w:tr>
      <w:tr w:rsidR="00DA1185">
        <w:trPr>
          <w:trHeight w:hRule="exact" w:val="300"/>
          <w:jc w:val="center"/>
        </w:trPr>
        <w:tc>
          <w:tcPr>
            <w:tcW w:w="1568" w:type="dxa"/>
            <w:gridSpan w:val="2"/>
            <w:tcBorders>
              <w:top w:val="single" w:sz="4" w:space="0" w:color="auto"/>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主管部门</w:t>
            </w:r>
          </w:p>
        </w:tc>
        <w:tc>
          <w:tcPr>
            <w:tcW w:w="4110" w:type="dxa"/>
            <w:gridSpan w:val="5"/>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县委办</w:t>
            </w:r>
          </w:p>
        </w:tc>
        <w:tc>
          <w:tcPr>
            <w:tcW w:w="1134"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实施单位</w:t>
            </w:r>
          </w:p>
        </w:tc>
        <w:tc>
          <w:tcPr>
            <w:tcW w:w="2268" w:type="dxa"/>
            <w:gridSpan w:val="5"/>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1568" w:type="dxa"/>
            <w:gridSpan w:val="2"/>
            <w:vMerge w:val="restart"/>
            <w:tcBorders>
              <w:top w:val="single" w:sz="4" w:space="0" w:color="auto"/>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项目资金</w:t>
            </w:r>
            <w:r>
              <w:rPr>
                <w:rFonts w:ascii="宋体" w:hAnsi="宋体" w:cs="宋体" w:hint="eastAsia"/>
                <w:kern w:val="0"/>
                <w:sz w:val="18"/>
                <w:szCs w:val="18"/>
              </w:rPr>
              <w:br/>
            </w:r>
            <w:r>
              <w:rPr>
                <w:rFonts w:ascii="宋体" w:hAnsi="宋体" w:cs="宋体" w:hint="eastAsia"/>
                <w:kern w:val="0"/>
                <w:sz w:val="18"/>
                <w:szCs w:val="18"/>
              </w:rPr>
              <w:t>（万元）</w:t>
            </w:r>
          </w:p>
        </w:tc>
        <w:tc>
          <w:tcPr>
            <w:tcW w:w="1842"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年初预算数</w:t>
            </w:r>
          </w:p>
        </w:tc>
        <w:tc>
          <w:tcPr>
            <w:tcW w:w="1134"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全年预算数</w:t>
            </w:r>
          </w:p>
        </w:tc>
        <w:tc>
          <w:tcPr>
            <w:tcW w:w="1134"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全年执行数</w:t>
            </w:r>
          </w:p>
        </w:tc>
        <w:tc>
          <w:tcPr>
            <w:tcW w:w="709"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分值</w:t>
            </w:r>
          </w:p>
        </w:tc>
        <w:tc>
          <w:tcPr>
            <w:tcW w:w="851" w:type="dxa"/>
            <w:gridSpan w:val="2"/>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执行率</w:t>
            </w:r>
          </w:p>
        </w:tc>
        <w:tc>
          <w:tcPr>
            <w:tcW w:w="708"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得分</w:t>
            </w:r>
          </w:p>
        </w:tc>
      </w:tr>
      <w:tr w:rsidR="00DA1185">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rPr>
                <w:rFonts w:ascii="宋体" w:eastAsia="宋体" w:hAnsi="宋体" w:cs="宋体"/>
                <w:kern w:val="0"/>
                <w:sz w:val="18"/>
                <w:szCs w:val="18"/>
              </w:rPr>
            </w:pPr>
          </w:p>
        </w:tc>
        <w:tc>
          <w:tcPr>
            <w:tcW w:w="1134"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16.07</w:t>
            </w:r>
          </w:p>
        </w:tc>
        <w:tc>
          <w:tcPr>
            <w:tcW w:w="1134"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24.8</w:t>
            </w:r>
          </w:p>
        </w:tc>
        <w:tc>
          <w:tcPr>
            <w:tcW w:w="709"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851"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其中：当年财政拨款</w:t>
            </w:r>
          </w:p>
        </w:tc>
        <w:tc>
          <w:tcPr>
            <w:tcW w:w="1134"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DA1185">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 xml:space="preserve">      </w:t>
            </w:r>
            <w:r>
              <w:rPr>
                <w:rFonts w:ascii="宋体" w:hAnsi="宋体" w:cs="宋体" w:hint="eastAsia"/>
                <w:kern w:val="0"/>
                <w:sz w:val="18"/>
                <w:szCs w:val="18"/>
              </w:rPr>
              <w:t>上年结转资金</w:t>
            </w:r>
          </w:p>
        </w:tc>
        <w:tc>
          <w:tcPr>
            <w:tcW w:w="1134"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DA1185">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 xml:space="preserve">  </w:t>
            </w:r>
            <w:r>
              <w:rPr>
                <w:rFonts w:ascii="宋体" w:hAnsi="宋体" w:cs="宋体" w:hint="eastAsia"/>
                <w:kern w:val="0"/>
                <w:sz w:val="18"/>
                <w:szCs w:val="18"/>
              </w:rPr>
              <w:t>其他资金</w:t>
            </w:r>
          </w:p>
        </w:tc>
        <w:tc>
          <w:tcPr>
            <w:tcW w:w="1134"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DA1185">
        <w:trPr>
          <w:trHeight w:hRule="exact" w:val="300"/>
          <w:jc w:val="center"/>
        </w:trPr>
        <w:tc>
          <w:tcPr>
            <w:tcW w:w="588"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年度总体目标</w:t>
            </w:r>
          </w:p>
        </w:tc>
        <w:tc>
          <w:tcPr>
            <w:tcW w:w="5090" w:type="dxa"/>
            <w:gridSpan w:val="6"/>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预期目标</w:t>
            </w:r>
          </w:p>
        </w:tc>
        <w:tc>
          <w:tcPr>
            <w:tcW w:w="3402" w:type="dxa"/>
            <w:gridSpan w:val="7"/>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实际完成情况</w:t>
            </w:r>
          </w:p>
        </w:tc>
      </w:tr>
      <w:tr w:rsidR="00DA1185">
        <w:trPr>
          <w:trHeight w:hRule="exact" w:val="689"/>
          <w:jc w:val="center"/>
        </w:trPr>
        <w:tc>
          <w:tcPr>
            <w:tcW w:w="588"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090" w:type="dxa"/>
            <w:gridSpan w:val="6"/>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根据石机字（</w:t>
            </w:r>
            <w:r>
              <w:rPr>
                <w:rFonts w:ascii="宋体" w:hAnsi="宋体" w:cs="宋体" w:hint="eastAsia"/>
                <w:kern w:val="0"/>
                <w:sz w:val="18"/>
                <w:szCs w:val="18"/>
              </w:rPr>
              <w:t>2017</w:t>
            </w:r>
            <w:r>
              <w:rPr>
                <w:rFonts w:ascii="宋体" w:hAnsi="宋体" w:cs="宋体" w:hint="eastAsia"/>
                <w:kern w:val="0"/>
                <w:sz w:val="18"/>
                <w:szCs w:val="18"/>
              </w:rPr>
              <w:t>）</w:t>
            </w:r>
            <w:r>
              <w:rPr>
                <w:rFonts w:ascii="宋体" w:hAnsi="宋体" w:cs="宋体" w:hint="eastAsia"/>
                <w:kern w:val="0"/>
                <w:sz w:val="18"/>
                <w:szCs w:val="18"/>
              </w:rPr>
              <w:t>33</w:t>
            </w:r>
            <w:r>
              <w:rPr>
                <w:rFonts w:ascii="宋体" w:hAnsi="宋体" w:cs="宋体" w:hint="eastAsia"/>
                <w:kern w:val="0"/>
                <w:sz w:val="18"/>
                <w:szCs w:val="18"/>
              </w:rPr>
              <w:t>号要求，密码通讯主渠道网络和电子政务内网要严格物理隔离，机房要分开设置，核心设备、网络终端及配套严禁混用。</w:t>
            </w:r>
          </w:p>
        </w:tc>
        <w:tc>
          <w:tcPr>
            <w:tcW w:w="3402" w:type="dxa"/>
            <w:gridSpan w:val="7"/>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533"/>
          <w:jc w:val="center"/>
        </w:trPr>
        <w:tc>
          <w:tcPr>
            <w:tcW w:w="588" w:type="dxa"/>
            <w:vMerge w:val="restart"/>
            <w:tcBorders>
              <w:top w:val="nil"/>
              <w:left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绩</w:t>
            </w:r>
            <w:r>
              <w:rPr>
                <w:rFonts w:ascii="宋体" w:hAnsi="宋体" w:cs="宋体" w:hint="eastAsia"/>
                <w:kern w:val="0"/>
                <w:sz w:val="18"/>
                <w:szCs w:val="18"/>
              </w:rPr>
              <w:br/>
            </w:r>
            <w:r>
              <w:rPr>
                <w:rFonts w:ascii="宋体" w:hAnsi="宋体" w:cs="宋体" w:hint="eastAsia"/>
                <w:kern w:val="0"/>
                <w:sz w:val="18"/>
                <w:szCs w:val="18"/>
              </w:rPr>
              <w:t>效</w:t>
            </w:r>
            <w:r>
              <w:rPr>
                <w:rFonts w:ascii="宋体" w:hAnsi="宋体" w:cs="宋体" w:hint="eastAsia"/>
                <w:kern w:val="0"/>
                <w:sz w:val="18"/>
                <w:szCs w:val="18"/>
              </w:rPr>
              <w:br/>
            </w:r>
            <w:r>
              <w:rPr>
                <w:rFonts w:ascii="宋体" w:hAnsi="宋体" w:cs="宋体" w:hint="eastAsia"/>
                <w:kern w:val="0"/>
                <w:sz w:val="18"/>
                <w:szCs w:val="18"/>
              </w:rPr>
              <w:t>指</w:t>
            </w:r>
            <w:r>
              <w:rPr>
                <w:rFonts w:ascii="宋体" w:hAnsi="宋体" w:cs="宋体" w:hint="eastAsia"/>
                <w:kern w:val="0"/>
                <w:sz w:val="18"/>
                <w:szCs w:val="18"/>
              </w:rPr>
              <w:br/>
            </w:r>
            <w:r>
              <w:rPr>
                <w:rFonts w:ascii="宋体" w:hAnsi="宋体" w:cs="宋体" w:hint="eastAsia"/>
                <w:kern w:val="0"/>
                <w:sz w:val="18"/>
                <w:szCs w:val="18"/>
              </w:rPr>
              <w:t>标</w:t>
            </w:r>
          </w:p>
        </w:tc>
        <w:tc>
          <w:tcPr>
            <w:tcW w:w="980"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一级指标</w:t>
            </w:r>
          </w:p>
        </w:tc>
        <w:tc>
          <w:tcPr>
            <w:tcW w:w="1112"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二级指标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三级指标</w:t>
            </w:r>
          </w:p>
        </w:tc>
        <w:tc>
          <w:tcPr>
            <w:tcW w:w="850"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年度</w:t>
            </w:r>
          </w:p>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指标值</w:t>
            </w:r>
          </w:p>
        </w:tc>
        <w:tc>
          <w:tcPr>
            <w:tcW w:w="851"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实际</w:t>
            </w:r>
          </w:p>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完成值</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分值</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得分</w:t>
            </w:r>
          </w:p>
        </w:tc>
        <w:tc>
          <w:tcPr>
            <w:tcW w:w="1417" w:type="dxa"/>
            <w:gridSpan w:val="2"/>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偏差原因分析及改进措施</w:t>
            </w: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产出指标</w:t>
            </w: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数量指标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质量指标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：系统验收合格率</w:t>
            </w:r>
          </w:p>
        </w:tc>
        <w:tc>
          <w:tcPr>
            <w:tcW w:w="850"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851"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25</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25</w:t>
            </w: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：办公自动化覆盖率</w:t>
            </w:r>
          </w:p>
        </w:tc>
        <w:tc>
          <w:tcPr>
            <w:tcW w:w="850"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851"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25</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25</w:t>
            </w: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时效指标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成本指标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175"/>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效益指标</w:t>
            </w: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经济效益</w:t>
            </w:r>
          </w:p>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社会效益</w:t>
            </w:r>
          </w:p>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152"/>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生态效益</w:t>
            </w:r>
          </w:p>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可持续影响指标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val="restart"/>
            <w:tcBorders>
              <w:top w:val="nil"/>
              <w:left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满意度</w:t>
            </w:r>
          </w:p>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服务对象满意度指标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：用户友好性</w:t>
            </w:r>
          </w:p>
        </w:tc>
        <w:tc>
          <w:tcPr>
            <w:tcW w:w="850"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851"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22</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22</w:t>
            </w: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437"/>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：调查中用户满意和较满意</w:t>
            </w:r>
          </w:p>
        </w:tc>
        <w:tc>
          <w:tcPr>
            <w:tcW w:w="850"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851"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25</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25</w:t>
            </w: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6529" w:type="dxa"/>
            <w:gridSpan w:val="8"/>
            <w:tcBorders>
              <w:top w:val="single" w:sz="4" w:space="0" w:color="auto"/>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总分</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100</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color w:val="000000"/>
                <w:kern w:val="0"/>
                <w:sz w:val="18"/>
                <w:szCs w:val="18"/>
              </w:rPr>
            </w:pPr>
            <w:r>
              <w:rPr>
                <w:rFonts w:ascii="宋体" w:hAnsi="宋体" w:cs="宋体" w:hint="eastAsia"/>
                <w:color w:val="000000"/>
                <w:kern w:val="0"/>
                <w:sz w:val="18"/>
                <w:szCs w:val="18"/>
              </w:rPr>
              <w:t>97</w:t>
            </w: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454"/>
          <w:jc w:val="center"/>
        </w:trPr>
        <w:tc>
          <w:tcPr>
            <w:tcW w:w="9080" w:type="dxa"/>
            <w:gridSpan w:val="14"/>
            <w:tcBorders>
              <w:top w:val="nil"/>
              <w:left w:val="nil"/>
              <w:bottom w:val="nil"/>
              <w:right w:val="nil"/>
            </w:tcBorders>
            <w:vAlign w:val="center"/>
          </w:tcPr>
          <w:p w:rsidR="00DA1185" w:rsidRDefault="006D574A">
            <w:pPr>
              <w:widowControl/>
              <w:spacing w:line="320" w:lineRule="exact"/>
              <w:jc w:val="center"/>
              <w:rPr>
                <w:rFonts w:ascii="宋体" w:hAnsi="宋体" w:cs="宋体"/>
                <w:b/>
                <w:bCs/>
                <w:kern w:val="0"/>
                <w:sz w:val="32"/>
                <w:szCs w:val="32"/>
              </w:rPr>
            </w:pPr>
            <w:r>
              <w:rPr>
                <w:rFonts w:ascii="宋体" w:hAnsi="宋体" w:cs="宋体" w:hint="eastAsia"/>
                <w:b/>
                <w:bCs/>
                <w:kern w:val="0"/>
                <w:sz w:val="32"/>
                <w:szCs w:val="32"/>
              </w:rPr>
              <w:t>项目支出绩效自评表</w:t>
            </w:r>
          </w:p>
        </w:tc>
      </w:tr>
      <w:tr w:rsidR="00DA1185">
        <w:trPr>
          <w:trHeight w:val="201"/>
          <w:jc w:val="center"/>
        </w:trPr>
        <w:tc>
          <w:tcPr>
            <w:tcW w:w="9080" w:type="dxa"/>
            <w:gridSpan w:val="14"/>
            <w:tcBorders>
              <w:top w:val="nil"/>
              <w:left w:val="nil"/>
              <w:bottom w:val="nil"/>
              <w:right w:val="nil"/>
            </w:tcBorders>
          </w:tcPr>
          <w:p w:rsidR="00DA1185" w:rsidRDefault="006D574A">
            <w:pPr>
              <w:widowControl/>
              <w:jc w:val="center"/>
              <w:rPr>
                <w:rFonts w:ascii="宋体" w:hAnsi="宋体" w:cs="宋体"/>
                <w:kern w:val="0"/>
                <w:sz w:val="22"/>
              </w:rPr>
            </w:pPr>
            <w:r>
              <w:rPr>
                <w:rFonts w:ascii="宋体" w:hAnsi="宋体" w:cs="宋体" w:hint="eastAsia"/>
                <w:kern w:val="0"/>
                <w:sz w:val="22"/>
              </w:rPr>
              <w:t>（</w:t>
            </w:r>
            <w:r>
              <w:rPr>
                <w:rFonts w:ascii="宋体" w:hAnsi="宋体" w:cs="宋体" w:hint="eastAsia"/>
                <w:kern w:val="0"/>
                <w:sz w:val="22"/>
              </w:rPr>
              <w:t xml:space="preserve">  2019  </w:t>
            </w:r>
            <w:r>
              <w:rPr>
                <w:rFonts w:ascii="宋体" w:hAnsi="宋体" w:cs="宋体" w:hint="eastAsia"/>
                <w:kern w:val="0"/>
                <w:sz w:val="22"/>
              </w:rPr>
              <w:t>年度）</w:t>
            </w:r>
          </w:p>
        </w:tc>
      </w:tr>
      <w:tr w:rsidR="00DA1185">
        <w:trPr>
          <w:trHeight w:hRule="exact" w:val="300"/>
          <w:jc w:val="center"/>
        </w:trPr>
        <w:tc>
          <w:tcPr>
            <w:tcW w:w="1568" w:type="dxa"/>
            <w:gridSpan w:val="2"/>
            <w:tcBorders>
              <w:top w:val="single" w:sz="4" w:space="0" w:color="auto"/>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项目名称</w:t>
            </w:r>
          </w:p>
        </w:tc>
        <w:tc>
          <w:tcPr>
            <w:tcW w:w="7512" w:type="dxa"/>
            <w:gridSpan w:val="12"/>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全市传统行业转型升级现场会议经费</w:t>
            </w:r>
          </w:p>
        </w:tc>
      </w:tr>
      <w:tr w:rsidR="00DA1185">
        <w:trPr>
          <w:trHeight w:hRule="exact" w:val="300"/>
          <w:jc w:val="center"/>
        </w:trPr>
        <w:tc>
          <w:tcPr>
            <w:tcW w:w="1568" w:type="dxa"/>
            <w:gridSpan w:val="2"/>
            <w:tcBorders>
              <w:top w:val="single" w:sz="4" w:space="0" w:color="auto"/>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主管部门</w:t>
            </w:r>
          </w:p>
        </w:tc>
        <w:tc>
          <w:tcPr>
            <w:tcW w:w="4110" w:type="dxa"/>
            <w:gridSpan w:val="5"/>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县委办</w:t>
            </w:r>
          </w:p>
        </w:tc>
        <w:tc>
          <w:tcPr>
            <w:tcW w:w="1134"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实施单位</w:t>
            </w:r>
          </w:p>
        </w:tc>
        <w:tc>
          <w:tcPr>
            <w:tcW w:w="2268" w:type="dxa"/>
            <w:gridSpan w:val="5"/>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1568" w:type="dxa"/>
            <w:gridSpan w:val="2"/>
            <w:vMerge w:val="restart"/>
            <w:tcBorders>
              <w:top w:val="single" w:sz="4" w:space="0" w:color="auto"/>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项目资金</w:t>
            </w:r>
            <w:r>
              <w:rPr>
                <w:rFonts w:ascii="宋体" w:hAnsi="宋体" w:cs="宋体" w:hint="eastAsia"/>
                <w:kern w:val="0"/>
                <w:sz w:val="18"/>
                <w:szCs w:val="18"/>
              </w:rPr>
              <w:br/>
            </w:r>
            <w:r>
              <w:rPr>
                <w:rFonts w:ascii="宋体" w:hAnsi="宋体" w:cs="宋体" w:hint="eastAsia"/>
                <w:kern w:val="0"/>
                <w:sz w:val="18"/>
                <w:szCs w:val="18"/>
              </w:rPr>
              <w:t>（万元）</w:t>
            </w:r>
          </w:p>
        </w:tc>
        <w:tc>
          <w:tcPr>
            <w:tcW w:w="1842"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年初预算数</w:t>
            </w:r>
          </w:p>
        </w:tc>
        <w:tc>
          <w:tcPr>
            <w:tcW w:w="1134"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全年预算数</w:t>
            </w:r>
          </w:p>
        </w:tc>
        <w:tc>
          <w:tcPr>
            <w:tcW w:w="1134"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全年执行数</w:t>
            </w:r>
          </w:p>
        </w:tc>
        <w:tc>
          <w:tcPr>
            <w:tcW w:w="709"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分值</w:t>
            </w:r>
          </w:p>
        </w:tc>
        <w:tc>
          <w:tcPr>
            <w:tcW w:w="851" w:type="dxa"/>
            <w:gridSpan w:val="2"/>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执行率</w:t>
            </w:r>
          </w:p>
        </w:tc>
        <w:tc>
          <w:tcPr>
            <w:tcW w:w="708"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得分</w:t>
            </w:r>
          </w:p>
        </w:tc>
      </w:tr>
      <w:tr w:rsidR="00DA1185">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rPr>
                <w:rFonts w:ascii="宋体" w:hAnsi="宋体" w:cs="宋体"/>
                <w:kern w:val="0"/>
                <w:sz w:val="18"/>
                <w:szCs w:val="18"/>
              </w:rPr>
            </w:pPr>
            <w:r>
              <w:rPr>
                <w:rFonts w:ascii="宋体" w:hAnsi="宋体" w:cs="宋体" w:hint="eastAsia"/>
                <w:kern w:val="0"/>
                <w:sz w:val="18"/>
                <w:szCs w:val="18"/>
              </w:rPr>
              <w:t>年度资金总额</w:t>
            </w:r>
          </w:p>
        </w:tc>
        <w:tc>
          <w:tcPr>
            <w:tcW w:w="1134"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25</w:t>
            </w:r>
          </w:p>
        </w:tc>
        <w:tc>
          <w:tcPr>
            <w:tcW w:w="1134"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23.68</w:t>
            </w:r>
          </w:p>
        </w:tc>
        <w:tc>
          <w:tcPr>
            <w:tcW w:w="709"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851"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其中：当年财政拨款</w:t>
            </w:r>
          </w:p>
        </w:tc>
        <w:tc>
          <w:tcPr>
            <w:tcW w:w="1134"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DA1185">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 xml:space="preserve">      </w:t>
            </w:r>
            <w:r>
              <w:rPr>
                <w:rFonts w:ascii="宋体" w:hAnsi="宋体" w:cs="宋体" w:hint="eastAsia"/>
                <w:kern w:val="0"/>
                <w:sz w:val="18"/>
                <w:szCs w:val="18"/>
              </w:rPr>
              <w:t>上年结转资金</w:t>
            </w:r>
          </w:p>
        </w:tc>
        <w:tc>
          <w:tcPr>
            <w:tcW w:w="1134"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DA1185">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 xml:space="preserve">  </w:t>
            </w:r>
            <w:r>
              <w:rPr>
                <w:rFonts w:ascii="宋体" w:hAnsi="宋体" w:cs="宋体" w:hint="eastAsia"/>
                <w:kern w:val="0"/>
                <w:sz w:val="18"/>
                <w:szCs w:val="18"/>
              </w:rPr>
              <w:t>其他资金</w:t>
            </w:r>
          </w:p>
        </w:tc>
        <w:tc>
          <w:tcPr>
            <w:tcW w:w="1134"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DA1185">
        <w:trPr>
          <w:trHeight w:hRule="exact" w:val="300"/>
          <w:jc w:val="center"/>
        </w:trPr>
        <w:tc>
          <w:tcPr>
            <w:tcW w:w="588"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年度总体目标</w:t>
            </w:r>
          </w:p>
        </w:tc>
        <w:tc>
          <w:tcPr>
            <w:tcW w:w="5090" w:type="dxa"/>
            <w:gridSpan w:val="6"/>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预期目标</w:t>
            </w:r>
          </w:p>
        </w:tc>
        <w:tc>
          <w:tcPr>
            <w:tcW w:w="3402" w:type="dxa"/>
            <w:gridSpan w:val="7"/>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实际完成情况</w:t>
            </w:r>
          </w:p>
        </w:tc>
      </w:tr>
      <w:tr w:rsidR="00DA1185">
        <w:trPr>
          <w:trHeight w:hRule="exact" w:val="597"/>
          <w:jc w:val="center"/>
        </w:trPr>
        <w:tc>
          <w:tcPr>
            <w:tcW w:w="588"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090" w:type="dxa"/>
            <w:gridSpan w:val="6"/>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由县委办牵头了大量会务协调工作，确保了会议的圆满召开。现申请会务费</w:t>
            </w:r>
            <w:r>
              <w:rPr>
                <w:rFonts w:ascii="宋体" w:hAnsi="宋体" w:cs="宋体" w:hint="eastAsia"/>
                <w:kern w:val="0"/>
                <w:sz w:val="18"/>
                <w:szCs w:val="18"/>
              </w:rPr>
              <w:t>25</w:t>
            </w:r>
            <w:r>
              <w:rPr>
                <w:rFonts w:ascii="宋体" w:hAnsi="宋体" w:cs="宋体" w:hint="eastAsia"/>
                <w:kern w:val="0"/>
                <w:sz w:val="18"/>
                <w:szCs w:val="18"/>
              </w:rPr>
              <w:t>万元。</w:t>
            </w:r>
          </w:p>
        </w:tc>
        <w:tc>
          <w:tcPr>
            <w:tcW w:w="3402" w:type="dxa"/>
            <w:gridSpan w:val="7"/>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533"/>
          <w:jc w:val="center"/>
        </w:trPr>
        <w:tc>
          <w:tcPr>
            <w:tcW w:w="588" w:type="dxa"/>
            <w:vMerge w:val="restart"/>
            <w:tcBorders>
              <w:top w:val="nil"/>
              <w:left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绩</w:t>
            </w:r>
            <w:r>
              <w:rPr>
                <w:rFonts w:ascii="宋体" w:hAnsi="宋体" w:cs="宋体" w:hint="eastAsia"/>
                <w:kern w:val="0"/>
                <w:sz w:val="18"/>
                <w:szCs w:val="18"/>
              </w:rPr>
              <w:br/>
            </w:r>
            <w:r>
              <w:rPr>
                <w:rFonts w:ascii="宋体" w:hAnsi="宋体" w:cs="宋体" w:hint="eastAsia"/>
                <w:kern w:val="0"/>
                <w:sz w:val="18"/>
                <w:szCs w:val="18"/>
              </w:rPr>
              <w:t>效</w:t>
            </w:r>
            <w:r>
              <w:rPr>
                <w:rFonts w:ascii="宋体" w:hAnsi="宋体" w:cs="宋体" w:hint="eastAsia"/>
                <w:kern w:val="0"/>
                <w:sz w:val="18"/>
                <w:szCs w:val="18"/>
              </w:rPr>
              <w:br/>
            </w:r>
            <w:r>
              <w:rPr>
                <w:rFonts w:ascii="宋体" w:hAnsi="宋体" w:cs="宋体" w:hint="eastAsia"/>
                <w:kern w:val="0"/>
                <w:sz w:val="18"/>
                <w:szCs w:val="18"/>
              </w:rPr>
              <w:t>指</w:t>
            </w:r>
            <w:r>
              <w:rPr>
                <w:rFonts w:ascii="宋体" w:hAnsi="宋体" w:cs="宋体" w:hint="eastAsia"/>
                <w:kern w:val="0"/>
                <w:sz w:val="18"/>
                <w:szCs w:val="18"/>
              </w:rPr>
              <w:br/>
            </w:r>
            <w:r>
              <w:rPr>
                <w:rFonts w:ascii="宋体" w:hAnsi="宋体" w:cs="宋体" w:hint="eastAsia"/>
                <w:kern w:val="0"/>
                <w:sz w:val="18"/>
                <w:szCs w:val="18"/>
              </w:rPr>
              <w:t>标</w:t>
            </w:r>
          </w:p>
        </w:tc>
        <w:tc>
          <w:tcPr>
            <w:tcW w:w="980"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一级指标</w:t>
            </w:r>
          </w:p>
        </w:tc>
        <w:tc>
          <w:tcPr>
            <w:tcW w:w="1112"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二级指标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三级指标</w:t>
            </w:r>
          </w:p>
        </w:tc>
        <w:tc>
          <w:tcPr>
            <w:tcW w:w="850"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年度</w:t>
            </w:r>
          </w:p>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指标值</w:t>
            </w:r>
          </w:p>
        </w:tc>
        <w:tc>
          <w:tcPr>
            <w:tcW w:w="851"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实际</w:t>
            </w:r>
          </w:p>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完成值</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分值</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得分</w:t>
            </w:r>
          </w:p>
        </w:tc>
        <w:tc>
          <w:tcPr>
            <w:tcW w:w="1417" w:type="dxa"/>
            <w:gridSpan w:val="2"/>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偏差原因分析及改进措施</w:t>
            </w: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产出指标</w:t>
            </w: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数量指标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质量指标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时效指标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：牵头组织工作</w:t>
            </w:r>
          </w:p>
        </w:tc>
        <w:tc>
          <w:tcPr>
            <w:tcW w:w="850"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851"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25</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25</w:t>
            </w: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：协调工作顺利进行</w:t>
            </w:r>
          </w:p>
        </w:tc>
        <w:tc>
          <w:tcPr>
            <w:tcW w:w="850"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851"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25</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25</w:t>
            </w: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成本指标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效益指标</w:t>
            </w: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经济效益</w:t>
            </w:r>
          </w:p>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社会效益</w:t>
            </w:r>
          </w:p>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：会议顺利召开</w:t>
            </w:r>
          </w:p>
        </w:tc>
        <w:tc>
          <w:tcPr>
            <w:tcW w:w="850"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851"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25</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25</w:t>
            </w: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：会议圆满结束</w:t>
            </w:r>
          </w:p>
        </w:tc>
        <w:tc>
          <w:tcPr>
            <w:tcW w:w="850"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851"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25</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23</w:t>
            </w: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生态效益</w:t>
            </w:r>
          </w:p>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可持续影响指标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val="restart"/>
            <w:tcBorders>
              <w:top w:val="nil"/>
              <w:left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满意度</w:t>
            </w:r>
          </w:p>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服务对象满意度指标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6529" w:type="dxa"/>
            <w:gridSpan w:val="8"/>
            <w:tcBorders>
              <w:top w:val="single" w:sz="4" w:space="0" w:color="auto"/>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总分</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100</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color w:val="000000"/>
                <w:kern w:val="0"/>
                <w:sz w:val="18"/>
                <w:szCs w:val="18"/>
              </w:rPr>
            </w:pPr>
            <w:r>
              <w:rPr>
                <w:rFonts w:ascii="宋体" w:hAnsi="宋体" w:cs="宋体" w:hint="eastAsia"/>
                <w:color w:val="000000"/>
                <w:kern w:val="0"/>
                <w:sz w:val="18"/>
                <w:szCs w:val="18"/>
              </w:rPr>
              <w:t>98</w:t>
            </w: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454"/>
          <w:jc w:val="center"/>
        </w:trPr>
        <w:tc>
          <w:tcPr>
            <w:tcW w:w="9080" w:type="dxa"/>
            <w:gridSpan w:val="14"/>
            <w:tcBorders>
              <w:top w:val="nil"/>
              <w:left w:val="nil"/>
              <w:bottom w:val="nil"/>
              <w:right w:val="nil"/>
            </w:tcBorders>
            <w:vAlign w:val="center"/>
          </w:tcPr>
          <w:p w:rsidR="00DA1185" w:rsidRDefault="006D574A">
            <w:pPr>
              <w:widowControl/>
              <w:spacing w:line="320" w:lineRule="exact"/>
              <w:jc w:val="center"/>
              <w:rPr>
                <w:rFonts w:ascii="宋体" w:hAnsi="宋体" w:cs="宋体"/>
                <w:b/>
                <w:bCs/>
                <w:kern w:val="0"/>
                <w:sz w:val="32"/>
                <w:szCs w:val="32"/>
              </w:rPr>
            </w:pPr>
            <w:r>
              <w:rPr>
                <w:rFonts w:ascii="宋体" w:hAnsi="宋体" w:cs="宋体" w:hint="eastAsia"/>
                <w:b/>
                <w:bCs/>
                <w:kern w:val="0"/>
                <w:sz w:val="32"/>
                <w:szCs w:val="32"/>
              </w:rPr>
              <w:t>项目支出绩效自评表</w:t>
            </w:r>
          </w:p>
        </w:tc>
      </w:tr>
      <w:tr w:rsidR="00DA1185">
        <w:trPr>
          <w:trHeight w:val="201"/>
          <w:jc w:val="center"/>
        </w:trPr>
        <w:tc>
          <w:tcPr>
            <w:tcW w:w="9080" w:type="dxa"/>
            <w:gridSpan w:val="14"/>
            <w:tcBorders>
              <w:top w:val="nil"/>
              <w:left w:val="nil"/>
              <w:bottom w:val="nil"/>
              <w:right w:val="nil"/>
            </w:tcBorders>
          </w:tcPr>
          <w:p w:rsidR="00DA1185" w:rsidRDefault="006D574A">
            <w:pPr>
              <w:widowControl/>
              <w:jc w:val="center"/>
              <w:rPr>
                <w:rFonts w:ascii="宋体" w:hAnsi="宋体" w:cs="宋体"/>
                <w:kern w:val="0"/>
                <w:sz w:val="22"/>
              </w:rPr>
            </w:pPr>
            <w:r>
              <w:rPr>
                <w:rFonts w:ascii="宋体" w:hAnsi="宋体" w:cs="宋体" w:hint="eastAsia"/>
                <w:kern w:val="0"/>
                <w:sz w:val="22"/>
              </w:rPr>
              <w:t>（</w:t>
            </w:r>
            <w:r>
              <w:rPr>
                <w:rFonts w:ascii="宋体" w:hAnsi="宋体" w:cs="宋体" w:hint="eastAsia"/>
                <w:kern w:val="0"/>
                <w:sz w:val="22"/>
              </w:rPr>
              <w:t xml:space="preserve">   2019 </w:t>
            </w:r>
            <w:r>
              <w:rPr>
                <w:rFonts w:ascii="宋体" w:hAnsi="宋体" w:cs="宋体" w:hint="eastAsia"/>
                <w:kern w:val="0"/>
                <w:sz w:val="22"/>
              </w:rPr>
              <w:t>年度）</w:t>
            </w:r>
          </w:p>
        </w:tc>
      </w:tr>
      <w:tr w:rsidR="00DA1185">
        <w:trPr>
          <w:trHeight w:hRule="exact" w:val="300"/>
          <w:jc w:val="center"/>
        </w:trPr>
        <w:tc>
          <w:tcPr>
            <w:tcW w:w="1568" w:type="dxa"/>
            <w:gridSpan w:val="2"/>
            <w:tcBorders>
              <w:top w:val="single" w:sz="4" w:space="0" w:color="auto"/>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项目名称</w:t>
            </w:r>
          </w:p>
        </w:tc>
        <w:tc>
          <w:tcPr>
            <w:tcW w:w="7512" w:type="dxa"/>
            <w:gridSpan w:val="12"/>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无极县地方志年鉴印刷费</w:t>
            </w:r>
          </w:p>
        </w:tc>
      </w:tr>
      <w:tr w:rsidR="00DA1185">
        <w:trPr>
          <w:trHeight w:hRule="exact" w:val="300"/>
          <w:jc w:val="center"/>
        </w:trPr>
        <w:tc>
          <w:tcPr>
            <w:tcW w:w="1568" w:type="dxa"/>
            <w:gridSpan w:val="2"/>
            <w:tcBorders>
              <w:top w:val="single" w:sz="4" w:space="0" w:color="auto"/>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主管部门</w:t>
            </w:r>
          </w:p>
        </w:tc>
        <w:tc>
          <w:tcPr>
            <w:tcW w:w="4110" w:type="dxa"/>
            <w:gridSpan w:val="5"/>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县委办</w:t>
            </w:r>
          </w:p>
        </w:tc>
        <w:tc>
          <w:tcPr>
            <w:tcW w:w="1134"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实施单位</w:t>
            </w:r>
          </w:p>
        </w:tc>
        <w:tc>
          <w:tcPr>
            <w:tcW w:w="2268" w:type="dxa"/>
            <w:gridSpan w:val="5"/>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1568" w:type="dxa"/>
            <w:gridSpan w:val="2"/>
            <w:vMerge w:val="restart"/>
            <w:tcBorders>
              <w:top w:val="single" w:sz="4" w:space="0" w:color="auto"/>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项目资金</w:t>
            </w:r>
            <w:r>
              <w:rPr>
                <w:rFonts w:ascii="宋体" w:hAnsi="宋体" w:cs="宋体" w:hint="eastAsia"/>
                <w:kern w:val="0"/>
                <w:sz w:val="18"/>
                <w:szCs w:val="18"/>
              </w:rPr>
              <w:br/>
            </w:r>
            <w:r>
              <w:rPr>
                <w:rFonts w:ascii="宋体" w:hAnsi="宋体" w:cs="宋体" w:hint="eastAsia"/>
                <w:kern w:val="0"/>
                <w:sz w:val="18"/>
                <w:szCs w:val="18"/>
              </w:rPr>
              <w:t>（万元）</w:t>
            </w:r>
          </w:p>
        </w:tc>
        <w:tc>
          <w:tcPr>
            <w:tcW w:w="1842"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年初预算数</w:t>
            </w:r>
          </w:p>
        </w:tc>
        <w:tc>
          <w:tcPr>
            <w:tcW w:w="1134"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全年预算数</w:t>
            </w:r>
          </w:p>
        </w:tc>
        <w:tc>
          <w:tcPr>
            <w:tcW w:w="1134"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全年执行数</w:t>
            </w:r>
          </w:p>
        </w:tc>
        <w:tc>
          <w:tcPr>
            <w:tcW w:w="709"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分值</w:t>
            </w:r>
          </w:p>
        </w:tc>
        <w:tc>
          <w:tcPr>
            <w:tcW w:w="851" w:type="dxa"/>
            <w:gridSpan w:val="2"/>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执行率</w:t>
            </w:r>
          </w:p>
        </w:tc>
        <w:tc>
          <w:tcPr>
            <w:tcW w:w="708"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得分</w:t>
            </w:r>
          </w:p>
        </w:tc>
      </w:tr>
      <w:tr w:rsidR="00DA1185">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rPr>
                <w:rFonts w:ascii="宋体" w:hAnsi="宋体" w:cs="宋体"/>
                <w:kern w:val="0"/>
                <w:sz w:val="18"/>
                <w:szCs w:val="18"/>
              </w:rPr>
            </w:pPr>
            <w:r>
              <w:rPr>
                <w:rFonts w:ascii="宋体" w:hAnsi="宋体" w:cs="宋体" w:hint="eastAsia"/>
                <w:kern w:val="0"/>
                <w:sz w:val="18"/>
                <w:szCs w:val="18"/>
              </w:rPr>
              <w:t>年度资金总额</w:t>
            </w:r>
          </w:p>
        </w:tc>
        <w:tc>
          <w:tcPr>
            <w:tcW w:w="1134"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12</w:t>
            </w:r>
          </w:p>
        </w:tc>
        <w:tc>
          <w:tcPr>
            <w:tcW w:w="1134"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9.59</w:t>
            </w:r>
          </w:p>
        </w:tc>
        <w:tc>
          <w:tcPr>
            <w:tcW w:w="709"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851"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其中：当年财政拨款</w:t>
            </w:r>
          </w:p>
        </w:tc>
        <w:tc>
          <w:tcPr>
            <w:tcW w:w="1134"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DA1185">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 xml:space="preserve">      </w:t>
            </w:r>
            <w:r>
              <w:rPr>
                <w:rFonts w:ascii="宋体" w:hAnsi="宋体" w:cs="宋体" w:hint="eastAsia"/>
                <w:kern w:val="0"/>
                <w:sz w:val="18"/>
                <w:szCs w:val="18"/>
              </w:rPr>
              <w:t>上年结转资金</w:t>
            </w:r>
          </w:p>
        </w:tc>
        <w:tc>
          <w:tcPr>
            <w:tcW w:w="1134"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DA1185">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 xml:space="preserve">  </w:t>
            </w:r>
            <w:r>
              <w:rPr>
                <w:rFonts w:ascii="宋体" w:hAnsi="宋体" w:cs="宋体" w:hint="eastAsia"/>
                <w:kern w:val="0"/>
                <w:sz w:val="18"/>
                <w:szCs w:val="18"/>
              </w:rPr>
              <w:t>其他资金</w:t>
            </w:r>
          </w:p>
        </w:tc>
        <w:tc>
          <w:tcPr>
            <w:tcW w:w="1134"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DA1185">
        <w:trPr>
          <w:trHeight w:hRule="exact" w:val="300"/>
          <w:jc w:val="center"/>
        </w:trPr>
        <w:tc>
          <w:tcPr>
            <w:tcW w:w="588"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年度总体目标</w:t>
            </w:r>
          </w:p>
        </w:tc>
        <w:tc>
          <w:tcPr>
            <w:tcW w:w="5090" w:type="dxa"/>
            <w:gridSpan w:val="6"/>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预期目标</w:t>
            </w:r>
          </w:p>
        </w:tc>
        <w:tc>
          <w:tcPr>
            <w:tcW w:w="3402" w:type="dxa"/>
            <w:gridSpan w:val="7"/>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实际完成情况</w:t>
            </w:r>
          </w:p>
        </w:tc>
      </w:tr>
      <w:tr w:rsidR="00DA1185">
        <w:trPr>
          <w:trHeight w:hRule="exact" w:val="597"/>
          <w:jc w:val="center"/>
        </w:trPr>
        <w:tc>
          <w:tcPr>
            <w:tcW w:w="588"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090" w:type="dxa"/>
            <w:gridSpan w:val="6"/>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按要求，按标准</w:t>
            </w:r>
            <w:r>
              <w:rPr>
                <w:rFonts w:ascii="宋体" w:hAnsi="宋体" w:cs="宋体" w:hint="eastAsia"/>
                <w:kern w:val="0"/>
                <w:sz w:val="18"/>
                <w:szCs w:val="18"/>
              </w:rPr>
              <w:t>2018</w:t>
            </w:r>
            <w:r>
              <w:rPr>
                <w:rFonts w:ascii="宋体" w:hAnsi="宋体" w:cs="宋体" w:hint="eastAsia"/>
                <w:kern w:val="0"/>
                <w:sz w:val="18"/>
                <w:szCs w:val="18"/>
              </w:rPr>
              <w:t>卷</w:t>
            </w:r>
            <w:r>
              <w:rPr>
                <w:rFonts w:ascii="宋体" w:hAnsi="宋体" w:cs="宋体" w:hint="eastAsia"/>
                <w:kern w:val="0"/>
                <w:sz w:val="18"/>
                <w:szCs w:val="18"/>
              </w:rPr>
              <w:t>.2019</w:t>
            </w:r>
            <w:r>
              <w:rPr>
                <w:rFonts w:ascii="宋体" w:hAnsi="宋体" w:cs="宋体" w:hint="eastAsia"/>
                <w:kern w:val="0"/>
                <w:sz w:val="18"/>
                <w:szCs w:val="18"/>
              </w:rPr>
              <w:t>卷年鉴，</w:t>
            </w:r>
            <w:proofErr w:type="gramStart"/>
            <w:r>
              <w:rPr>
                <w:rFonts w:ascii="宋体" w:hAnsi="宋体" w:cs="宋体" w:hint="eastAsia"/>
                <w:kern w:val="0"/>
                <w:sz w:val="18"/>
                <w:szCs w:val="18"/>
              </w:rPr>
              <w:t>完善汇</w:t>
            </w:r>
            <w:proofErr w:type="gramEnd"/>
            <w:r>
              <w:rPr>
                <w:rFonts w:ascii="宋体" w:hAnsi="宋体" w:cs="宋体" w:hint="eastAsia"/>
                <w:kern w:val="0"/>
                <w:sz w:val="18"/>
                <w:szCs w:val="18"/>
              </w:rPr>
              <w:t>辑一年内终于时事、文献和统计资料</w:t>
            </w:r>
            <w:r>
              <w:rPr>
                <w:rFonts w:ascii="宋体" w:hAnsi="宋体" w:cs="宋体" w:hint="eastAsia"/>
                <w:kern w:val="0"/>
                <w:sz w:val="18"/>
                <w:szCs w:val="18"/>
              </w:rPr>
              <w:t>.</w:t>
            </w:r>
          </w:p>
        </w:tc>
        <w:tc>
          <w:tcPr>
            <w:tcW w:w="3402" w:type="dxa"/>
            <w:gridSpan w:val="7"/>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533"/>
          <w:jc w:val="center"/>
        </w:trPr>
        <w:tc>
          <w:tcPr>
            <w:tcW w:w="588" w:type="dxa"/>
            <w:vMerge w:val="restart"/>
            <w:tcBorders>
              <w:top w:val="nil"/>
              <w:left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绩</w:t>
            </w:r>
            <w:r>
              <w:rPr>
                <w:rFonts w:ascii="宋体" w:hAnsi="宋体" w:cs="宋体" w:hint="eastAsia"/>
                <w:kern w:val="0"/>
                <w:sz w:val="18"/>
                <w:szCs w:val="18"/>
              </w:rPr>
              <w:br/>
            </w:r>
            <w:r>
              <w:rPr>
                <w:rFonts w:ascii="宋体" w:hAnsi="宋体" w:cs="宋体" w:hint="eastAsia"/>
                <w:kern w:val="0"/>
                <w:sz w:val="18"/>
                <w:szCs w:val="18"/>
              </w:rPr>
              <w:t>效</w:t>
            </w:r>
            <w:r>
              <w:rPr>
                <w:rFonts w:ascii="宋体" w:hAnsi="宋体" w:cs="宋体" w:hint="eastAsia"/>
                <w:kern w:val="0"/>
                <w:sz w:val="18"/>
                <w:szCs w:val="18"/>
              </w:rPr>
              <w:br/>
            </w:r>
            <w:r>
              <w:rPr>
                <w:rFonts w:ascii="宋体" w:hAnsi="宋体" w:cs="宋体" w:hint="eastAsia"/>
                <w:kern w:val="0"/>
                <w:sz w:val="18"/>
                <w:szCs w:val="18"/>
              </w:rPr>
              <w:t>指</w:t>
            </w:r>
            <w:r>
              <w:rPr>
                <w:rFonts w:ascii="宋体" w:hAnsi="宋体" w:cs="宋体" w:hint="eastAsia"/>
                <w:kern w:val="0"/>
                <w:sz w:val="18"/>
                <w:szCs w:val="18"/>
              </w:rPr>
              <w:br/>
            </w:r>
            <w:r>
              <w:rPr>
                <w:rFonts w:ascii="宋体" w:hAnsi="宋体" w:cs="宋体" w:hint="eastAsia"/>
                <w:kern w:val="0"/>
                <w:sz w:val="18"/>
                <w:szCs w:val="18"/>
              </w:rPr>
              <w:t>标</w:t>
            </w:r>
          </w:p>
        </w:tc>
        <w:tc>
          <w:tcPr>
            <w:tcW w:w="980"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一级指标</w:t>
            </w:r>
          </w:p>
        </w:tc>
        <w:tc>
          <w:tcPr>
            <w:tcW w:w="1112"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二级指标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三级指标</w:t>
            </w:r>
          </w:p>
        </w:tc>
        <w:tc>
          <w:tcPr>
            <w:tcW w:w="850"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年度</w:t>
            </w:r>
          </w:p>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指标值</w:t>
            </w:r>
          </w:p>
        </w:tc>
        <w:tc>
          <w:tcPr>
            <w:tcW w:w="851"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实际</w:t>
            </w:r>
          </w:p>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完成值</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分值</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得分</w:t>
            </w:r>
          </w:p>
        </w:tc>
        <w:tc>
          <w:tcPr>
            <w:tcW w:w="1417" w:type="dxa"/>
            <w:gridSpan w:val="2"/>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偏差原因分析及改进措施</w:t>
            </w: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产出指标</w:t>
            </w: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数量指标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质量指标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时效指标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：完成时效性</w:t>
            </w:r>
          </w:p>
        </w:tc>
        <w:tc>
          <w:tcPr>
            <w:tcW w:w="850"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851"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25</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25</w:t>
            </w: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：记述完整性</w:t>
            </w:r>
          </w:p>
        </w:tc>
        <w:tc>
          <w:tcPr>
            <w:tcW w:w="850"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851"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25</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25</w:t>
            </w: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成本指标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效益指标</w:t>
            </w: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经济效益</w:t>
            </w:r>
          </w:p>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：内容字体无差错</w:t>
            </w:r>
          </w:p>
        </w:tc>
        <w:tc>
          <w:tcPr>
            <w:tcW w:w="850"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851"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25</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25</w:t>
            </w: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：按要求完成</w:t>
            </w:r>
          </w:p>
        </w:tc>
        <w:tc>
          <w:tcPr>
            <w:tcW w:w="850"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851"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25</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24</w:t>
            </w: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社会效益</w:t>
            </w:r>
          </w:p>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生态效益</w:t>
            </w:r>
          </w:p>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可持续影响指标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val="restart"/>
            <w:tcBorders>
              <w:top w:val="nil"/>
              <w:left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满意度</w:t>
            </w:r>
          </w:p>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服务对象满意度指标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6529" w:type="dxa"/>
            <w:gridSpan w:val="8"/>
            <w:tcBorders>
              <w:top w:val="single" w:sz="4" w:space="0" w:color="auto"/>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总分</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100</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color w:val="000000"/>
                <w:kern w:val="0"/>
                <w:sz w:val="18"/>
                <w:szCs w:val="18"/>
              </w:rPr>
            </w:pPr>
            <w:r>
              <w:rPr>
                <w:rFonts w:ascii="宋体" w:hAnsi="宋体" w:cs="宋体" w:hint="eastAsia"/>
                <w:color w:val="000000"/>
                <w:kern w:val="0"/>
                <w:sz w:val="18"/>
                <w:szCs w:val="18"/>
              </w:rPr>
              <w:t>99</w:t>
            </w: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454"/>
          <w:jc w:val="center"/>
        </w:trPr>
        <w:tc>
          <w:tcPr>
            <w:tcW w:w="9080" w:type="dxa"/>
            <w:gridSpan w:val="14"/>
            <w:tcBorders>
              <w:top w:val="nil"/>
              <w:left w:val="nil"/>
              <w:bottom w:val="nil"/>
              <w:right w:val="nil"/>
            </w:tcBorders>
            <w:vAlign w:val="center"/>
          </w:tcPr>
          <w:p w:rsidR="00DA1185" w:rsidRDefault="006D574A">
            <w:pPr>
              <w:widowControl/>
              <w:spacing w:line="320" w:lineRule="exact"/>
              <w:jc w:val="center"/>
              <w:rPr>
                <w:rFonts w:ascii="宋体" w:hAnsi="宋体" w:cs="宋体"/>
                <w:b/>
                <w:bCs/>
                <w:kern w:val="0"/>
                <w:sz w:val="32"/>
                <w:szCs w:val="32"/>
              </w:rPr>
            </w:pPr>
            <w:r>
              <w:rPr>
                <w:rFonts w:ascii="宋体" w:hAnsi="宋体" w:cs="宋体" w:hint="eastAsia"/>
                <w:b/>
                <w:bCs/>
                <w:kern w:val="0"/>
                <w:sz w:val="32"/>
                <w:szCs w:val="32"/>
              </w:rPr>
              <w:t>项目支出绩效自评表</w:t>
            </w:r>
          </w:p>
        </w:tc>
      </w:tr>
      <w:tr w:rsidR="00DA1185">
        <w:trPr>
          <w:trHeight w:val="201"/>
          <w:jc w:val="center"/>
        </w:trPr>
        <w:tc>
          <w:tcPr>
            <w:tcW w:w="9080" w:type="dxa"/>
            <w:gridSpan w:val="14"/>
            <w:tcBorders>
              <w:top w:val="nil"/>
              <w:left w:val="nil"/>
              <w:bottom w:val="nil"/>
              <w:right w:val="nil"/>
            </w:tcBorders>
          </w:tcPr>
          <w:p w:rsidR="00DA1185" w:rsidRDefault="006D574A">
            <w:pPr>
              <w:widowControl/>
              <w:jc w:val="center"/>
              <w:rPr>
                <w:rFonts w:ascii="宋体" w:hAnsi="宋体" w:cs="宋体"/>
                <w:kern w:val="0"/>
                <w:sz w:val="22"/>
              </w:rPr>
            </w:pPr>
            <w:r>
              <w:rPr>
                <w:rFonts w:ascii="宋体" w:hAnsi="宋体" w:cs="宋体" w:hint="eastAsia"/>
                <w:kern w:val="0"/>
                <w:sz w:val="22"/>
              </w:rPr>
              <w:t>（</w:t>
            </w:r>
            <w:r>
              <w:rPr>
                <w:rFonts w:ascii="宋体" w:hAnsi="宋体" w:cs="宋体" w:hint="eastAsia"/>
                <w:kern w:val="0"/>
                <w:sz w:val="22"/>
              </w:rPr>
              <w:t xml:space="preserve">   2019 </w:t>
            </w:r>
            <w:r>
              <w:rPr>
                <w:rFonts w:ascii="宋体" w:hAnsi="宋体" w:cs="宋体" w:hint="eastAsia"/>
                <w:kern w:val="0"/>
                <w:sz w:val="22"/>
              </w:rPr>
              <w:t>年度）</w:t>
            </w:r>
          </w:p>
        </w:tc>
      </w:tr>
      <w:tr w:rsidR="00DA1185">
        <w:trPr>
          <w:trHeight w:hRule="exact" w:val="300"/>
          <w:jc w:val="center"/>
        </w:trPr>
        <w:tc>
          <w:tcPr>
            <w:tcW w:w="1568" w:type="dxa"/>
            <w:gridSpan w:val="2"/>
            <w:tcBorders>
              <w:top w:val="single" w:sz="4" w:space="0" w:color="auto"/>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项目名称</w:t>
            </w:r>
          </w:p>
        </w:tc>
        <w:tc>
          <w:tcPr>
            <w:tcW w:w="7512" w:type="dxa"/>
            <w:gridSpan w:val="12"/>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无极县县志原本修改专项经费</w:t>
            </w:r>
          </w:p>
        </w:tc>
      </w:tr>
      <w:tr w:rsidR="00DA1185">
        <w:trPr>
          <w:trHeight w:hRule="exact" w:val="245"/>
          <w:jc w:val="center"/>
        </w:trPr>
        <w:tc>
          <w:tcPr>
            <w:tcW w:w="1568" w:type="dxa"/>
            <w:gridSpan w:val="2"/>
            <w:tcBorders>
              <w:top w:val="single" w:sz="4" w:space="0" w:color="auto"/>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主管部门</w:t>
            </w:r>
          </w:p>
        </w:tc>
        <w:tc>
          <w:tcPr>
            <w:tcW w:w="4110" w:type="dxa"/>
            <w:gridSpan w:val="5"/>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县委办</w:t>
            </w:r>
          </w:p>
        </w:tc>
        <w:tc>
          <w:tcPr>
            <w:tcW w:w="1134"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实施单位</w:t>
            </w:r>
          </w:p>
        </w:tc>
        <w:tc>
          <w:tcPr>
            <w:tcW w:w="2268" w:type="dxa"/>
            <w:gridSpan w:val="5"/>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1568" w:type="dxa"/>
            <w:gridSpan w:val="2"/>
            <w:vMerge w:val="restart"/>
            <w:tcBorders>
              <w:top w:val="single" w:sz="4" w:space="0" w:color="auto"/>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项目资金</w:t>
            </w:r>
            <w:r>
              <w:rPr>
                <w:rFonts w:ascii="宋体" w:hAnsi="宋体" w:cs="宋体" w:hint="eastAsia"/>
                <w:kern w:val="0"/>
                <w:sz w:val="18"/>
                <w:szCs w:val="18"/>
              </w:rPr>
              <w:br/>
            </w:r>
            <w:r>
              <w:rPr>
                <w:rFonts w:ascii="宋体" w:hAnsi="宋体" w:cs="宋体" w:hint="eastAsia"/>
                <w:kern w:val="0"/>
                <w:sz w:val="18"/>
                <w:szCs w:val="18"/>
              </w:rPr>
              <w:t>（万元）</w:t>
            </w:r>
          </w:p>
        </w:tc>
        <w:tc>
          <w:tcPr>
            <w:tcW w:w="1842"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年初预算数</w:t>
            </w:r>
          </w:p>
        </w:tc>
        <w:tc>
          <w:tcPr>
            <w:tcW w:w="1134"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全年预算数</w:t>
            </w:r>
          </w:p>
        </w:tc>
        <w:tc>
          <w:tcPr>
            <w:tcW w:w="1134"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全年执行数</w:t>
            </w:r>
          </w:p>
        </w:tc>
        <w:tc>
          <w:tcPr>
            <w:tcW w:w="709"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分值</w:t>
            </w:r>
          </w:p>
        </w:tc>
        <w:tc>
          <w:tcPr>
            <w:tcW w:w="851" w:type="dxa"/>
            <w:gridSpan w:val="2"/>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执行率</w:t>
            </w:r>
          </w:p>
        </w:tc>
        <w:tc>
          <w:tcPr>
            <w:tcW w:w="708"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得分</w:t>
            </w:r>
          </w:p>
        </w:tc>
      </w:tr>
      <w:tr w:rsidR="00DA1185">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rPr>
                <w:rFonts w:ascii="宋体" w:hAnsi="宋体" w:cs="宋体"/>
                <w:kern w:val="0"/>
                <w:sz w:val="18"/>
                <w:szCs w:val="18"/>
              </w:rPr>
            </w:pPr>
            <w:r>
              <w:rPr>
                <w:rFonts w:ascii="宋体" w:hAnsi="宋体" w:cs="宋体" w:hint="eastAsia"/>
                <w:kern w:val="0"/>
                <w:sz w:val="18"/>
                <w:szCs w:val="18"/>
              </w:rPr>
              <w:t>年度资金总额</w:t>
            </w:r>
          </w:p>
        </w:tc>
        <w:tc>
          <w:tcPr>
            <w:tcW w:w="1134"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eastAsia="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43.68</w:t>
            </w:r>
          </w:p>
        </w:tc>
        <w:tc>
          <w:tcPr>
            <w:tcW w:w="709"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851"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其中：当年财政拨款</w:t>
            </w:r>
          </w:p>
        </w:tc>
        <w:tc>
          <w:tcPr>
            <w:tcW w:w="1134"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DA1185">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 xml:space="preserve">      </w:t>
            </w:r>
            <w:r>
              <w:rPr>
                <w:rFonts w:ascii="宋体" w:hAnsi="宋体" w:cs="宋体" w:hint="eastAsia"/>
                <w:kern w:val="0"/>
                <w:sz w:val="18"/>
                <w:szCs w:val="18"/>
              </w:rPr>
              <w:t>上年结转资金</w:t>
            </w:r>
          </w:p>
        </w:tc>
        <w:tc>
          <w:tcPr>
            <w:tcW w:w="1134"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DA1185">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 xml:space="preserve">  </w:t>
            </w:r>
            <w:r>
              <w:rPr>
                <w:rFonts w:ascii="宋体" w:hAnsi="宋体" w:cs="宋体" w:hint="eastAsia"/>
                <w:kern w:val="0"/>
                <w:sz w:val="18"/>
                <w:szCs w:val="18"/>
              </w:rPr>
              <w:t>其他资金</w:t>
            </w:r>
          </w:p>
        </w:tc>
        <w:tc>
          <w:tcPr>
            <w:tcW w:w="1134"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DA1185">
        <w:trPr>
          <w:trHeight w:hRule="exact" w:val="300"/>
          <w:jc w:val="center"/>
        </w:trPr>
        <w:tc>
          <w:tcPr>
            <w:tcW w:w="588"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年度总体目标</w:t>
            </w:r>
          </w:p>
        </w:tc>
        <w:tc>
          <w:tcPr>
            <w:tcW w:w="5090" w:type="dxa"/>
            <w:gridSpan w:val="6"/>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预期目标</w:t>
            </w:r>
          </w:p>
        </w:tc>
        <w:tc>
          <w:tcPr>
            <w:tcW w:w="3402" w:type="dxa"/>
            <w:gridSpan w:val="7"/>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实际完成情况</w:t>
            </w:r>
          </w:p>
        </w:tc>
      </w:tr>
      <w:tr w:rsidR="00DA1185">
        <w:trPr>
          <w:trHeight w:hRule="exact" w:val="597"/>
          <w:jc w:val="center"/>
        </w:trPr>
        <w:tc>
          <w:tcPr>
            <w:tcW w:w="588"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090" w:type="dxa"/>
            <w:gridSpan w:val="6"/>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为永续传承和利用《无极县志》旧治，依据现代出版方式，重新编排、排版、印刷，方便大众阅读，让无极旧志走入寻常百姓家。</w:t>
            </w:r>
          </w:p>
        </w:tc>
        <w:tc>
          <w:tcPr>
            <w:tcW w:w="3402" w:type="dxa"/>
            <w:gridSpan w:val="7"/>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533"/>
          <w:jc w:val="center"/>
        </w:trPr>
        <w:tc>
          <w:tcPr>
            <w:tcW w:w="588" w:type="dxa"/>
            <w:vMerge w:val="restart"/>
            <w:tcBorders>
              <w:top w:val="nil"/>
              <w:left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绩</w:t>
            </w:r>
            <w:r>
              <w:rPr>
                <w:rFonts w:ascii="宋体" w:hAnsi="宋体" w:cs="宋体" w:hint="eastAsia"/>
                <w:kern w:val="0"/>
                <w:sz w:val="18"/>
                <w:szCs w:val="18"/>
              </w:rPr>
              <w:br/>
            </w:r>
            <w:r>
              <w:rPr>
                <w:rFonts w:ascii="宋体" w:hAnsi="宋体" w:cs="宋体" w:hint="eastAsia"/>
                <w:kern w:val="0"/>
                <w:sz w:val="18"/>
                <w:szCs w:val="18"/>
              </w:rPr>
              <w:t>效</w:t>
            </w:r>
            <w:r>
              <w:rPr>
                <w:rFonts w:ascii="宋体" w:hAnsi="宋体" w:cs="宋体" w:hint="eastAsia"/>
                <w:kern w:val="0"/>
                <w:sz w:val="18"/>
                <w:szCs w:val="18"/>
              </w:rPr>
              <w:br/>
            </w:r>
            <w:r>
              <w:rPr>
                <w:rFonts w:ascii="宋体" w:hAnsi="宋体" w:cs="宋体" w:hint="eastAsia"/>
                <w:kern w:val="0"/>
                <w:sz w:val="18"/>
                <w:szCs w:val="18"/>
              </w:rPr>
              <w:t>指</w:t>
            </w:r>
            <w:r>
              <w:rPr>
                <w:rFonts w:ascii="宋体" w:hAnsi="宋体" w:cs="宋体" w:hint="eastAsia"/>
                <w:kern w:val="0"/>
                <w:sz w:val="18"/>
                <w:szCs w:val="18"/>
              </w:rPr>
              <w:br/>
            </w:r>
            <w:r>
              <w:rPr>
                <w:rFonts w:ascii="宋体" w:hAnsi="宋体" w:cs="宋体" w:hint="eastAsia"/>
                <w:kern w:val="0"/>
                <w:sz w:val="18"/>
                <w:szCs w:val="18"/>
              </w:rPr>
              <w:t>标</w:t>
            </w:r>
          </w:p>
        </w:tc>
        <w:tc>
          <w:tcPr>
            <w:tcW w:w="980"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一级指标</w:t>
            </w:r>
          </w:p>
        </w:tc>
        <w:tc>
          <w:tcPr>
            <w:tcW w:w="1112"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二级指标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三级指标</w:t>
            </w:r>
          </w:p>
        </w:tc>
        <w:tc>
          <w:tcPr>
            <w:tcW w:w="850"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年度</w:t>
            </w:r>
          </w:p>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指标值</w:t>
            </w:r>
          </w:p>
        </w:tc>
        <w:tc>
          <w:tcPr>
            <w:tcW w:w="851"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实际</w:t>
            </w:r>
          </w:p>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完成值</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分值</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得分</w:t>
            </w:r>
          </w:p>
        </w:tc>
        <w:tc>
          <w:tcPr>
            <w:tcW w:w="1417" w:type="dxa"/>
            <w:gridSpan w:val="2"/>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偏差原因分析及改进措施</w:t>
            </w: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产出指标</w:t>
            </w: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数量指标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448"/>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质量指标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：为学科的研究提供宝贵的资料</w:t>
            </w:r>
          </w:p>
        </w:tc>
        <w:tc>
          <w:tcPr>
            <w:tcW w:w="850"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851"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20</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20</w:t>
            </w: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：为历时佐证资料</w:t>
            </w:r>
          </w:p>
        </w:tc>
        <w:tc>
          <w:tcPr>
            <w:tcW w:w="850"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1001</w:t>
            </w:r>
          </w:p>
        </w:tc>
        <w:tc>
          <w:tcPr>
            <w:tcW w:w="851"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30</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25</w:t>
            </w: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时效指标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成本指标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效益指标</w:t>
            </w: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经济效益</w:t>
            </w:r>
          </w:p>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209"/>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社会效益</w:t>
            </w:r>
          </w:p>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：永续传承旧志</w:t>
            </w:r>
          </w:p>
        </w:tc>
        <w:tc>
          <w:tcPr>
            <w:tcW w:w="850"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851"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25</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25</w:t>
            </w: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：利用旧志</w:t>
            </w:r>
          </w:p>
        </w:tc>
        <w:tc>
          <w:tcPr>
            <w:tcW w:w="850"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851"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25</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25</w:t>
            </w: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生态效益</w:t>
            </w:r>
          </w:p>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可持续影响指标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val="restart"/>
            <w:tcBorders>
              <w:top w:val="nil"/>
              <w:left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满意度</w:t>
            </w:r>
          </w:p>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服务对象满意度指标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6529" w:type="dxa"/>
            <w:gridSpan w:val="8"/>
            <w:tcBorders>
              <w:top w:val="single" w:sz="4" w:space="0" w:color="auto"/>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总分</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100</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color w:val="000000"/>
                <w:kern w:val="0"/>
                <w:sz w:val="18"/>
                <w:szCs w:val="18"/>
              </w:rPr>
            </w:pPr>
            <w:r>
              <w:rPr>
                <w:rFonts w:ascii="宋体" w:hAnsi="宋体" w:cs="宋体" w:hint="eastAsia"/>
                <w:color w:val="000000"/>
                <w:kern w:val="0"/>
                <w:sz w:val="18"/>
                <w:szCs w:val="18"/>
              </w:rPr>
              <w:t>95</w:t>
            </w: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454"/>
          <w:jc w:val="center"/>
        </w:trPr>
        <w:tc>
          <w:tcPr>
            <w:tcW w:w="9080" w:type="dxa"/>
            <w:gridSpan w:val="14"/>
            <w:tcBorders>
              <w:top w:val="nil"/>
              <w:left w:val="nil"/>
              <w:bottom w:val="nil"/>
              <w:right w:val="nil"/>
            </w:tcBorders>
            <w:vAlign w:val="center"/>
          </w:tcPr>
          <w:p w:rsidR="00DA1185" w:rsidRDefault="006D574A">
            <w:pPr>
              <w:widowControl/>
              <w:spacing w:line="320" w:lineRule="exact"/>
              <w:jc w:val="center"/>
              <w:rPr>
                <w:rFonts w:ascii="宋体" w:hAnsi="宋体" w:cs="宋体"/>
                <w:b/>
                <w:bCs/>
                <w:kern w:val="0"/>
                <w:sz w:val="32"/>
                <w:szCs w:val="32"/>
              </w:rPr>
            </w:pPr>
            <w:r>
              <w:rPr>
                <w:rFonts w:ascii="宋体" w:hAnsi="宋体" w:cs="宋体" w:hint="eastAsia"/>
                <w:b/>
                <w:bCs/>
                <w:kern w:val="0"/>
                <w:sz w:val="32"/>
                <w:szCs w:val="32"/>
              </w:rPr>
              <w:t>项目支出绩效自评表</w:t>
            </w:r>
          </w:p>
        </w:tc>
      </w:tr>
      <w:tr w:rsidR="00DA1185">
        <w:trPr>
          <w:trHeight w:val="201"/>
          <w:jc w:val="center"/>
        </w:trPr>
        <w:tc>
          <w:tcPr>
            <w:tcW w:w="9080" w:type="dxa"/>
            <w:gridSpan w:val="14"/>
            <w:tcBorders>
              <w:top w:val="nil"/>
              <w:left w:val="nil"/>
              <w:bottom w:val="nil"/>
              <w:right w:val="nil"/>
            </w:tcBorders>
          </w:tcPr>
          <w:p w:rsidR="00DA1185" w:rsidRDefault="006D574A">
            <w:pPr>
              <w:widowControl/>
              <w:jc w:val="center"/>
              <w:rPr>
                <w:rFonts w:ascii="宋体" w:hAnsi="宋体" w:cs="宋体"/>
                <w:kern w:val="0"/>
                <w:sz w:val="22"/>
              </w:rPr>
            </w:pPr>
            <w:r>
              <w:rPr>
                <w:rFonts w:ascii="宋体" w:hAnsi="宋体" w:cs="宋体" w:hint="eastAsia"/>
                <w:kern w:val="0"/>
                <w:sz w:val="22"/>
              </w:rPr>
              <w:t>（</w:t>
            </w:r>
            <w:r>
              <w:rPr>
                <w:rFonts w:ascii="宋体" w:hAnsi="宋体" w:cs="宋体" w:hint="eastAsia"/>
                <w:kern w:val="0"/>
                <w:sz w:val="22"/>
              </w:rPr>
              <w:t xml:space="preserve"> 2019   </w:t>
            </w:r>
            <w:r>
              <w:rPr>
                <w:rFonts w:ascii="宋体" w:hAnsi="宋体" w:cs="宋体" w:hint="eastAsia"/>
                <w:kern w:val="0"/>
                <w:sz w:val="22"/>
              </w:rPr>
              <w:t>年度）</w:t>
            </w:r>
          </w:p>
        </w:tc>
      </w:tr>
      <w:tr w:rsidR="00DA1185">
        <w:trPr>
          <w:trHeight w:hRule="exact" w:val="300"/>
          <w:jc w:val="center"/>
        </w:trPr>
        <w:tc>
          <w:tcPr>
            <w:tcW w:w="1568" w:type="dxa"/>
            <w:gridSpan w:val="2"/>
            <w:tcBorders>
              <w:top w:val="single" w:sz="4" w:space="0" w:color="auto"/>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项目名称</w:t>
            </w:r>
          </w:p>
        </w:tc>
        <w:tc>
          <w:tcPr>
            <w:tcW w:w="7512" w:type="dxa"/>
            <w:gridSpan w:val="12"/>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无极县机关效能办公室工作专项经费</w:t>
            </w:r>
          </w:p>
        </w:tc>
      </w:tr>
      <w:tr w:rsidR="00DA1185">
        <w:trPr>
          <w:trHeight w:hRule="exact" w:val="300"/>
          <w:jc w:val="center"/>
        </w:trPr>
        <w:tc>
          <w:tcPr>
            <w:tcW w:w="1568" w:type="dxa"/>
            <w:gridSpan w:val="2"/>
            <w:tcBorders>
              <w:top w:val="single" w:sz="4" w:space="0" w:color="auto"/>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主管部门</w:t>
            </w:r>
          </w:p>
        </w:tc>
        <w:tc>
          <w:tcPr>
            <w:tcW w:w="4110" w:type="dxa"/>
            <w:gridSpan w:val="5"/>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县委办</w:t>
            </w:r>
          </w:p>
        </w:tc>
        <w:tc>
          <w:tcPr>
            <w:tcW w:w="1134"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实施单位</w:t>
            </w:r>
          </w:p>
        </w:tc>
        <w:tc>
          <w:tcPr>
            <w:tcW w:w="2268" w:type="dxa"/>
            <w:gridSpan w:val="5"/>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1568" w:type="dxa"/>
            <w:gridSpan w:val="2"/>
            <w:vMerge w:val="restart"/>
            <w:tcBorders>
              <w:top w:val="single" w:sz="4" w:space="0" w:color="auto"/>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项目资金</w:t>
            </w:r>
            <w:r>
              <w:rPr>
                <w:rFonts w:ascii="宋体" w:hAnsi="宋体" w:cs="宋体" w:hint="eastAsia"/>
                <w:kern w:val="0"/>
                <w:sz w:val="18"/>
                <w:szCs w:val="18"/>
              </w:rPr>
              <w:br/>
            </w:r>
            <w:r>
              <w:rPr>
                <w:rFonts w:ascii="宋体" w:hAnsi="宋体" w:cs="宋体" w:hint="eastAsia"/>
                <w:kern w:val="0"/>
                <w:sz w:val="18"/>
                <w:szCs w:val="18"/>
              </w:rPr>
              <w:t>（万元）</w:t>
            </w:r>
          </w:p>
        </w:tc>
        <w:tc>
          <w:tcPr>
            <w:tcW w:w="1842"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年初预算数</w:t>
            </w:r>
          </w:p>
        </w:tc>
        <w:tc>
          <w:tcPr>
            <w:tcW w:w="1134"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全年预算数</w:t>
            </w:r>
          </w:p>
        </w:tc>
        <w:tc>
          <w:tcPr>
            <w:tcW w:w="1134"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全年执行数</w:t>
            </w:r>
          </w:p>
        </w:tc>
        <w:tc>
          <w:tcPr>
            <w:tcW w:w="709"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分值</w:t>
            </w:r>
          </w:p>
        </w:tc>
        <w:tc>
          <w:tcPr>
            <w:tcW w:w="851" w:type="dxa"/>
            <w:gridSpan w:val="2"/>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执行率</w:t>
            </w:r>
          </w:p>
        </w:tc>
        <w:tc>
          <w:tcPr>
            <w:tcW w:w="708"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得分</w:t>
            </w:r>
          </w:p>
        </w:tc>
      </w:tr>
      <w:tr w:rsidR="00DA1185">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rPr>
                <w:rFonts w:ascii="宋体" w:hAnsi="宋体" w:cs="宋体"/>
                <w:kern w:val="0"/>
                <w:sz w:val="18"/>
                <w:szCs w:val="18"/>
              </w:rPr>
            </w:pPr>
            <w:r>
              <w:rPr>
                <w:rFonts w:ascii="宋体" w:hAnsi="宋体" w:cs="宋体" w:hint="eastAsia"/>
                <w:kern w:val="0"/>
                <w:sz w:val="18"/>
                <w:szCs w:val="18"/>
              </w:rPr>
              <w:t>年度资金总额</w:t>
            </w:r>
          </w:p>
        </w:tc>
        <w:tc>
          <w:tcPr>
            <w:tcW w:w="1134"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5</w:t>
            </w:r>
          </w:p>
        </w:tc>
        <w:tc>
          <w:tcPr>
            <w:tcW w:w="1134"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3.87</w:t>
            </w:r>
          </w:p>
        </w:tc>
        <w:tc>
          <w:tcPr>
            <w:tcW w:w="709"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851"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其中：当年财政拨款</w:t>
            </w:r>
          </w:p>
        </w:tc>
        <w:tc>
          <w:tcPr>
            <w:tcW w:w="1134"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DA1185">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 xml:space="preserve">      </w:t>
            </w:r>
            <w:r>
              <w:rPr>
                <w:rFonts w:ascii="宋体" w:hAnsi="宋体" w:cs="宋体" w:hint="eastAsia"/>
                <w:kern w:val="0"/>
                <w:sz w:val="18"/>
                <w:szCs w:val="18"/>
              </w:rPr>
              <w:t>上年结转资金</w:t>
            </w:r>
          </w:p>
        </w:tc>
        <w:tc>
          <w:tcPr>
            <w:tcW w:w="1134"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DA1185">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 xml:space="preserve">  </w:t>
            </w:r>
            <w:r>
              <w:rPr>
                <w:rFonts w:ascii="宋体" w:hAnsi="宋体" w:cs="宋体" w:hint="eastAsia"/>
                <w:kern w:val="0"/>
                <w:sz w:val="18"/>
                <w:szCs w:val="18"/>
              </w:rPr>
              <w:t>其他资金</w:t>
            </w:r>
          </w:p>
        </w:tc>
        <w:tc>
          <w:tcPr>
            <w:tcW w:w="1134"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DA1185">
        <w:trPr>
          <w:trHeight w:hRule="exact" w:val="300"/>
          <w:jc w:val="center"/>
        </w:trPr>
        <w:tc>
          <w:tcPr>
            <w:tcW w:w="588"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年度总体目标</w:t>
            </w:r>
          </w:p>
        </w:tc>
        <w:tc>
          <w:tcPr>
            <w:tcW w:w="5090" w:type="dxa"/>
            <w:gridSpan w:val="6"/>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预期目标</w:t>
            </w:r>
          </w:p>
        </w:tc>
        <w:tc>
          <w:tcPr>
            <w:tcW w:w="3402" w:type="dxa"/>
            <w:gridSpan w:val="7"/>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实际完成情况</w:t>
            </w:r>
          </w:p>
        </w:tc>
      </w:tr>
      <w:tr w:rsidR="00DA1185">
        <w:trPr>
          <w:trHeight w:hRule="exact" w:val="871"/>
          <w:jc w:val="center"/>
        </w:trPr>
        <w:tc>
          <w:tcPr>
            <w:tcW w:w="588"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090" w:type="dxa"/>
            <w:gridSpan w:val="6"/>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为深入贯彻落实省市有关“三深化，三改革”机关效能革命有关部署，我县成立机关效能办公室，负责全面工作，为保障工作开展，急需购置</w:t>
            </w:r>
            <w:proofErr w:type="gramStart"/>
            <w:r>
              <w:rPr>
                <w:rFonts w:ascii="宋体" w:hAnsi="宋体" w:cs="宋体" w:hint="eastAsia"/>
                <w:kern w:val="0"/>
                <w:sz w:val="18"/>
                <w:szCs w:val="18"/>
              </w:rPr>
              <w:t>一</w:t>
            </w:r>
            <w:proofErr w:type="gramEnd"/>
            <w:r>
              <w:rPr>
                <w:rFonts w:ascii="宋体" w:hAnsi="宋体" w:cs="宋体" w:hint="eastAsia"/>
                <w:kern w:val="0"/>
                <w:sz w:val="18"/>
                <w:szCs w:val="18"/>
              </w:rPr>
              <w:t>批办公用品和日常办公经费。</w:t>
            </w:r>
          </w:p>
        </w:tc>
        <w:tc>
          <w:tcPr>
            <w:tcW w:w="3402" w:type="dxa"/>
            <w:gridSpan w:val="7"/>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533"/>
          <w:jc w:val="center"/>
        </w:trPr>
        <w:tc>
          <w:tcPr>
            <w:tcW w:w="588" w:type="dxa"/>
            <w:vMerge w:val="restart"/>
            <w:tcBorders>
              <w:top w:val="nil"/>
              <w:left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绩</w:t>
            </w:r>
            <w:r>
              <w:rPr>
                <w:rFonts w:ascii="宋体" w:hAnsi="宋体" w:cs="宋体" w:hint="eastAsia"/>
                <w:kern w:val="0"/>
                <w:sz w:val="18"/>
                <w:szCs w:val="18"/>
              </w:rPr>
              <w:br/>
            </w:r>
            <w:r>
              <w:rPr>
                <w:rFonts w:ascii="宋体" w:hAnsi="宋体" w:cs="宋体" w:hint="eastAsia"/>
                <w:kern w:val="0"/>
                <w:sz w:val="18"/>
                <w:szCs w:val="18"/>
              </w:rPr>
              <w:t>效</w:t>
            </w:r>
            <w:r>
              <w:rPr>
                <w:rFonts w:ascii="宋体" w:hAnsi="宋体" w:cs="宋体" w:hint="eastAsia"/>
                <w:kern w:val="0"/>
                <w:sz w:val="18"/>
                <w:szCs w:val="18"/>
              </w:rPr>
              <w:br/>
            </w:r>
            <w:r>
              <w:rPr>
                <w:rFonts w:ascii="宋体" w:hAnsi="宋体" w:cs="宋体" w:hint="eastAsia"/>
                <w:kern w:val="0"/>
                <w:sz w:val="18"/>
                <w:szCs w:val="18"/>
              </w:rPr>
              <w:t>指</w:t>
            </w:r>
            <w:r>
              <w:rPr>
                <w:rFonts w:ascii="宋体" w:hAnsi="宋体" w:cs="宋体" w:hint="eastAsia"/>
                <w:kern w:val="0"/>
                <w:sz w:val="18"/>
                <w:szCs w:val="18"/>
              </w:rPr>
              <w:br/>
            </w:r>
            <w:r>
              <w:rPr>
                <w:rFonts w:ascii="宋体" w:hAnsi="宋体" w:cs="宋体" w:hint="eastAsia"/>
                <w:kern w:val="0"/>
                <w:sz w:val="18"/>
                <w:szCs w:val="18"/>
              </w:rPr>
              <w:t>标</w:t>
            </w:r>
          </w:p>
        </w:tc>
        <w:tc>
          <w:tcPr>
            <w:tcW w:w="980"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一级指标</w:t>
            </w:r>
          </w:p>
        </w:tc>
        <w:tc>
          <w:tcPr>
            <w:tcW w:w="1112"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二级指标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三级指标</w:t>
            </w:r>
          </w:p>
        </w:tc>
        <w:tc>
          <w:tcPr>
            <w:tcW w:w="850"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年度</w:t>
            </w:r>
          </w:p>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指标值</w:t>
            </w:r>
          </w:p>
        </w:tc>
        <w:tc>
          <w:tcPr>
            <w:tcW w:w="851"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实际</w:t>
            </w:r>
          </w:p>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完成值</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分值</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得分</w:t>
            </w:r>
          </w:p>
        </w:tc>
        <w:tc>
          <w:tcPr>
            <w:tcW w:w="1417" w:type="dxa"/>
            <w:gridSpan w:val="2"/>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偏差原因分析及改进措施</w:t>
            </w: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产出指标</w:t>
            </w: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数量指标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：指导</w:t>
            </w:r>
            <w:proofErr w:type="gramStart"/>
            <w:r>
              <w:rPr>
                <w:rFonts w:ascii="宋体" w:hAnsi="宋体" w:cs="宋体" w:hint="eastAsia"/>
                <w:color w:val="000000"/>
                <w:kern w:val="0"/>
                <w:sz w:val="18"/>
                <w:szCs w:val="18"/>
              </w:rPr>
              <w:t>首发率</w:t>
            </w:r>
            <w:proofErr w:type="gramEnd"/>
          </w:p>
        </w:tc>
        <w:tc>
          <w:tcPr>
            <w:tcW w:w="850"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851"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25</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25</w:t>
            </w: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：办公室自动化覆盖率</w:t>
            </w:r>
          </w:p>
        </w:tc>
        <w:tc>
          <w:tcPr>
            <w:tcW w:w="850"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851"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25</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25</w:t>
            </w: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质量指标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时效指标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成本指标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效益指标</w:t>
            </w: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经济效益</w:t>
            </w:r>
          </w:p>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社会效益</w:t>
            </w:r>
          </w:p>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：数据共享率</w:t>
            </w:r>
          </w:p>
        </w:tc>
        <w:tc>
          <w:tcPr>
            <w:tcW w:w="850"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851"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25</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25</w:t>
            </w: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277"/>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：人才增长率</w:t>
            </w:r>
          </w:p>
        </w:tc>
        <w:tc>
          <w:tcPr>
            <w:tcW w:w="850"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851"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25</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24</w:t>
            </w: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生态效益</w:t>
            </w:r>
          </w:p>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可持续影响指标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13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val="restart"/>
            <w:tcBorders>
              <w:top w:val="nil"/>
              <w:left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满意度</w:t>
            </w:r>
          </w:p>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服务对象满意度指标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6529" w:type="dxa"/>
            <w:gridSpan w:val="8"/>
            <w:tcBorders>
              <w:top w:val="single" w:sz="4" w:space="0" w:color="auto"/>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总分</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100</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color w:val="000000"/>
                <w:kern w:val="0"/>
                <w:sz w:val="18"/>
                <w:szCs w:val="18"/>
              </w:rPr>
            </w:pPr>
            <w:r>
              <w:rPr>
                <w:rFonts w:ascii="宋体" w:hAnsi="宋体" w:cs="宋体" w:hint="eastAsia"/>
                <w:color w:val="000000"/>
                <w:kern w:val="0"/>
                <w:sz w:val="18"/>
                <w:szCs w:val="18"/>
              </w:rPr>
              <w:t>99</w:t>
            </w: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bl>
    <w:p w:rsidR="00DA1185" w:rsidRDefault="00DA1185">
      <w:pPr>
        <w:spacing w:line="300" w:lineRule="exact"/>
        <w:rPr>
          <w:rFonts w:ascii="黑体" w:eastAsia="黑体" w:hAnsi="黑体"/>
          <w:sz w:val="32"/>
          <w:szCs w:val="32"/>
        </w:rPr>
      </w:pPr>
    </w:p>
    <w:p w:rsidR="00DA1185" w:rsidRDefault="00DA1185">
      <w:pPr>
        <w:spacing w:line="300" w:lineRule="exact"/>
        <w:rPr>
          <w:rFonts w:ascii="黑体" w:eastAsia="黑体" w:hAnsi="黑体"/>
          <w:sz w:val="32"/>
          <w:szCs w:val="32"/>
        </w:rPr>
      </w:pPr>
    </w:p>
    <w:p w:rsidR="00DA1185" w:rsidRDefault="00DA1185">
      <w:pPr>
        <w:spacing w:line="300" w:lineRule="exact"/>
        <w:rPr>
          <w:rFonts w:ascii="黑体" w:eastAsia="黑体" w:hAnsi="黑体"/>
          <w:sz w:val="32"/>
          <w:szCs w:val="32"/>
        </w:rPr>
      </w:pPr>
    </w:p>
    <w:p w:rsidR="00DA1185" w:rsidRDefault="00DA1185">
      <w:pPr>
        <w:spacing w:line="300" w:lineRule="exact"/>
        <w:rPr>
          <w:rFonts w:ascii="黑体" w:eastAsia="黑体" w:hAnsi="黑体"/>
          <w:sz w:val="32"/>
          <w:szCs w:val="32"/>
        </w:rPr>
      </w:pPr>
    </w:p>
    <w:p w:rsidR="00DA1185" w:rsidRDefault="00DA1185">
      <w:pPr>
        <w:spacing w:line="300" w:lineRule="exact"/>
        <w:rPr>
          <w:rFonts w:ascii="黑体" w:eastAsia="黑体" w:hAnsi="黑体"/>
          <w:sz w:val="32"/>
          <w:szCs w:val="32"/>
        </w:rPr>
      </w:pPr>
    </w:p>
    <w:p w:rsidR="00DA1185" w:rsidRDefault="00DA1185">
      <w:pPr>
        <w:spacing w:line="300" w:lineRule="exact"/>
        <w:rPr>
          <w:rFonts w:ascii="黑体" w:eastAsia="黑体" w:hAnsi="黑体"/>
          <w:sz w:val="32"/>
          <w:szCs w:val="32"/>
        </w:rPr>
      </w:pPr>
    </w:p>
    <w:p w:rsidR="00DA1185" w:rsidRDefault="00DA1185">
      <w:pPr>
        <w:spacing w:line="300" w:lineRule="exact"/>
        <w:rPr>
          <w:rFonts w:ascii="黑体" w:eastAsia="黑体" w:hAnsi="黑体"/>
          <w:sz w:val="32"/>
          <w:szCs w:val="32"/>
        </w:rPr>
      </w:pPr>
    </w:p>
    <w:tbl>
      <w:tblPr>
        <w:tblW w:w="9080" w:type="dxa"/>
        <w:jc w:val="center"/>
        <w:tblLayout w:type="fixed"/>
        <w:tblLook w:val="04A0" w:firstRow="1" w:lastRow="0" w:firstColumn="1" w:lastColumn="0" w:noHBand="0" w:noVBand="1"/>
      </w:tblPr>
      <w:tblGrid>
        <w:gridCol w:w="588"/>
        <w:gridCol w:w="980"/>
        <w:gridCol w:w="1112"/>
        <w:gridCol w:w="730"/>
        <w:gridCol w:w="1134"/>
        <w:gridCol w:w="284"/>
        <w:gridCol w:w="850"/>
        <w:gridCol w:w="851"/>
        <w:gridCol w:w="283"/>
        <w:gridCol w:w="284"/>
        <w:gridCol w:w="425"/>
        <w:gridCol w:w="142"/>
        <w:gridCol w:w="709"/>
        <w:gridCol w:w="708"/>
      </w:tblGrid>
      <w:tr w:rsidR="00DA1185">
        <w:trPr>
          <w:trHeight w:hRule="exact" w:val="454"/>
          <w:jc w:val="center"/>
        </w:trPr>
        <w:tc>
          <w:tcPr>
            <w:tcW w:w="9080" w:type="dxa"/>
            <w:gridSpan w:val="14"/>
            <w:tcBorders>
              <w:top w:val="nil"/>
              <w:left w:val="nil"/>
              <w:bottom w:val="nil"/>
              <w:right w:val="nil"/>
            </w:tcBorders>
            <w:vAlign w:val="center"/>
          </w:tcPr>
          <w:p w:rsidR="00DA1185" w:rsidRDefault="006D574A">
            <w:pPr>
              <w:widowControl/>
              <w:spacing w:line="320" w:lineRule="exact"/>
              <w:jc w:val="center"/>
              <w:rPr>
                <w:rFonts w:ascii="宋体" w:hAnsi="宋体" w:cs="宋体"/>
                <w:b/>
                <w:bCs/>
                <w:kern w:val="0"/>
                <w:sz w:val="32"/>
                <w:szCs w:val="32"/>
              </w:rPr>
            </w:pPr>
            <w:r>
              <w:rPr>
                <w:rFonts w:ascii="宋体" w:hAnsi="宋体" w:cs="宋体" w:hint="eastAsia"/>
                <w:b/>
                <w:bCs/>
                <w:kern w:val="0"/>
                <w:sz w:val="32"/>
                <w:szCs w:val="32"/>
              </w:rPr>
              <w:t>项目支出绩效自评表</w:t>
            </w:r>
          </w:p>
        </w:tc>
      </w:tr>
      <w:tr w:rsidR="00DA1185">
        <w:trPr>
          <w:trHeight w:val="201"/>
          <w:jc w:val="center"/>
        </w:trPr>
        <w:tc>
          <w:tcPr>
            <w:tcW w:w="9080" w:type="dxa"/>
            <w:gridSpan w:val="14"/>
            <w:tcBorders>
              <w:top w:val="nil"/>
              <w:left w:val="nil"/>
              <w:bottom w:val="nil"/>
              <w:right w:val="nil"/>
            </w:tcBorders>
          </w:tcPr>
          <w:p w:rsidR="00DA1185" w:rsidRDefault="006D574A">
            <w:pPr>
              <w:widowControl/>
              <w:jc w:val="center"/>
              <w:rPr>
                <w:rFonts w:ascii="宋体" w:hAnsi="宋体" w:cs="宋体"/>
                <w:kern w:val="0"/>
                <w:sz w:val="22"/>
              </w:rPr>
            </w:pPr>
            <w:r>
              <w:rPr>
                <w:rFonts w:ascii="宋体" w:hAnsi="宋体" w:cs="宋体" w:hint="eastAsia"/>
                <w:kern w:val="0"/>
                <w:sz w:val="22"/>
              </w:rPr>
              <w:t>（</w:t>
            </w:r>
            <w:r>
              <w:rPr>
                <w:rFonts w:ascii="宋体" w:hAnsi="宋体" w:cs="宋体" w:hint="eastAsia"/>
                <w:kern w:val="0"/>
                <w:sz w:val="22"/>
              </w:rPr>
              <w:t xml:space="preserve">  2019  </w:t>
            </w:r>
            <w:r>
              <w:rPr>
                <w:rFonts w:ascii="宋体" w:hAnsi="宋体" w:cs="宋体" w:hint="eastAsia"/>
                <w:kern w:val="0"/>
                <w:sz w:val="22"/>
              </w:rPr>
              <w:t>年度）</w:t>
            </w:r>
          </w:p>
        </w:tc>
      </w:tr>
      <w:tr w:rsidR="00DA1185">
        <w:trPr>
          <w:trHeight w:hRule="exact" w:val="300"/>
          <w:jc w:val="center"/>
        </w:trPr>
        <w:tc>
          <w:tcPr>
            <w:tcW w:w="1568" w:type="dxa"/>
            <w:gridSpan w:val="2"/>
            <w:tcBorders>
              <w:top w:val="single" w:sz="4" w:space="0" w:color="auto"/>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项目名称</w:t>
            </w:r>
          </w:p>
        </w:tc>
        <w:tc>
          <w:tcPr>
            <w:tcW w:w="7512" w:type="dxa"/>
            <w:gridSpan w:val="12"/>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2019</w:t>
            </w:r>
            <w:r>
              <w:rPr>
                <w:rFonts w:ascii="宋体" w:hAnsi="宋体" w:cs="宋体" w:hint="eastAsia"/>
                <w:kern w:val="0"/>
                <w:sz w:val="18"/>
                <w:szCs w:val="18"/>
              </w:rPr>
              <w:t>年县委办党史编纂经费</w:t>
            </w:r>
          </w:p>
        </w:tc>
      </w:tr>
      <w:tr w:rsidR="00DA1185">
        <w:trPr>
          <w:trHeight w:hRule="exact" w:val="300"/>
          <w:jc w:val="center"/>
        </w:trPr>
        <w:tc>
          <w:tcPr>
            <w:tcW w:w="1568" w:type="dxa"/>
            <w:gridSpan w:val="2"/>
            <w:tcBorders>
              <w:top w:val="single" w:sz="4" w:space="0" w:color="auto"/>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主管部门</w:t>
            </w:r>
          </w:p>
        </w:tc>
        <w:tc>
          <w:tcPr>
            <w:tcW w:w="4110" w:type="dxa"/>
            <w:gridSpan w:val="5"/>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县委办</w:t>
            </w:r>
          </w:p>
        </w:tc>
        <w:tc>
          <w:tcPr>
            <w:tcW w:w="1134"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实施单位</w:t>
            </w:r>
          </w:p>
        </w:tc>
        <w:tc>
          <w:tcPr>
            <w:tcW w:w="2268" w:type="dxa"/>
            <w:gridSpan w:val="5"/>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1568" w:type="dxa"/>
            <w:gridSpan w:val="2"/>
            <w:vMerge w:val="restart"/>
            <w:tcBorders>
              <w:top w:val="single" w:sz="4" w:space="0" w:color="auto"/>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项目资金</w:t>
            </w:r>
            <w:r>
              <w:rPr>
                <w:rFonts w:ascii="宋体" w:hAnsi="宋体" w:cs="宋体" w:hint="eastAsia"/>
                <w:kern w:val="0"/>
                <w:sz w:val="18"/>
                <w:szCs w:val="18"/>
              </w:rPr>
              <w:br/>
            </w:r>
            <w:r>
              <w:rPr>
                <w:rFonts w:ascii="宋体" w:hAnsi="宋体" w:cs="宋体" w:hint="eastAsia"/>
                <w:kern w:val="0"/>
                <w:sz w:val="18"/>
                <w:szCs w:val="18"/>
              </w:rPr>
              <w:t>（万元）</w:t>
            </w:r>
          </w:p>
        </w:tc>
        <w:tc>
          <w:tcPr>
            <w:tcW w:w="1842"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年初预算数</w:t>
            </w:r>
          </w:p>
        </w:tc>
        <w:tc>
          <w:tcPr>
            <w:tcW w:w="1134"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全年预算数</w:t>
            </w:r>
          </w:p>
        </w:tc>
        <w:tc>
          <w:tcPr>
            <w:tcW w:w="1134"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全年执行数</w:t>
            </w:r>
          </w:p>
        </w:tc>
        <w:tc>
          <w:tcPr>
            <w:tcW w:w="709"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分值</w:t>
            </w:r>
          </w:p>
        </w:tc>
        <w:tc>
          <w:tcPr>
            <w:tcW w:w="851" w:type="dxa"/>
            <w:gridSpan w:val="2"/>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执行率</w:t>
            </w:r>
          </w:p>
        </w:tc>
        <w:tc>
          <w:tcPr>
            <w:tcW w:w="708"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得分</w:t>
            </w:r>
          </w:p>
        </w:tc>
      </w:tr>
      <w:tr w:rsidR="00DA1185">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rPr>
                <w:rFonts w:ascii="宋体" w:hAnsi="宋体" w:cs="宋体"/>
                <w:kern w:val="0"/>
                <w:sz w:val="18"/>
                <w:szCs w:val="18"/>
              </w:rPr>
            </w:pPr>
            <w:r>
              <w:rPr>
                <w:rFonts w:ascii="宋体" w:hAnsi="宋体" w:cs="宋体" w:hint="eastAsia"/>
                <w:kern w:val="0"/>
                <w:sz w:val="18"/>
                <w:szCs w:val="18"/>
              </w:rPr>
              <w:t>年度资金总额</w:t>
            </w:r>
          </w:p>
        </w:tc>
        <w:tc>
          <w:tcPr>
            <w:tcW w:w="1134"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20</w:t>
            </w:r>
          </w:p>
        </w:tc>
        <w:tc>
          <w:tcPr>
            <w:tcW w:w="1134"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17.70</w:t>
            </w:r>
          </w:p>
        </w:tc>
        <w:tc>
          <w:tcPr>
            <w:tcW w:w="709"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851"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其中：当年财政拨款</w:t>
            </w:r>
          </w:p>
        </w:tc>
        <w:tc>
          <w:tcPr>
            <w:tcW w:w="1134"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DA1185">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 xml:space="preserve">      </w:t>
            </w:r>
            <w:r>
              <w:rPr>
                <w:rFonts w:ascii="宋体" w:hAnsi="宋体" w:cs="宋体" w:hint="eastAsia"/>
                <w:kern w:val="0"/>
                <w:sz w:val="18"/>
                <w:szCs w:val="18"/>
              </w:rPr>
              <w:t>上年结转资金</w:t>
            </w:r>
          </w:p>
        </w:tc>
        <w:tc>
          <w:tcPr>
            <w:tcW w:w="1134"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DA1185">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 xml:space="preserve">  </w:t>
            </w:r>
            <w:r>
              <w:rPr>
                <w:rFonts w:ascii="宋体" w:hAnsi="宋体" w:cs="宋体" w:hint="eastAsia"/>
                <w:kern w:val="0"/>
                <w:sz w:val="18"/>
                <w:szCs w:val="18"/>
              </w:rPr>
              <w:t>其他资金</w:t>
            </w:r>
          </w:p>
        </w:tc>
        <w:tc>
          <w:tcPr>
            <w:tcW w:w="1134"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DA1185">
        <w:trPr>
          <w:trHeight w:hRule="exact" w:val="300"/>
          <w:jc w:val="center"/>
        </w:trPr>
        <w:tc>
          <w:tcPr>
            <w:tcW w:w="588"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年度总体目标</w:t>
            </w:r>
          </w:p>
        </w:tc>
        <w:tc>
          <w:tcPr>
            <w:tcW w:w="5090" w:type="dxa"/>
            <w:gridSpan w:val="6"/>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预期目标</w:t>
            </w:r>
          </w:p>
        </w:tc>
        <w:tc>
          <w:tcPr>
            <w:tcW w:w="3402" w:type="dxa"/>
            <w:gridSpan w:val="7"/>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实际完成情况</w:t>
            </w:r>
          </w:p>
        </w:tc>
      </w:tr>
      <w:tr w:rsidR="00DA1185">
        <w:trPr>
          <w:trHeight w:hRule="exact" w:val="792"/>
          <w:jc w:val="center"/>
        </w:trPr>
        <w:tc>
          <w:tcPr>
            <w:tcW w:w="588"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090" w:type="dxa"/>
            <w:gridSpan w:val="6"/>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根据上级党史部门要求，我县需要撰写中国共产党无极县历史一卷本（</w:t>
            </w:r>
            <w:r>
              <w:rPr>
                <w:rFonts w:ascii="宋体" w:hAnsi="宋体" w:cs="宋体" w:hint="eastAsia"/>
                <w:kern w:val="0"/>
                <w:sz w:val="18"/>
                <w:szCs w:val="18"/>
              </w:rPr>
              <w:t>1921-1949</w:t>
            </w:r>
            <w:r>
              <w:rPr>
                <w:rFonts w:ascii="宋体" w:hAnsi="宋体" w:cs="宋体" w:hint="eastAsia"/>
                <w:kern w:val="0"/>
                <w:sz w:val="18"/>
                <w:szCs w:val="18"/>
              </w:rPr>
              <w:t>）和二卷本（</w:t>
            </w:r>
            <w:r>
              <w:rPr>
                <w:rFonts w:ascii="宋体" w:hAnsi="宋体" w:cs="宋体" w:hint="eastAsia"/>
                <w:kern w:val="0"/>
                <w:sz w:val="18"/>
                <w:szCs w:val="18"/>
              </w:rPr>
              <w:t>1949-1978</w:t>
            </w:r>
            <w:r>
              <w:rPr>
                <w:rFonts w:ascii="宋体" w:hAnsi="宋体" w:cs="宋体" w:hint="eastAsia"/>
                <w:kern w:val="0"/>
                <w:sz w:val="18"/>
                <w:szCs w:val="18"/>
              </w:rPr>
              <w:t>）完整反应改革开放以前我县党的历史各项成就。</w:t>
            </w:r>
          </w:p>
        </w:tc>
        <w:tc>
          <w:tcPr>
            <w:tcW w:w="3402" w:type="dxa"/>
            <w:gridSpan w:val="7"/>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533"/>
          <w:jc w:val="center"/>
        </w:trPr>
        <w:tc>
          <w:tcPr>
            <w:tcW w:w="588" w:type="dxa"/>
            <w:vMerge w:val="restart"/>
            <w:tcBorders>
              <w:top w:val="nil"/>
              <w:left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绩</w:t>
            </w:r>
            <w:r>
              <w:rPr>
                <w:rFonts w:ascii="宋体" w:hAnsi="宋体" w:cs="宋体" w:hint="eastAsia"/>
                <w:kern w:val="0"/>
                <w:sz w:val="18"/>
                <w:szCs w:val="18"/>
              </w:rPr>
              <w:br/>
            </w:r>
            <w:r>
              <w:rPr>
                <w:rFonts w:ascii="宋体" w:hAnsi="宋体" w:cs="宋体" w:hint="eastAsia"/>
                <w:kern w:val="0"/>
                <w:sz w:val="18"/>
                <w:szCs w:val="18"/>
              </w:rPr>
              <w:t>效</w:t>
            </w:r>
            <w:r>
              <w:rPr>
                <w:rFonts w:ascii="宋体" w:hAnsi="宋体" w:cs="宋体" w:hint="eastAsia"/>
                <w:kern w:val="0"/>
                <w:sz w:val="18"/>
                <w:szCs w:val="18"/>
              </w:rPr>
              <w:br/>
            </w:r>
            <w:r>
              <w:rPr>
                <w:rFonts w:ascii="宋体" w:hAnsi="宋体" w:cs="宋体" w:hint="eastAsia"/>
                <w:kern w:val="0"/>
                <w:sz w:val="18"/>
                <w:szCs w:val="18"/>
              </w:rPr>
              <w:lastRenderedPageBreak/>
              <w:t>指</w:t>
            </w:r>
            <w:r>
              <w:rPr>
                <w:rFonts w:ascii="宋体" w:hAnsi="宋体" w:cs="宋体" w:hint="eastAsia"/>
                <w:kern w:val="0"/>
                <w:sz w:val="18"/>
                <w:szCs w:val="18"/>
              </w:rPr>
              <w:br/>
            </w:r>
            <w:r>
              <w:rPr>
                <w:rFonts w:ascii="宋体" w:hAnsi="宋体" w:cs="宋体" w:hint="eastAsia"/>
                <w:kern w:val="0"/>
                <w:sz w:val="18"/>
                <w:szCs w:val="18"/>
              </w:rPr>
              <w:t>标</w:t>
            </w:r>
          </w:p>
        </w:tc>
        <w:tc>
          <w:tcPr>
            <w:tcW w:w="980"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lastRenderedPageBreak/>
              <w:t>一级指标</w:t>
            </w:r>
          </w:p>
        </w:tc>
        <w:tc>
          <w:tcPr>
            <w:tcW w:w="1112"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二级指标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三级指标</w:t>
            </w:r>
          </w:p>
        </w:tc>
        <w:tc>
          <w:tcPr>
            <w:tcW w:w="850"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年度</w:t>
            </w:r>
          </w:p>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指标值</w:t>
            </w:r>
          </w:p>
        </w:tc>
        <w:tc>
          <w:tcPr>
            <w:tcW w:w="851"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实际</w:t>
            </w:r>
          </w:p>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完成值</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分值</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得分</w:t>
            </w:r>
          </w:p>
        </w:tc>
        <w:tc>
          <w:tcPr>
            <w:tcW w:w="1417" w:type="dxa"/>
            <w:gridSpan w:val="2"/>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偏差原因分析及改进措施</w:t>
            </w: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产出指标</w:t>
            </w: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数量指标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质量指标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：研究成果审批合格率</w:t>
            </w:r>
          </w:p>
        </w:tc>
        <w:tc>
          <w:tcPr>
            <w:tcW w:w="850"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851"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25</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25</w:t>
            </w: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403"/>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：研究成果按时结题率</w:t>
            </w:r>
          </w:p>
        </w:tc>
        <w:tc>
          <w:tcPr>
            <w:tcW w:w="850"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851"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25</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25</w:t>
            </w: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时效指标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成本指标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141"/>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效益指标</w:t>
            </w: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经济效益</w:t>
            </w:r>
          </w:p>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社会效益</w:t>
            </w:r>
          </w:p>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：成果应用率</w:t>
            </w:r>
          </w:p>
        </w:tc>
        <w:tc>
          <w:tcPr>
            <w:tcW w:w="850"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851"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25</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25</w:t>
            </w: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：意见建议采纳率</w:t>
            </w:r>
          </w:p>
        </w:tc>
        <w:tc>
          <w:tcPr>
            <w:tcW w:w="850"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851"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25</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23</w:t>
            </w: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175"/>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生态效益</w:t>
            </w:r>
          </w:p>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可持续影响指标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val="restart"/>
            <w:tcBorders>
              <w:top w:val="nil"/>
              <w:left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满意度</w:t>
            </w:r>
          </w:p>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服务对象满意度指标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6529" w:type="dxa"/>
            <w:gridSpan w:val="8"/>
            <w:tcBorders>
              <w:top w:val="single" w:sz="4" w:space="0" w:color="auto"/>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总分</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100</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color w:val="000000"/>
                <w:kern w:val="0"/>
                <w:sz w:val="18"/>
                <w:szCs w:val="18"/>
              </w:rPr>
            </w:pPr>
            <w:r>
              <w:rPr>
                <w:rFonts w:ascii="宋体" w:hAnsi="宋体" w:cs="宋体" w:hint="eastAsia"/>
                <w:color w:val="000000"/>
                <w:kern w:val="0"/>
                <w:sz w:val="18"/>
                <w:szCs w:val="18"/>
              </w:rPr>
              <w:t>98</w:t>
            </w: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bl>
    <w:p w:rsidR="00DA1185" w:rsidRDefault="00DA1185">
      <w:pPr>
        <w:spacing w:line="300" w:lineRule="exact"/>
        <w:rPr>
          <w:rFonts w:ascii="黑体" w:eastAsia="黑体" w:hAnsi="黑体"/>
          <w:sz w:val="32"/>
          <w:szCs w:val="32"/>
        </w:rPr>
      </w:pPr>
    </w:p>
    <w:p w:rsidR="00DA1185" w:rsidRDefault="00DA1185">
      <w:pPr>
        <w:spacing w:line="300" w:lineRule="exact"/>
        <w:rPr>
          <w:rFonts w:ascii="黑体" w:eastAsia="黑体" w:hAnsi="黑体"/>
          <w:sz w:val="32"/>
          <w:szCs w:val="32"/>
        </w:rPr>
      </w:pPr>
    </w:p>
    <w:p w:rsidR="00DA1185" w:rsidRDefault="00DA1185">
      <w:pPr>
        <w:spacing w:line="300" w:lineRule="exact"/>
        <w:rPr>
          <w:rFonts w:ascii="黑体" w:eastAsia="黑体" w:hAnsi="黑体"/>
          <w:sz w:val="32"/>
          <w:szCs w:val="32"/>
        </w:rPr>
      </w:pPr>
    </w:p>
    <w:p w:rsidR="00DA1185" w:rsidRDefault="00DA1185">
      <w:pPr>
        <w:spacing w:line="300" w:lineRule="exact"/>
        <w:rPr>
          <w:rFonts w:ascii="黑体" w:eastAsia="黑体" w:hAnsi="黑体"/>
          <w:sz w:val="32"/>
          <w:szCs w:val="32"/>
        </w:rPr>
      </w:pPr>
    </w:p>
    <w:p w:rsidR="00DA1185" w:rsidRDefault="00DA1185">
      <w:pPr>
        <w:spacing w:line="300" w:lineRule="exact"/>
        <w:rPr>
          <w:rFonts w:ascii="黑体" w:eastAsia="黑体" w:hAnsi="黑体"/>
          <w:sz w:val="32"/>
          <w:szCs w:val="32"/>
        </w:rPr>
      </w:pPr>
    </w:p>
    <w:p w:rsidR="00DA1185" w:rsidRDefault="00DA1185">
      <w:pPr>
        <w:spacing w:line="300" w:lineRule="exact"/>
        <w:rPr>
          <w:rFonts w:ascii="黑体" w:eastAsia="黑体" w:hAnsi="黑体"/>
          <w:sz w:val="32"/>
          <w:szCs w:val="32"/>
        </w:rPr>
      </w:pPr>
    </w:p>
    <w:tbl>
      <w:tblPr>
        <w:tblW w:w="9080" w:type="dxa"/>
        <w:jc w:val="center"/>
        <w:tblLayout w:type="fixed"/>
        <w:tblLook w:val="04A0" w:firstRow="1" w:lastRow="0" w:firstColumn="1" w:lastColumn="0" w:noHBand="0" w:noVBand="1"/>
      </w:tblPr>
      <w:tblGrid>
        <w:gridCol w:w="588"/>
        <w:gridCol w:w="980"/>
        <w:gridCol w:w="1112"/>
        <w:gridCol w:w="730"/>
        <w:gridCol w:w="1134"/>
        <w:gridCol w:w="284"/>
        <w:gridCol w:w="850"/>
        <w:gridCol w:w="851"/>
        <w:gridCol w:w="283"/>
        <w:gridCol w:w="284"/>
        <w:gridCol w:w="425"/>
        <w:gridCol w:w="142"/>
        <w:gridCol w:w="709"/>
        <w:gridCol w:w="708"/>
      </w:tblGrid>
      <w:tr w:rsidR="00DA1185">
        <w:trPr>
          <w:trHeight w:hRule="exact" w:val="454"/>
          <w:jc w:val="center"/>
        </w:trPr>
        <w:tc>
          <w:tcPr>
            <w:tcW w:w="9080" w:type="dxa"/>
            <w:gridSpan w:val="14"/>
            <w:tcBorders>
              <w:top w:val="nil"/>
              <w:left w:val="nil"/>
              <w:bottom w:val="nil"/>
              <w:right w:val="nil"/>
            </w:tcBorders>
            <w:vAlign w:val="center"/>
          </w:tcPr>
          <w:p w:rsidR="00DA1185" w:rsidRDefault="006D574A">
            <w:pPr>
              <w:widowControl/>
              <w:spacing w:line="320" w:lineRule="exact"/>
              <w:jc w:val="center"/>
              <w:rPr>
                <w:rFonts w:ascii="宋体" w:hAnsi="宋体" w:cs="宋体"/>
                <w:b/>
                <w:bCs/>
                <w:kern w:val="0"/>
                <w:sz w:val="32"/>
                <w:szCs w:val="32"/>
              </w:rPr>
            </w:pPr>
            <w:r>
              <w:rPr>
                <w:rFonts w:ascii="宋体" w:hAnsi="宋体" w:cs="宋体" w:hint="eastAsia"/>
                <w:b/>
                <w:bCs/>
                <w:kern w:val="0"/>
                <w:sz w:val="32"/>
                <w:szCs w:val="32"/>
              </w:rPr>
              <w:t>项目支出绩效自评表</w:t>
            </w:r>
          </w:p>
        </w:tc>
      </w:tr>
      <w:tr w:rsidR="00DA1185">
        <w:trPr>
          <w:trHeight w:val="201"/>
          <w:jc w:val="center"/>
        </w:trPr>
        <w:tc>
          <w:tcPr>
            <w:tcW w:w="9080" w:type="dxa"/>
            <w:gridSpan w:val="14"/>
            <w:tcBorders>
              <w:top w:val="nil"/>
              <w:left w:val="nil"/>
              <w:bottom w:val="nil"/>
              <w:right w:val="nil"/>
            </w:tcBorders>
          </w:tcPr>
          <w:p w:rsidR="00DA1185" w:rsidRDefault="006D574A">
            <w:pPr>
              <w:widowControl/>
              <w:jc w:val="center"/>
              <w:rPr>
                <w:rFonts w:ascii="宋体" w:hAnsi="宋体" w:cs="宋体"/>
                <w:kern w:val="0"/>
                <w:sz w:val="22"/>
              </w:rPr>
            </w:pPr>
            <w:r>
              <w:rPr>
                <w:rFonts w:ascii="宋体" w:hAnsi="宋体" w:cs="宋体" w:hint="eastAsia"/>
                <w:kern w:val="0"/>
                <w:sz w:val="22"/>
              </w:rPr>
              <w:t>（</w:t>
            </w:r>
            <w:r>
              <w:rPr>
                <w:rFonts w:ascii="宋体" w:hAnsi="宋体" w:cs="宋体" w:hint="eastAsia"/>
                <w:kern w:val="0"/>
                <w:sz w:val="22"/>
              </w:rPr>
              <w:t xml:space="preserve">  2019  </w:t>
            </w:r>
            <w:r>
              <w:rPr>
                <w:rFonts w:ascii="宋体" w:hAnsi="宋体" w:cs="宋体" w:hint="eastAsia"/>
                <w:kern w:val="0"/>
                <w:sz w:val="22"/>
              </w:rPr>
              <w:t>年度）</w:t>
            </w:r>
          </w:p>
        </w:tc>
      </w:tr>
      <w:tr w:rsidR="00DA1185">
        <w:trPr>
          <w:trHeight w:hRule="exact" w:val="300"/>
          <w:jc w:val="center"/>
        </w:trPr>
        <w:tc>
          <w:tcPr>
            <w:tcW w:w="1568" w:type="dxa"/>
            <w:gridSpan w:val="2"/>
            <w:tcBorders>
              <w:top w:val="single" w:sz="4" w:space="0" w:color="auto"/>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项目名称</w:t>
            </w:r>
          </w:p>
        </w:tc>
        <w:tc>
          <w:tcPr>
            <w:tcW w:w="7512" w:type="dxa"/>
            <w:gridSpan w:val="12"/>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县委机要局电话二级网延伸过程专项经费</w:t>
            </w:r>
          </w:p>
        </w:tc>
      </w:tr>
      <w:tr w:rsidR="00DA1185">
        <w:trPr>
          <w:trHeight w:hRule="exact" w:val="300"/>
          <w:jc w:val="center"/>
        </w:trPr>
        <w:tc>
          <w:tcPr>
            <w:tcW w:w="1568" w:type="dxa"/>
            <w:gridSpan w:val="2"/>
            <w:tcBorders>
              <w:top w:val="single" w:sz="4" w:space="0" w:color="auto"/>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主管部门</w:t>
            </w:r>
          </w:p>
        </w:tc>
        <w:tc>
          <w:tcPr>
            <w:tcW w:w="4110" w:type="dxa"/>
            <w:gridSpan w:val="5"/>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县委办</w:t>
            </w:r>
          </w:p>
        </w:tc>
        <w:tc>
          <w:tcPr>
            <w:tcW w:w="1134"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实施单位</w:t>
            </w:r>
          </w:p>
        </w:tc>
        <w:tc>
          <w:tcPr>
            <w:tcW w:w="2268" w:type="dxa"/>
            <w:gridSpan w:val="5"/>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1568" w:type="dxa"/>
            <w:gridSpan w:val="2"/>
            <w:vMerge w:val="restart"/>
            <w:tcBorders>
              <w:top w:val="single" w:sz="4" w:space="0" w:color="auto"/>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项目资金</w:t>
            </w:r>
            <w:r>
              <w:rPr>
                <w:rFonts w:ascii="宋体" w:hAnsi="宋体" w:cs="宋体" w:hint="eastAsia"/>
                <w:kern w:val="0"/>
                <w:sz w:val="18"/>
                <w:szCs w:val="18"/>
              </w:rPr>
              <w:br/>
            </w:r>
            <w:r>
              <w:rPr>
                <w:rFonts w:ascii="宋体" w:hAnsi="宋体" w:cs="宋体" w:hint="eastAsia"/>
                <w:kern w:val="0"/>
                <w:sz w:val="18"/>
                <w:szCs w:val="18"/>
              </w:rPr>
              <w:t>（万元）</w:t>
            </w:r>
          </w:p>
        </w:tc>
        <w:tc>
          <w:tcPr>
            <w:tcW w:w="1842"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年初预算数</w:t>
            </w:r>
          </w:p>
        </w:tc>
        <w:tc>
          <w:tcPr>
            <w:tcW w:w="1134"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全年预算数</w:t>
            </w:r>
          </w:p>
        </w:tc>
        <w:tc>
          <w:tcPr>
            <w:tcW w:w="1134"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全年执行数</w:t>
            </w:r>
          </w:p>
        </w:tc>
        <w:tc>
          <w:tcPr>
            <w:tcW w:w="709"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分值</w:t>
            </w:r>
          </w:p>
        </w:tc>
        <w:tc>
          <w:tcPr>
            <w:tcW w:w="851" w:type="dxa"/>
            <w:gridSpan w:val="2"/>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执行率</w:t>
            </w:r>
          </w:p>
        </w:tc>
        <w:tc>
          <w:tcPr>
            <w:tcW w:w="708"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得分</w:t>
            </w:r>
          </w:p>
        </w:tc>
      </w:tr>
      <w:tr w:rsidR="00DA1185">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rPr>
                <w:rFonts w:ascii="宋体" w:hAnsi="宋体" w:cs="宋体"/>
                <w:kern w:val="0"/>
                <w:sz w:val="18"/>
                <w:szCs w:val="18"/>
              </w:rPr>
            </w:pPr>
            <w:r>
              <w:rPr>
                <w:rFonts w:ascii="宋体" w:hAnsi="宋体" w:cs="宋体" w:hint="eastAsia"/>
                <w:kern w:val="0"/>
                <w:sz w:val="18"/>
                <w:szCs w:val="18"/>
              </w:rPr>
              <w:t>年度资金总额</w:t>
            </w:r>
          </w:p>
        </w:tc>
        <w:tc>
          <w:tcPr>
            <w:tcW w:w="1134"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12</w:t>
            </w:r>
          </w:p>
        </w:tc>
        <w:tc>
          <w:tcPr>
            <w:tcW w:w="1134"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12</w:t>
            </w:r>
          </w:p>
        </w:tc>
        <w:tc>
          <w:tcPr>
            <w:tcW w:w="709"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851"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其中：当年财政拨款</w:t>
            </w:r>
          </w:p>
        </w:tc>
        <w:tc>
          <w:tcPr>
            <w:tcW w:w="1134"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DA1185">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 xml:space="preserve">      </w:t>
            </w:r>
            <w:r>
              <w:rPr>
                <w:rFonts w:ascii="宋体" w:hAnsi="宋体" w:cs="宋体" w:hint="eastAsia"/>
                <w:kern w:val="0"/>
                <w:sz w:val="18"/>
                <w:szCs w:val="18"/>
              </w:rPr>
              <w:t>上年结转资金</w:t>
            </w:r>
          </w:p>
        </w:tc>
        <w:tc>
          <w:tcPr>
            <w:tcW w:w="1134"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DA1185">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 xml:space="preserve">  </w:t>
            </w:r>
            <w:r>
              <w:rPr>
                <w:rFonts w:ascii="宋体" w:hAnsi="宋体" w:cs="宋体" w:hint="eastAsia"/>
                <w:kern w:val="0"/>
                <w:sz w:val="18"/>
                <w:szCs w:val="18"/>
              </w:rPr>
              <w:t>其他资金</w:t>
            </w:r>
          </w:p>
        </w:tc>
        <w:tc>
          <w:tcPr>
            <w:tcW w:w="1134"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DA1185">
        <w:trPr>
          <w:trHeight w:hRule="exact" w:val="300"/>
          <w:jc w:val="center"/>
        </w:trPr>
        <w:tc>
          <w:tcPr>
            <w:tcW w:w="588"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lastRenderedPageBreak/>
              <w:t>年度总体目标</w:t>
            </w:r>
          </w:p>
        </w:tc>
        <w:tc>
          <w:tcPr>
            <w:tcW w:w="5090" w:type="dxa"/>
            <w:gridSpan w:val="6"/>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预期目标</w:t>
            </w:r>
          </w:p>
        </w:tc>
        <w:tc>
          <w:tcPr>
            <w:tcW w:w="3402" w:type="dxa"/>
            <w:gridSpan w:val="7"/>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实际完成情况</w:t>
            </w:r>
          </w:p>
        </w:tc>
      </w:tr>
      <w:tr w:rsidR="00DA1185">
        <w:trPr>
          <w:trHeight w:hRule="exact" w:val="735"/>
          <w:jc w:val="center"/>
        </w:trPr>
        <w:tc>
          <w:tcPr>
            <w:tcW w:w="588"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090" w:type="dxa"/>
            <w:gridSpan w:val="6"/>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proofErr w:type="gramStart"/>
            <w:r>
              <w:rPr>
                <w:rFonts w:ascii="宋体" w:hAnsi="宋体" w:cs="宋体" w:hint="eastAsia"/>
                <w:kern w:val="0"/>
                <w:sz w:val="18"/>
                <w:szCs w:val="18"/>
              </w:rPr>
              <w:t>冀办密传</w:t>
            </w:r>
            <w:proofErr w:type="gramEnd"/>
            <w:r>
              <w:rPr>
                <w:rFonts w:ascii="宋体" w:hAnsi="宋体" w:cs="宋体" w:hint="eastAsia"/>
                <w:kern w:val="0"/>
                <w:sz w:val="18"/>
                <w:szCs w:val="18"/>
              </w:rPr>
              <w:t>（</w:t>
            </w:r>
            <w:r>
              <w:rPr>
                <w:rFonts w:ascii="宋体" w:hAnsi="宋体" w:cs="宋体" w:hint="eastAsia"/>
                <w:kern w:val="0"/>
                <w:sz w:val="18"/>
                <w:szCs w:val="18"/>
              </w:rPr>
              <w:t>2018</w:t>
            </w:r>
            <w:r>
              <w:rPr>
                <w:rFonts w:ascii="宋体" w:hAnsi="宋体" w:cs="宋体" w:hint="eastAsia"/>
                <w:kern w:val="0"/>
                <w:sz w:val="18"/>
                <w:szCs w:val="18"/>
              </w:rPr>
              <w:t>）</w:t>
            </w:r>
            <w:r>
              <w:rPr>
                <w:rFonts w:ascii="宋体" w:hAnsi="宋体" w:cs="宋体" w:hint="eastAsia"/>
                <w:kern w:val="0"/>
                <w:sz w:val="18"/>
                <w:szCs w:val="18"/>
              </w:rPr>
              <w:t>60</w:t>
            </w:r>
            <w:r>
              <w:rPr>
                <w:rFonts w:ascii="宋体" w:hAnsi="宋体" w:cs="宋体" w:hint="eastAsia"/>
                <w:kern w:val="0"/>
                <w:sz w:val="18"/>
                <w:szCs w:val="18"/>
              </w:rPr>
              <w:t>号要求，各县</w:t>
            </w:r>
            <w:proofErr w:type="gramStart"/>
            <w:r>
              <w:rPr>
                <w:rFonts w:ascii="宋体" w:hAnsi="宋体" w:cs="宋体" w:hint="eastAsia"/>
                <w:kern w:val="0"/>
                <w:sz w:val="18"/>
                <w:szCs w:val="18"/>
              </w:rPr>
              <w:t>将红机电话</w:t>
            </w:r>
            <w:proofErr w:type="gramEnd"/>
            <w:r>
              <w:rPr>
                <w:rFonts w:ascii="宋体" w:hAnsi="宋体" w:cs="宋体" w:hint="eastAsia"/>
                <w:kern w:val="0"/>
                <w:sz w:val="18"/>
                <w:szCs w:val="18"/>
              </w:rPr>
              <w:t>二级网延伸工作作为一项重要政治改革，县级各项建设由各县组织施工，所需经费由同级财政解决，统一标准，统一设备，统一安全。</w:t>
            </w:r>
          </w:p>
        </w:tc>
        <w:tc>
          <w:tcPr>
            <w:tcW w:w="3402" w:type="dxa"/>
            <w:gridSpan w:val="7"/>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533"/>
          <w:jc w:val="center"/>
        </w:trPr>
        <w:tc>
          <w:tcPr>
            <w:tcW w:w="588" w:type="dxa"/>
            <w:vMerge w:val="restart"/>
            <w:tcBorders>
              <w:top w:val="nil"/>
              <w:left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绩</w:t>
            </w:r>
            <w:r>
              <w:rPr>
                <w:rFonts w:ascii="宋体" w:hAnsi="宋体" w:cs="宋体" w:hint="eastAsia"/>
                <w:kern w:val="0"/>
                <w:sz w:val="18"/>
                <w:szCs w:val="18"/>
              </w:rPr>
              <w:br/>
            </w:r>
            <w:r>
              <w:rPr>
                <w:rFonts w:ascii="宋体" w:hAnsi="宋体" w:cs="宋体" w:hint="eastAsia"/>
                <w:kern w:val="0"/>
                <w:sz w:val="18"/>
                <w:szCs w:val="18"/>
              </w:rPr>
              <w:t>效</w:t>
            </w:r>
            <w:r>
              <w:rPr>
                <w:rFonts w:ascii="宋体" w:hAnsi="宋体" w:cs="宋体" w:hint="eastAsia"/>
                <w:kern w:val="0"/>
                <w:sz w:val="18"/>
                <w:szCs w:val="18"/>
              </w:rPr>
              <w:br/>
            </w:r>
            <w:r>
              <w:rPr>
                <w:rFonts w:ascii="宋体" w:hAnsi="宋体" w:cs="宋体" w:hint="eastAsia"/>
                <w:kern w:val="0"/>
                <w:sz w:val="18"/>
                <w:szCs w:val="18"/>
              </w:rPr>
              <w:t>指</w:t>
            </w:r>
            <w:r>
              <w:rPr>
                <w:rFonts w:ascii="宋体" w:hAnsi="宋体" w:cs="宋体" w:hint="eastAsia"/>
                <w:kern w:val="0"/>
                <w:sz w:val="18"/>
                <w:szCs w:val="18"/>
              </w:rPr>
              <w:br/>
            </w:r>
            <w:r>
              <w:rPr>
                <w:rFonts w:ascii="宋体" w:hAnsi="宋体" w:cs="宋体" w:hint="eastAsia"/>
                <w:kern w:val="0"/>
                <w:sz w:val="18"/>
                <w:szCs w:val="18"/>
              </w:rPr>
              <w:t>标</w:t>
            </w:r>
          </w:p>
        </w:tc>
        <w:tc>
          <w:tcPr>
            <w:tcW w:w="980"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一级指标</w:t>
            </w:r>
          </w:p>
        </w:tc>
        <w:tc>
          <w:tcPr>
            <w:tcW w:w="1112"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二级指标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三级指标</w:t>
            </w:r>
          </w:p>
        </w:tc>
        <w:tc>
          <w:tcPr>
            <w:tcW w:w="850"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年度</w:t>
            </w:r>
          </w:p>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指标值</w:t>
            </w:r>
          </w:p>
        </w:tc>
        <w:tc>
          <w:tcPr>
            <w:tcW w:w="851"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实际</w:t>
            </w:r>
          </w:p>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完成值</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分值</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得分</w:t>
            </w:r>
          </w:p>
        </w:tc>
        <w:tc>
          <w:tcPr>
            <w:tcW w:w="1417" w:type="dxa"/>
            <w:gridSpan w:val="2"/>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偏差原因分析及改进措施</w:t>
            </w: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产出指标</w:t>
            </w: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数量指标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质量指标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：系统验收合格率</w:t>
            </w:r>
          </w:p>
        </w:tc>
        <w:tc>
          <w:tcPr>
            <w:tcW w:w="850"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851"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25</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25</w:t>
            </w: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：系统故障率</w:t>
            </w:r>
          </w:p>
        </w:tc>
        <w:tc>
          <w:tcPr>
            <w:tcW w:w="850"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851"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25</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25</w:t>
            </w: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时效指标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成本指标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9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效益指标</w:t>
            </w: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经济效益</w:t>
            </w:r>
          </w:p>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社会效益</w:t>
            </w:r>
          </w:p>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生态效益</w:t>
            </w:r>
          </w:p>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可持续影响指标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val="restart"/>
            <w:tcBorders>
              <w:top w:val="nil"/>
              <w:left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满意度</w:t>
            </w:r>
          </w:p>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1112" w:type="dxa"/>
            <w:vMerge w:val="restart"/>
            <w:tcBorders>
              <w:top w:val="nil"/>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kern w:val="0"/>
                <w:sz w:val="18"/>
                <w:szCs w:val="18"/>
              </w:rPr>
            </w:pPr>
            <w:r>
              <w:rPr>
                <w:rFonts w:ascii="宋体" w:hAnsi="宋体" w:cs="宋体" w:hint="eastAsia"/>
                <w:kern w:val="0"/>
                <w:sz w:val="18"/>
                <w:szCs w:val="18"/>
              </w:rPr>
              <w:t>服务对象满意度指标</w:t>
            </w: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：用户友好率</w:t>
            </w:r>
          </w:p>
        </w:tc>
        <w:tc>
          <w:tcPr>
            <w:tcW w:w="850"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851"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25</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23</w:t>
            </w: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left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：用户使用满意度</w:t>
            </w:r>
          </w:p>
        </w:tc>
        <w:tc>
          <w:tcPr>
            <w:tcW w:w="850"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851" w:type="dxa"/>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100</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25</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kern w:val="0"/>
                <w:sz w:val="18"/>
                <w:szCs w:val="18"/>
              </w:rPr>
            </w:pPr>
            <w:r>
              <w:rPr>
                <w:rFonts w:ascii="宋体" w:hAnsi="宋体" w:cs="宋体" w:hint="eastAsia"/>
                <w:kern w:val="0"/>
                <w:sz w:val="18"/>
                <w:szCs w:val="18"/>
              </w:rPr>
              <w:t>25</w:t>
            </w: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588" w:type="dxa"/>
            <w:vMerge/>
            <w:tcBorders>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980" w:type="dxa"/>
            <w:vMerge/>
            <w:tcBorders>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DA1185" w:rsidRDefault="006D574A">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r w:rsidR="00DA1185">
        <w:trPr>
          <w:trHeight w:hRule="exact" w:val="300"/>
          <w:jc w:val="center"/>
        </w:trPr>
        <w:tc>
          <w:tcPr>
            <w:tcW w:w="6529" w:type="dxa"/>
            <w:gridSpan w:val="8"/>
            <w:tcBorders>
              <w:top w:val="single" w:sz="4" w:space="0" w:color="auto"/>
              <w:left w:val="single" w:sz="4" w:space="0" w:color="auto"/>
              <w:bottom w:val="single" w:sz="4" w:space="0" w:color="auto"/>
              <w:right w:val="single" w:sz="4" w:space="0" w:color="auto"/>
            </w:tcBorders>
            <w:vAlign w:val="center"/>
          </w:tcPr>
          <w:p w:rsidR="00DA1185" w:rsidRDefault="006D574A">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总分</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100</w:t>
            </w:r>
          </w:p>
        </w:tc>
        <w:tc>
          <w:tcPr>
            <w:tcW w:w="567" w:type="dxa"/>
            <w:gridSpan w:val="2"/>
            <w:tcBorders>
              <w:top w:val="nil"/>
              <w:left w:val="nil"/>
              <w:bottom w:val="single" w:sz="4" w:space="0" w:color="auto"/>
              <w:right w:val="single" w:sz="4" w:space="0" w:color="auto"/>
            </w:tcBorders>
            <w:vAlign w:val="center"/>
          </w:tcPr>
          <w:p w:rsidR="00DA1185" w:rsidRDefault="006D574A">
            <w:pPr>
              <w:widowControl/>
              <w:spacing w:line="240" w:lineRule="exact"/>
              <w:jc w:val="center"/>
              <w:rPr>
                <w:rFonts w:ascii="宋体" w:eastAsia="宋体" w:hAnsi="宋体" w:cs="宋体"/>
                <w:color w:val="000000"/>
                <w:kern w:val="0"/>
                <w:sz w:val="18"/>
                <w:szCs w:val="18"/>
              </w:rPr>
            </w:pPr>
            <w:r>
              <w:rPr>
                <w:rFonts w:ascii="宋体" w:hAnsi="宋体" w:cs="宋体" w:hint="eastAsia"/>
                <w:color w:val="000000"/>
                <w:kern w:val="0"/>
                <w:sz w:val="18"/>
                <w:szCs w:val="18"/>
              </w:rPr>
              <w:t>98</w:t>
            </w:r>
          </w:p>
        </w:tc>
        <w:tc>
          <w:tcPr>
            <w:tcW w:w="1417" w:type="dxa"/>
            <w:gridSpan w:val="2"/>
            <w:tcBorders>
              <w:top w:val="single" w:sz="4" w:space="0" w:color="auto"/>
              <w:left w:val="nil"/>
              <w:bottom w:val="single" w:sz="4" w:space="0" w:color="auto"/>
              <w:right w:val="single" w:sz="4" w:space="0" w:color="auto"/>
            </w:tcBorders>
            <w:vAlign w:val="center"/>
          </w:tcPr>
          <w:p w:rsidR="00DA1185" w:rsidRDefault="00DA1185">
            <w:pPr>
              <w:widowControl/>
              <w:spacing w:line="240" w:lineRule="exact"/>
              <w:jc w:val="center"/>
              <w:rPr>
                <w:rFonts w:ascii="宋体" w:hAnsi="宋体" w:cs="宋体"/>
                <w:kern w:val="0"/>
                <w:sz w:val="18"/>
                <w:szCs w:val="18"/>
              </w:rPr>
            </w:pPr>
          </w:p>
        </w:tc>
      </w:tr>
    </w:tbl>
    <w:p w:rsidR="00DA1185" w:rsidRDefault="00DA1185">
      <w:pPr>
        <w:rPr>
          <w:rFonts w:ascii="黑体" w:eastAsia="黑体" w:hAnsi="黑体"/>
        </w:rPr>
        <w:sectPr w:rsidR="00DA1185">
          <w:type w:val="continuous"/>
          <w:pgSz w:w="11906" w:h="16838"/>
          <w:pgMar w:top="1928" w:right="1531" w:bottom="1701" w:left="1531" w:header="737" w:footer="851" w:gutter="0"/>
          <w:cols w:space="720"/>
          <w:docGrid w:type="lines" w:linePitch="408"/>
        </w:sectPr>
      </w:pPr>
    </w:p>
    <w:p w:rsidR="00DA1185" w:rsidRDefault="00DA1185">
      <w:pPr>
        <w:keepNext/>
        <w:keepLines/>
        <w:snapToGrid w:val="0"/>
        <w:spacing w:line="580" w:lineRule="exact"/>
        <w:outlineLvl w:val="1"/>
        <w:rPr>
          <w:rFonts w:ascii="仿宋_GB2312" w:eastAsia="仿宋_GB2312" w:hAnsi="仿宋_GB2312" w:cs="仿宋_GB2312"/>
          <w:b/>
          <w:bCs/>
          <w:sz w:val="32"/>
          <w:szCs w:val="32"/>
        </w:rPr>
      </w:pPr>
    </w:p>
    <w:p w:rsidR="00DA1185" w:rsidRDefault="006D574A">
      <w:pPr>
        <w:adjustRightInd w:val="0"/>
        <w:snapToGrid w:val="0"/>
        <w:spacing w:line="580" w:lineRule="exact"/>
        <w:ind w:leftChars="200" w:left="420" w:firstLineChars="100" w:firstLine="321"/>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3.财政评价项目绩效评价结果</w:t>
      </w:r>
    </w:p>
    <w:p w:rsidR="00DA1185" w:rsidRDefault="006D574A">
      <w:pPr>
        <w:keepNext/>
        <w:keepLines/>
        <w:snapToGrid w:val="0"/>
        <w:spacing w:line="580" w:lineRule="exact"/>
        <w:ind w:firstLineChars="200" w:firstLine="640"/>
        <w:outlineLvl w:val="1"/>
        <w:rPr>
          <w:rFonts w:ascii="黑体" w:eastAsia="黑体" w:hAnsi="Calibri" w:cs="Times New Roman"/>
          <w:sz w:val="32"/>
          <w:szCs w:val="32"/>
        </w:rPr>
      </w:pPr>
      <w:r>
        <w:rPr>
          <w:rFonts w:ascii="仿宋_GB2312" w:eastAsia="仿宋_GB2312" w:hAnsi="仿宋_GB2312" w:cs="仿宋_GB2312" w:hint="eastAsia"/>
          <w:sz w:val="32"/>
          <w:szCs w:val="32"/>
        </w:rPr>
        <w:lastRenderedPageBreak/>
        <w:t>本部门无财政评价项目绩效评价情况。</w:t>
      </w:r>
    </w:p>
    <w:p w:rsidR="00DA1185" w:rsidRDefault="006D574A">
      <w:pPr>
        <w:keepNext/>
        <w:keepLines/>
        <w:snapToGrid w:val="0"/>
        <w:spacing w:line="580" w:lineRule="exact"/>
        <w:outlineLvl w:val="1"/>
        <w:rPr>
          <w:rFonts w:ascii="黑体" w:eastAsia="黑体" w:hAnsi="Calibri" w:cs="Times New Roman"/>
          <w:sz w:val="32"/>
          <w:szCs w:val="32"/>
        </w:rPr>
      </w:pPr>
      <w:r>
        <w:rPr>
          <w:rFonts w:ascii="黑体" w:eastAsia="黑体" w:hAnsi="Calibri" w:cs="Times New Roman" w:hint="eastAsia"/>
          <w:sz w:val="32"/>
          <w:szCs w:val="32"/>
        </w:rPr>
        <w:t>七、其他重要事项的说明</w:t>
      </w:r>
    </w:p>
    <w:p w:rsidR="00DA1185" w:rsidRDefault="006D574A">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（一）机关运行经费情况</w:t>
      </w:r>
    </w:p>
    <w:p w:rsidR="00DA1185" w:rsidRDefault="006D574A">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本部门2019年度机关运行经费支出116.69万元，比2018年度减少49.37万元，降低29.73%。主要原因是项目减少，厉行节约。</w:t>
      </w:r>
    </w:p>
    <w:p w:rsidR="00DA1185" w:rsidRDefault="006D574A">
      <w:pPr>
        <w:keepNext/>
        <w:keepLines/>
        <w:snapToGrid w:val="0"/>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 xml:space="preserve"> （二）政府采购情况</w:t>
      </w:r>
    </w:p>
    <w:p w:rsidR="00DA1185" w:rsidRDefault="006D574A">
      <w:pPr>
        <w:snapToGrid w:val="0"/>
        <w:ind w:firstLineChars="200" w:firstLine="640"/>
        <w:jc w:val="left"/>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本部门2019年度政府采购支出总额0万元，从采购类型来看，</w:t>
      </w:r>
      <w:r>
        <w:rPr>
          <w:rFonts w:ascii="仿宋_GB2312" w:eastAsia="仿宋_GB2312" w:hAnsi="仿宋_GB2312" w:cs="仿宋_GB2312"/>
          <w:kern w:val="0"/>
          <w:sz w:val="32"/>
          <w:szCs w:val="32"/>
        </w:rPr>
        <w:t>政府采购货物支出</w:t>
      </w:r>
      <w:r>
        <w:rPr>
          <w:rFonts w:ascii="仿宋_GB2312" w:eastAsia="仿宋_GB2312" w:hAnsi="仿宋_GB2312" w:cs="仿宋_GB2312" w:hint="eastAsia"/>
          <w:kern w:val="0"/>
          <w:sz w:val="32"/>
          <w:szCs w:val="32"/>
        </w:rPr>
        <w:t>0</w:t>
      </w:r>
      <w:r>
        <w:rPr>
          <w:rFonts w:ascii="仿宋_GB2312" w:eastAsia="仿宋_GB2312" w:hAnsi="仿宋_GB2312" w:cs="仿宋_GB2312"/>
          <w:kern w:val="0"/>
          <w:sz w:val="32"/>
          <w:szCs w:val="32"/>
        </w:rPr>
        <w:t>万元、政府采购工程支出</w:t>
      </w:r>
      <w:r>
        <w:rPr>
          <w:rFonts w:ascii="仿宋_GB2312" w:eastAsia="仿宋_GB2312" w:hAnsi="仿宋_GB2312" w:cs="仿宋_GB2312" w:hint="eastAsia"/>
          <w:kern w:val="0"/>
          <w:sz w:val="32"/>
          <w:szCs w:val="32"/>
        </w:rPr>
        <w:t>0</w:t>
      </w:r>
      <w:r>
        <w:rPr>
          <w:rFonts w:ascii="仿宋_GB2312" w:eastAsia="仿宋_GB2312" w:hAnsi="仿宋_GB2312" w:cs="仿宋_GB2312"/>
          <w:kern w:val="0"/>
          <w:sz w:val="32"/>
          <w:szCs w:val="32"/>
        </w:rPr>
        <w:t>万元、政府采购服务支出</w:t>
      </w:r>
      <w:r>
        <w:rPr>
          <w:rFonts w:ascii="仿宋_GB2312" w:eastAsia="仿宋_GB2312" w:hAnsi="仿宋_GB2312" w:cs="仿宋_GB2312" w:hint="eastAsia"/>
          <w:kern w:val="0"/>
          <w:sz w:val="32"/>
          <w:szCs w:val="32"/>
        </w:rPr>
        <w:t>0</w:t>
      </w:r>
      <w:r>
        <w:rPr>
          <w:rFonts w:ascii="仿宋_GB2312" w:eastAsia="仿宋_GB2312" w:hAnsi="仿宋_GB2312" w:cs="仿宋_GB2312"/>
          <w:kern w:val="0"/>
          <w:sz w:val="32"/>
          <w:szCs w:val="32"/>
        </w:rPr>
        <w:t>万元。授予中小企业合同金</w:t>
      </w:r>
      <w:r>
        <w:rPr>
          <w:rFonts w:ascii="仿宋_GB2312" w:eastAsia="仿宋_GB2312" w:hAnsi="仿宋_GB2312" w:cs="仿宋_GB2312" w:hint="eastAsia"/>
          <w:kern w:val="0"/>
          <w:sz w:val="32"/>
          <w:szCs w:val="32"/>
        </w:rPr>
        <w:t>0</w:t>
      </w:r>
      <w:r>
        <w:rPr>
          <w:rFonts w:ascii="仿宋_GB2312" w:eastAsia="仿宋_GB2312" w:hAnsi="仿宋_GB2312" w:cs="仿宋_GB2312"/>
          <w:kern w:val="0"/>
          <w:sz w:val="32"/>
          <w:szCs w:val="32"/>
        </w:rPr>
        <w:t>万元，占政府采购支出总额的</w:t>
      </w:r>
      <w:r>
        <w:rPr>
          <w:rFonts w:ascii="仿宋_GB2312" w:eastAsia="仿宋_GB2312" w:hAnsi="仿宋_GB2312" w:cs="仿宋_GB2312" w:hint="eastAsia"/>
          <w:kern w:val="0"/>
          <w:sz w:val="32"/>
          <w:szCs w:val="32"/>
        </w:rPr>
        <w:t>0%，</w:t>
      </w:r>
      <w:r>
        <w:rPr>
          <w:rFonts w:ascii="仿宋_GB2312" w:eastAsia="仿宋_GB2312" w:hAnsi="仿宋_GB2312" w:cs="仿宋_GB2312"/>
          <w:kern w:val="0"/>
          <w:sz w:val="32"/>
          <w:szCs w:val="32"/>
        </w:rPr>
        <w:t>其中授予小</w:t>
      </w:r>
      <w:proofErr w:type="gramStart"/>
      <w:r>
        <w:rPr>
          <w:rFonts w:ascii="仿宋_GB2312" w:eastAsia="仿宋_GB2312" w:hAnsi="仿宋_GB2312" w:cs="仿宋_GB2312"/>
          <w:kern w:val="0"/>
          <w:sz w:val="32"/>
          <w:szCs w:val="32"/>
        </w:rPr>
        <w:t>微企业</w:t>
      </w:r>
      <w:proofErr w:type="gramEnd"/>
      <w:r>
        <w:rPr>
          <w:rFonts w:ascii="仿宋_GB2312" w:eastAsia="仿宋_GB2312" w:hAnsi="仿宋_GB2312" w:cs="仿宋_GB2312"/>
          <w:kern w:val="0"/>
          <w:sz w:val="32"/>
          <w:szCs w:val="32"/>
        </w:rPr>
        <w:t>合同金额</w:t>
      </w:r>
      <w:r>
        <w:rPr>
          <w:rFonts w:ascii="仿宋_GB2312" w:eastAsia="仿宋_GB2312" w:hAnsi="仿宋_GB2312" w:cs="仿宋_GB2312" w:hint="eastAsia"/>
          <w:kern w:val="0"/>
          <w:sz w:val="32"/>
          <w:szCs w:val="32"/>
        </w:rPr>
        <w:t>0</w:t>
      </w:r>
      <w:r>
        <w:rPr>
          <w:rFonts w:ascii="仿宋_GB2312" w:eastAsia="仿宋_GB2312" w:hAnsi="仿宋_GB2312" w:cs="仿宋_GB2312"/>
          <w:kern w:val="0"/>
          <w:sz w:val="32"/>
          <w:szCs w:val="32"/>
        </w:rPr>
        <w:t>万元，占政府采购支出总额的</w:t>
      </w:r>
      <w:r>
        <w:rPr>
          <w:rFonts w:ascii="仿宋_GB2312" w:eastAsia="仿宋_GB2312" w:hAnsi="仿宋_GB2312" w:cs="仿宋_GB2312" w:hint="eastAsia"/>
          <w:kern w:val="0"/>
          <w:sz w:val="32"/>
          <w:szCs w:val="32"/>
        </w:rPr>
        <w:t>0</w:t>
      </w:r>
      <w:r>
        <w:rPr>
          <w:rFonts w:ascii="仿宋_GB2312" w:eastAsia="仿宋_GB2312" w:hAnsi="仿宋_GB2312" w:cs="仿宋_GB2312"/>
          <w:kern w:val="0"/>
          <w:sz w:val="32"/>
          <w:szCs w:val="32"/>
        </w:rPr>
        <w:t>%。</w:t>
      </w:r>
    </w:p>
    <w:p w:rsidR="00DA1185" w:rsidRDefault="006D574A">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（三）国有资产占用情况</w:t>
      </w:r>
    </w:p>
    <w:p w:rsidR="00831003" w:rsidRDefault="006D574A" w:rsidP="00831003">
      <w:pPr>
        <w:adjustRightInd w:val="0"/>
        <w:snapToGrid w:val="0"/>
        <w:spacing w:line="580" w:lineRule="exact"/>
        <w:ind w:firstLineChars="200" w:firstLine="640"/>
        <w:rPr>
          <w:rFonts w:ascii="仿宋_GB2312" w:eastAsia="仿宋_GB2312" w:cs="DengXian-Regular"/>
          <w:sz w:val="32"/>
          <w:szCs w:val="32"/>
        </w:rPr>
      </w:pPr>
      <w:r>
        <w:rPr>
          <w:rFonts w:ascii="仿宋_GB2312" w:eastAsia="仿宋_GB2312" w:hAnsi="Times New Roman" w:cs="DengXian-Regular" w:hint="eastAsia"/>
          <w:sz w:val="32"/>
          <w:szCs w:val="32"/>
        </w:rPr>
        <w:t>截至2019年12月31日，本部门共有车辆</w:t>
      </w:r>
      <w:r w:rsidR="00AB5A3D">
        <w:rPr>
          <w:rFonts w:ascii="仿宋_GB2312" w:eastAsia="仿宋_GB2312" w:hAnsi="Times New Roman" w:cs="DengXian-Regular" w:hint="eastAsia"/>
          <w:sz w:val="32"/>
          <w:szCs w:val="32"/>
        </w:rPr>
        <w:t>5</w:t>
      </w:r>
      <w:r>
        <w:rPr>
          <w:rFonts w:ascii="仿宋_GB2312" w:eastAsia="仿宋_GB2312" w:hAnsi="Times New Roman" w:cs="DengXian-Regular" w:hint="eastAsia"/>
          <w:sz w:val="32"/>
          <w:szCs w:val="32"/>
        </w:rPr>
        <w:t>辆，</w:t>
      </w:r>
      <w:r w:rsidR="00AB5A3D">
        <w:rPr>
          <w:rFonts w:ascii="仿宋_GB2312" w:eastAsia="仿宋_GB2312" w:hAnsi="Times New Roman" w:cs="DengXian-Regular" w:hint="eastAsia"/>
          <w:sz w:val="32"/>
          <w:szCs w:val="32"/>
        </w:rPr>
        <w:t>与去年</w:t>
      </w:r>
      <w:r w:rsidR="004F4A6A">
        <w:rPr>
          <w:rFonts w:ascii="仿宋_GB2312" w:eastAsia="仿宋_GB2312" w:hAnsi="Times New Roman" w:cs="DengXian-Regular" w:hint="eastAsia"/>
          <w:sz w:val="32"/>
          <w:szCs w:val="32"/>
        </w:rPr>
        <w:t>减少</w:t>
      </w:r>
      <w:r w:rsidR="00AB5A3D">
        <w:rPr>
          <w:rFonts w:ascii="仿宋_GB2312" w:eastAsia="仿宋_GB2312" w:hAnsi="Times New Roman" w:cs="DengXian-Regular" w:hint="eastAsia"/>
          <w:sz w:val="32"/>
          <w:szCs w:val="32"/>
        </w:rPr>
        <w:t>4辆</w:t>
      </w:r>
      <w:r>
        <w:rPr>
          <w:rFonts w:ascii="仿宋_GB2312" w:eastAsia="仿宋_GB2312" w:hAnsi="Times New Roman" w:cs="DengXian-Regular" w:hint="eastAsia"/>
          <w:sz w:val="32"/>
          <w:szCs w:val="32"/>
        </w:rPr>
        <w:t>，</w:t>
      </w:r>
      <w:r w:rsidR="00831003">
        <w:rPr>
          <w:rFonts w:ascii="仿宋_GB2312" w:eastAsia="仿宋_GB2312" w:hAnsi="Times New Roman" w:cs="DengXian-Regular" w:hint="eastAsia"/>
          <w:sz w:val="32"/>
          <w:szCs w:val="32"/>
        </w:rPr>
        <w:t>主要减少应急保障车和机要通信车辆；其中</w:t>
      </w:r>
      <w:proofErr w:type="gramStart"/>
      <w:r w:rsidR="00831003">
        <w:rPr>
          <w:rFonts w:ascii="仿宋_GB2312" w:eastAsia="仿宋_GB2312" w:cs="DengXian-Regular" w:hint="eastAsia"/>
          <w:sz w:val="32"/>
          <w:szCs w:val="32"/>
        </w:rPr>
        <w:t>其中</w:t>
      </w:r>
      <w:proofErr w:type="gramEnd"/>
      <w:r w:rsidR="00831003">
        <w:rPr>
          <w:rFonts w:ascii="仿宋_GB2312" w:eastAsia="仿宋_GB2312" w:cs="DengXian-Regular" w:hint="eastAsia"/>
          <w:sz w:val="32"/>
          <w:szCs w:val="32"/>
        </w:rPr>
        <w:t>，副部（省）级及以上领导用车0辆，</w:t>
      </w:r>
      <w:r w:rsidR="00831003">
        <w:rPr>
          <w:rFonts w:ascii="仿宋_GB2312" w:eastAsia="仿宋_GB2312" w:hAnsi="Times New Roman" w:cs="DengXian-Regular" w:hint="eastAsia"/>
          <w:sz w:val="32"/>
          <w:szCs w:val="32"/>
        </w:rPr>
        <w:t>主要领导干部用车4辆，</w:t>
      </w:r>
      <w:r w:rsidR="00831003">
        <w:rPr>
          <w:rFonts w:ascii="仿宋_GB2312" w:eastAsia="仿宋_GB2312" w:cs="DengXian-Regular" w:hint="eastAsia"/>
          <w:sz w:val="32"/>
          <w:szCs w:val="32"/>
        </w:rPr>
        <w:t>，</w:t>
      </w:r>
      <w:r w:rsidR="00831003">
        <w:rPr>
          <w:rFonts w:ascii="仿宋_GB2312" w:eastAsia="仿宋_GB2312" w:hAnsi="Times New Roman" w:cs="DengXian-Regular" w:hint="eastAsia"/>
          <w:sz w:val="32"/>
          <w:szCs w:val="32"/>
        </w:rPr>
        <w:t>机要通信用车0辆，应急保障用车1辆，</w:t>
      </w:r>
      <w:r w:rsidR="00831003">
        <w:rPr>
          <w:rFonts w:ascii="仿宋_GB2312" w:eastAsia="仿宋_GB2312" w:cs="DengXian-Regular" w:hint="eastAsia"/>
          <w:sz w:val="32"/>
          <w:szCs w:val="32"/>
        </w:rPr>
        <w:t>执法执勤用车0辆，特种专业技术用车0辆，离退休干部用车0辆，其他用车0辆。</w:t>
      </w:r>
    </w:p>
    <w:p w:rsidR="00831003" w:rsidRDefault="00831003" w:rsidP="00831003">
      <w:pPr>
        <w:adjustRightInd w:val="0"/>
        <w:snapToGrid w:val="0"/>
        <w:spacing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单位价值</w:t>
      </w:r>
      <w:r>
        <w:rPr>
          <w:rFonts w:ascii="仿宋_GB2312" w:eastAsia="仿宋_GB2312" w:hAnsi="TimesNewRomanPSMT" w:cs="TimesNewRomanPSMT" w:hint="eastAsia"/>
          <w:sz w:val="32"/>
          <w:szCs w:val="32"/>
        </w:rPr>
        <w:t>50</w:t>
      </w:r>
      <w:r>
        <w:rPr>
          <w:rFonts w:ascii="仿宋_GB2312" w:eastAsia="仿宋_GB2312" w:cs="DengXian-Regular" w:hint="eastAsia"/>
          <w:sz w:val="32"/>
          <w:szCs w:val="32"/>
        </w:rPr>
        <w:t>万元以上通用设备0台（套），比上年持平，单位价值</w:t>
      </w:r>
      <w:r>
        <w:rPr>
          <w:rFonts w:ascii="仿宋_GB2312" w:eastAsia="仿宋_GB2312" w:hAnsi="TimesNewRomanPSMT" w:cs="TimesNewRomanPSMT" w:hint="eastAsia"/>
          <w:sz w:val="32"/>
          <w:szCs w:val="32"/>
        </w:rPr>
        <w:t>100</w:t>
      </w:r>
      <w:r>
        <w:rPr>
          <w:rFonts w:ascii="仿宋_GB2312" w:eastAsia="仿宋_GB2312" w:cs="DengXian-Regular" w:hint="eastAsia"/>
          <w:sz w:val="32"/>
          <w:szCs w:val="32"/>
        </w:rPr>
        <w:t>万元以上专用设备0台（套）比上年持平。</w:t>
      </w:r>
    </w:p>
    <w:p w:rsidR="00DA1185" w:rsidRDefault="006D574A">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（四）其他需要说明的情况</w:t>
      </w:r>
    </w:p>
    <w:p w:rsidR="000534BB" w:rsidRDefault="006D574A" w:rsidP="000534BB">
      <w:pPr>
        <w:adjustRightInd w:val="0"/>
        <w:snapToGrid w:val="0"/>
        <w:spacing w:line="580" w:lineRule="exact"/>
        <w:ind w:firstLineChars="200" w:firstLine="640"/>
        <w:rPr>
          <w:rFonts w:ascii="仿宋_GB2312" w:eastAsia="仿宋_GB2312" w:cs="DengXian-Regular"/>
          <w:sz w:val="32"/>
          <w:szCs w:val="32"/>
        </w:rPr>
      </w:pPr>
      <w:r>
        <w:rPr>
          <w:rFonts w:ascii="仿宋_GB2312" w:eastAsia="仿宋_GB2312" w:hAnsi="Times New Roman" w:cs="DengXian-Regular" w:hint="eastAsia"/>
          <w:sz w:val="32"/>
          <w:szCs w:val="32"/>
        </w:rPr>
        <w:t xml:space="preserve">1. </w:t>
      </w:r>
      <w:r w:rsidR="000534BB">
        <w:rPr>
          <w:rFonts w:ascii="仿宋_GB2312" w:eastAsia="仿宋_GB2312" w:cs="DengXian-Regular" w:hint="eastAsia"/>
          <w:sz w:val="32"/>
          <w:szCs w:val="32"/>
        </w:rPr>
        <w:t>本部门</w:t>
      </w:r>
      <w:r w:rsidR="006466E7">
        <w:rPr>
          <w:rFonts w:ascii="仿宋_GB2312" w:eastAsia="仿宋_GB2312" w:cs="DengXian-Regular" w:hint="eastAsia"/>
          <w:sz w:val="32"/>
          <w:szCs w:val="32"/>
        </w:rPr>
        <w:t>2019</w:t>
      </w:r>
      <w:r w:rsidR="000534BB">
        <w:rPr>
          <w:rFonts w:ascii="仿宋_GB2312" w:eastAsia="仿宋_GB2312" w:cs="DengXian-Regular" w:hint="eastAsia"/>
          <w:sz w:val="32"/>
          <w:szCs w:val="32"/>
        </w:rPr>
        <w:t>年度无国有资本经营预算财政拨款支出及政府采购情况，故国有资本经营预算财政拨款支出决算表政府采</w:t>
      </w:r>
      <w:r w:rsidR="000534BB">
        <w:rPr>
          <w:rFonts w:ascii="仿宋_GB2312" w:eastAsia="仿宋_GB2312" w:cs="DengXian-Regular" w:hint="eastAsia"/>
          <w:sz w:val="32"/>
          <w:szCs w:val="32"/>
        </w:rPr>
        <w:lastRenderedPageBreak/>
        <w:t>购情况表以空表列示。</w:t>
      </w:r>
    </w:p>
    <w:p w:rsidR="00DA1185" w:rsidRDefault="006D574A">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 由于决算公开表格中金额数值应当保留两位小数，公开数据为四舍五入计算结果，个别数据合计项与分项之和存在小数点后差额，特此说明。</w:t>
      </w:r>
    </w:p>
    <w:p w:rsidR="00DA1185" w:rsidRDefault="00DA1185">
      <w:pPr>
        <w:widowControl/>
        <w:spacing w:line="580" w:lineRule="exact"/>
        <w:jc w:val="left"/>
        <w:rPr>
          <w:rFonts w:ascii="仿宋_GB2312" w:eastAsia="仿宋_GB2312" w:hAnsi="Times New Roman" w:cs="DengXian-Regular"/>
          <w:sz w:val="32"/>
          <w:szCs w:val="32"/>
        </w:rPr>
      </w:pPr>
    </w:p>
    <w:p w:rsidR="00DA1185" w:rsidRDefault="00DA1185">
      <w:pPr>
        <w:widowControl/>
        <w:spacing w:line="580" w:lineRule="exact"/>
        <w:jc w:val="left"/>
        <w:rPr>
          <w:rFonts w:ascii="仿宋_GB2312" w:eastAsia="仿宋_GB2312" w:hAnsi="Times New Roman" w:cs="DengXian-Regular"/>
          <w:sz w:val="32"/>
          <w:szCs w:val="32"/>
        </w:rPr>
      </w:pPr>
    </w:p>
    <w:p w:rsidR="00DA1185" w:rsidRDefault="00DA1185">
      <w:pPr>
        <w:widowControl/>
        <w:spacing w:line="580" w:lineRule="exact"/>
        <w:jc w:val="left"/>
        <w:rPr>
          <w:rFonts w:ascii="仿宋_GB2312" w:eastAsia="仿宋_GB2312" w:hAnsi="Times New Roman" w:cs="DengXian-Regular"/>
          <w:sz w:val="32"/>
          <w:szCs w:val="32"/>
        </w:rPr>
      </w:pPr>
    </w:p>
    <w:p w:rsidR="00DA1185" w:rsidRDefault="00DA1185">
      <w:pPr>
        <w:widowControl/>
        <w:spacing w:line="580" w:lineRule="exact"/>
        <w:jc w:val="left"/>
        <w:rPr>
          <w:rFonts w:ascii="仿宋_GB2312" w:eastAsia="仿宋_GB2312" w:hAnsi="Times New Roman" w:cs="DengXian-Regular"/>
          <w:sz w:val="32"/>
          <w:szCs w:val="32"/>
        </w:rPr>
      </w:pPr>
    </w:p>
    <w:p w:rsidR="00DA1185" w:rsidRDefault="00DA1185">
      <w:pPr>
        <w:widowControl/>
        <w:spacing w:line="580" w:lineRule="exact"/>
        <w:jc w:val="left"/>
        <w:rPr>
          <w:rFonts w:ascii="仿宋_GB2312" w:eastAsia="仿宋_GB2312" w:hAnsi="Times New Roman" w:cs="DengXian-Regular"/>
          <w:sz w:val="32"/>
          <w:szCs w:val="32"/>
        </w:rPr>
      </w:pPr>
    </w:p>
    <w:p w:rsidR="00DA1185" w:rsidRDefault="00DA1185">
      <w:pPr>
        <w:widowControl/>
        <w:spacing w:line="580" w:lineRule="exact"/>
        <w:jc w:val="left"/>
        <w:rPr>
          <w:rFonts w:ascii="仿宋_GB2312" w:eastAsia="仿宋_GB2312" w:hAnsi="Times New Roman" w:cs="DengXian-Regular"/>
          <w:sz w:val="32"/>
          <w:szCs w:val="32"/>
        </w:rPr>
      </w:pPr>
    </w:p>
    <w:p w:rsidR="00DA1185" w:rsidRDefault="00DA1185">
      <w:pPr>
        <w:widowControl/>
        <w:spacing w:line="580" w:lineRule="exact"/>
        <w:jc w:val="left"/>
        <w:rPr>
          <w:rFonts w:ascii="仿宋_GB2312" w:eastAsia="仿宋_GB2312" w:hAnsi="Times New Roman" w:cs="DengXian-Regular"/>
          <w:sz w:val="32"/>
          <w:szCs w:val="32"/>
        </w:rPr>
      </w:pPr>
    </w:p>
    <w:p w:rsidR="00DA1185" w:rsidRDefault="00DA1185">
      <w:pPr>
        <w:widowControl/>
        <w:spacing w:line="580" w:lineRule="exact"/>
        <w:jc w:val="left"/>
        <w:rPr>
          <w:rFonts w:ascii="仿宋_GB2312" w:eastAsia="仿宋_GB2312" w:hAnsi="Times New Roman" w:cs="DengXian-Regular"/>
          <w:sz w:val="32"/>
          <w:szCs w:val="32"/>
        </w:rPr>
      </w:pPr>
    </w:p>
    <w:p w:rsidR="00DA1185" w:rsidRDefault="00DA1185">
      <w:pPr>
        <w:widowControl/>
        <w:spacing w:line="580" w:lineRule="exact"/>
        <w:jc w:val="left"/>
        <w:rPr>
          <w:rFonts w:ascii="仿宋_GB2312" w:eastAsia="仿宋_GB2312" w:hAnsi="Times New Roman" w:cs="DengXian-Regular"/>
          <w:sz w:val="32"/>
          <w:szCs w:val="32"/>
        </w:rPr>
      </w:pPr>
    </w:p>
    <w:p w:rsidR="00DA1185" w:rsidRDefault="00DA1185">
      <w:pPr>
        <w:widowControl/>
        <w:spacing w:line="580" w:lineRule="exact"/>
        <w:jc w:val="left"/>
        <w:rPr>
          <w:rFonts w:ascii="仿宋_GB2312" w:eastAsia="仿宋_GB2312" w:hAnsi="Times New Roman" w:cs="DengXian-Regular"/>
          <w:sz w:val="32"/>
          <w:szCs w:val="32"/>
        </w:rPr>
      </w:pPr>
    </w:p>
    <w:p w:rsidR="00DA1185" w:rsidRDefault="00DA1185">
      <w:pPr>
        <w:widowControl/>
        <w:spacing w:line="580" w:lineRule="exact"/>
        <w:jc w:val="left"/>
        <w:rPr>
          <w:rFonts w:ascii="仿宋_GB2312" w:eastAsia="仿宋_GB2312" w:hAnsi="Times New Roman" w:cs="DengXian-Regular"/>
          <w:sz w:val="32"/>
          <w:szCs w:val="32"/>
        </w:rPr>
      </w:pPr>
    </w:p>
    <w:p w:rsidR="00DA1185" w:rsidRDefault="00DA1185">
      <w:pPr>
        <w:widowControl/>
        <w:spacing w:line="580" w:lineRule="exact"/>
        <w:jc w:val="left"/>
        <w:rPr>
          <w:rFonts w:ascii="仿宋_GB2312" w:eastAsia="仿宋_GB2312" w:hAnsi="Times New Roman" w:cs="DengXian-Regular"/>
          <w:sz w:val="32"/>
          <w:szCs w:val="32"/>
        </w:rPr>
      </w:pPr>
    </w:p>
    <w:p w:rsidR="00DA1185" w:rsidRDefault="00DA1185">
      <w:pPr>
        <w:widowControl/>
        <w:spacing w:line="580" w:lineRule="exact"/>
        <w:jc w:val="left"/>
        <w:rPr>
          <w:rFonts w:ascii="仿宋_GB2312" w:eastAsia="仿宋_GB2312" w:hAnsi="Times New Roman" w:cs="DengXian-Regular"/>
          <w:sz w:val="32"/>
          <w:szCs w:val="32"/>
        </w:rPr>
      </w:pPr>
    </w:p>
    <w:p w:rsidR="00DA1185" w:rsidRDefault="00DA1185">
      <w:pPr>
        <w:widowControl/>
        <w:spacing w:line="580" w:lineRule="exact"/>
        <w:jc w:val="left"/>
        <w:rPr>
          <w:rFonts w:ascii="仿宋_GB2312" w:eastAsia="仿宋_GB2312" w:hAnsi="Times New Roman" w:cs="DengXian-Regular"/>
          <w:sz w:val="32"/>
          <w:szCs w:val="32"/>
        </w:rPr>
      </w:pPr>
    </w:p>
    <w:p w:rsidR="00DA1185" w:rsidRDefault="00DA1185">
      <w:pPr>
        <w:widowControl/>
        <w:spacing w:line="580" w:lineRule="exact"/>
        <w:jc w:val="left"/>
        <w:rPr>
          <w:rFonts w:ascii="仿宋_GB2312" w:eastAsia="仿宋_GB2312" w:hAnsi="Times New Roman" w:cs="DengXian-Regular"/>
          <w:sz w:val="32"/>
          <w:szCs w:val="32"/>
        </w:rPr>
      </w:pPr>
    </w:p>
    <w:p w:rsidR="00DA1185" w:rsidRDefault="00DA1185">
      <w:pPr>
        <w:widowControl/>
        <w:spacing w:line="580" w:lineRule="exact"/>
        <w:jc w:val="left"/>
        <w:rPr>
          <w:rFonts w:ascii="宋体" w:eastAsia="宋体" w:hAnsi="宋体" w:cs="MS-UIGothic,Bold"/>
          <w:b/>
          <w:bCs/>
          <w:kern w:val="0"/>
          <w:sz w:val="44"/>
          <w:szCs w:val="44"/>
        </w:rPr>
        <w:sectPr w:rsidR="00DA1185">
          <w:type w:val="continuous"/>
          <w:pgSz w:w="11906" w:h="16838"/>
          <w:pgMar w:top="2098" w:right="1474" w:bottom="1984" w:left="1588" w:header="851" w:footer="992" w:gutter="0"/>
          <w:pgNumType w:fmt="numberInDash"/>
          <w:cols w:space="0"/>
          <w:docGrid w:type="lines" w:linePitch="312"/>
        </w:sectPr>
      </w:pPr>
    </w:p>
    <w:p w:rsidR="00DA1185" w:rsidRDefault="00DA1185">
      <w:pPr>
        <w:rPr>
          <w:rFonts w:ascii="黑体" w:eastAsia="黑体" w:hAnsi="黑体" w:cs="黑体"/>
          <w:sz w:val="56"/>
          <w:szCs w:val="72"/>
        </w:rPr>
        <w:sectPr w:rsidR="00DA1185">
          <w:type w:val="continuous"/>
          <w:pgSz w:w="11906" w:h="16838"/>
          <w:pgMar w:top="2041" w:right="1531" w:bottom="2041" w:left="1531" w:header="851" w:footer="992" w:gutter="0"/>
          <w:pgNumType w:fmt="numberInDash"/>
          <w:cols w:space="0"/>
          <w:titlePg/>
          <w:docGrid w:type="lines" w:linePitch="312"/>
        </w:sectPr>
      </w:pPr>
    </w:p>
    <w:p w:rsidR="00DA1185" w:rsidRDefault="00DA1185">
      <w:pPr>
        <w:rPr>
          <w:rFonts w:ascii="黑体" w:eastAsia="黑体" w:hAnsi="黑体" w:cs="黑体"/>
          <w:sz w:val="56"/>
          <w:szCs w:val="72"/>
        </w:rPr>
      </w:pPr>
    </w:p>
    <w:p w:rsidR="00DA1185" w:rsidRDefault="00E81DD1">
      <w:pPr>
        <w:jc w:val="center"/>
        <w:rPr>
          <w:sz w:val="72"/>
        </w:rPr>
      </w:pPr>
      <w:r>
        <w:rPr>
          <w:sz w:val="72"/>
        </w:rPr>
        <w:pict>
          <v:shape id="_x0000_s1029" type="#_x0000_t202" style="position:absolute;left:0;text-align:left;margin-left:-80.45pt;margin-top:34.8pt;width:613.65pt;height:263.1pt;z-index:251685888;v-text-anchor:middle"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fillcolor="#ffd966" strokecolor="#ffd966" strokeweight=".5pt">
            <v:fill r:id="rId23" o:title="5%" color2="white [3212]" type="pattern"/>
            <v:stroke joinstyle="round"/>
            <v:textbox>
              <w:txbxContent>
                <w:p w:rsidR="00DA1185" w:rsidRDefault="006D574A">
                  <w:pPr>
                    <w:widowControl/>
                    <w:jc w:val="center"/>
                  </w:pPr>
                  <w:r>
                    <w:rPr>
                      <w:rFonts w:ascii="黑体" w:eastAsia="黑体" w:hAnsi="黑体" w:cs="黑体" w:hint="eastAsia"/>
                      <w:color w:val="000000" w:themeColor="text1"/>
                      <w:sz w:val="90"/>
                      <w:szCs w:val="90"/>
                    </w:rPr>
                    <w:t xml:space="preserve">第三部分 </w:t>
                  </w:r>
                  <w:r>
                    <w:rPr>
                      <w:rFonts w:ascii="黑体" w:eastAsia="黑体" w:hAnsi="黑体" w:cs="黑体" w:hint="eastAsia"/>
                      <w:color w:val="000000" w:themeColor="text1"/>
                      <w:sz w:val="90"/>
                      <w:szCs w:val="90"/>
                    </w:rPr>
                    <w:t>相关名词解释</w:t>
                  </w:r>
                </w:p>
              </w:txbxContent>
            </v:textbox>
          </v:shape>
        </w:pict>
      </w:r>
    </w:p>
    <w:p w:rsidR="00DA1185" w:rsidRDefault="00DA1185"/>
    <w:p w:rsidR="00DA1185" w:rsidRDefault="00DA1185"/>
    <w:p w:rsidR="00DA1185" w:rsidRDefault="00DA1185"/>
    <w:p w:rsidR="00DA1185" w:rsidRDefault="00DA1185"/>
    <w:p w:rsidR="00DA1185" w:rsidRDefault="00DA1185"/>
    <w:p w:rsidR="00DA1185" w:rsidRDefault="00DA1185"/>
    <w:p w:rsidR="00DA1185" w:rsidRDefault="00DA1185"/>
    <w:p w:rsidR="00DA1185" w:rsidRDefault="00DA1185"/>
    <w:p w:rsidR="00DA1185" w:rsidRDefault="00DA1185"/>
    <w:p w:rsidR="00DA1185" w:rsidRDefault="00DA1185"/>
    <w:p w:rsidR="00DA1185" w:rsidRDefault="00DA1185"/>
    <w:p w:rsidR="00DA1185" w:rsidRDefault="00DA1185">
      <w:pPr>
        <w:tabs>
          <w:tab w:val="left" w:pos="886"/>
        </w:tabs>
        <w:jc w:val="left"/>
        <w:sectPr w:rsidR="00DA1185">
          <w:headerReference w:type="default" r:id="rId35"/>
          <w:footerReference w:type="default" r:id="rId36"/>
          <w:headerReference w:type="first" r:id="rId37"/>
          <w:footerReference w:type="first" r:id="rId38"/>
          <w:pgSz w:w="11906" w:h="16838"/>
          <w:pgMar w:top="2041" w:right="1531" w:bottom="2041" w:left="1531" w:header="851" w:footer="992" w:gutter="0"/>
          <w:pgNumType w:fmt="numberInDash"/>
          <w:cols w:space="0"/>
          <w:titlePg/>
          <w:docGrid w:type="lines" w:linePitch="312"/>
        </w:sectPr>
      </w:pPr>
    </w:p>
    <w:p w:rsidR="00DA1185" w:rsidRDefault="006D574A">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（一）财政拨款收入：</w:t>
      </w:r>
      <w:r>
        <w:rPr>
          <w:rFonts w:ascii="仿宋_GB2312" w:eastAsia="仿宋_GB2312" w:hAnsi="宋体" w:cs="Times New Roman" w:hint="eastAsia"/>
          <w:color w:val="000000"/>
          <w:kern w:val="0"/>
          <w:sz w:val="32"/>
          <w:szCs w:val="32"/>
        </w:rPr>
        <w:t>本年度从本级财政部门取得的财政拨款，包括一般公共预算财政拨款和政府性基金预算财政拨款。</w:t>
      </w:r>
    </w:p>
    <w:p w:rsidR="00DA1185" w:rsidRDefault="006D574A">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（二）事业收入：</w:t>
      </w:r>
      <w:r>
        <w:rPr>
          <w:rFonts w:ascii="仿宋_GB2312" w:eastAsia="仿宋_GB2312" w:hAnsi="宋体" w:cs="Times New Roman" w:hint="eastAsia"/>
          <w:color w:val="000000"/>
          <w:kern w:val="0"/>
          <w:sz w:val="32"/>
          <w:szCs w:val="32"/>
        </w:rPr>
        <w:t>指事业单位开展专业业务活动及辅助活动所取得的收入。</w:t>
      </w:r>
    </w:p>
    <w:p w:rsidR="00DA1185" w:rsidRDefault="006D574A">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（三）其他收入：</w:t>
      </w:r>
      <w:r>
        <w:rPr>
          <w:rFonts w:ascii="仿宋_GB2312" w:eastAsia="仿宋_GB2312" w:hAnsi="宋体" w:cs="Times New Roman" w:hint="eastAsia"/>
          <w:color w:val="000000"/>
          <w:kern w:val="0"/>
          <w:sz w:val="32"/>
          <w:szCs w:val="32"/>
        </w:rPr>
        <w:t>指除上述“财政拨款收入”“事业收入”“经营收入”等以外的收入。</w:t>
      </w:r>
    </w:p>
    <w:p w:rsidR="00DA1185" w:rsidRDefault="006D574A">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（四）用事业基金弥补收支差额：</w:t>
      </w:r>
      <w:r>
        <w:rPr>
          <w:rFonts w:ascii="仿宋_GB2312" w:eastAsia="仿宋_GB2312" w:hAnsi="宋体" w:cs="Times New Roman" w:hint="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DA1185" w:rsidRDefault="006D574A">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（五）年初结转和结余：</w:t>
      </w:r>
      <w:r>
        <w:rPr>
          <w:rFonts w:ascii="仿宋_GB2312" w:eastAsia="仿宋_GB2312" w:hAnsi="宋体" w:cs="Times New Roman" w:hint="eastAsia"/>
          <w:color w:val="000000"/>
          <w:kern w:val="0"/>
          <w:sz w:val="32"/>
          <w:szCs w:val="32"/>
        </w:rPr>
        <w:t>指以前年度尚未完成、结转到本年仍按原规定用途继续使用的资金，或项目已完成等产生的结余资金。</w:t>
      </w:r>
    </w:p>
    <w:p w:rsidR="00DA1185" w:rsidRDefault="006D574A">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（六）结余分配：</w:t>
      </w:r>
      <w:r>
        <w:rPr>
          <w:rFonts w:ascii="仿宋_GB2312" w:eastAsia="仿宋_GB2312" w:hAnsi="宋体" w:cs="Times New Roman" w:hint="eastAsia"/>
          <w:color w:val="000000"/>
          <w:kern w:val="0"/>
          <w:sz w:val="32"/>
          <w:szCs w:val="32"/>
        </w:rPr>
        <w:t>指事业单位按照事业单位会计制度的规定从非财政补助结余中分配的事业基金和职工福利基金等。</w:t>
      </w:r>
    </w:p>
    <w:p w:rsidR="00DA1185" w:rsidRDefault="006D574A">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（七）年末结转和结余：</w:t>
      </w:r>
      <w:r>
        <w:rPr>
          <w:rFonts w:ascii="仿宋_GB2312" w:eastAsia="仿宋_GB2312" w:hAnsi="宋体" w:cs="Times New Roman" w:hint="eastAsia"/>
          <w:color w:val="000000"/>
          <w:kern w:val="0"/>
          <w:sz w:val="32"/>
          <w:szCs w:val="32"/>
        </w:rPr>
        <w:t>指单位按有关规定结转到下年或以后年度继续使用的资金，或项目已完成等产生的结余资金。</w:t>
      </w:r>
    </w:p>
    <w:p w:rsidR="00DA1185" w:rsidRDefault="006D574A">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（八）基本支出：</w:t>
      </w:r>
      <w:r>
        <w:rPr>
          <w:rFonts w:ascii="仿宋_GB2312" w:eastAsia="仿宋_GB2312" w:hAnsi="宋体" w:cs="Times New Roman" w:hint="eastAsia"/>
          <w:color w:val="000000"/>
          <w:kern w:val="0"/>
          <w:sz w:val="32"/>
          <w:szCs w:val="32"/>
        </w:rPr>
        <w:t>填列单位为保障机构正常运转、完成日常工作任务而发生的各项支出。</w:t>
      </w:r>
    </w:p>
    <w:p w:rsidR="00DA1185" w:rsidRDefault="006D574A">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（九）项目支出：</w:t>
      </w:r>
      <w:r>
        <w:rPr>
          <w:rFonts w:ascii="仿宋_GB2312" w:eastAsia="仿宋_GB2312" w:hAnsi="宋体" w:cs="Times New Roman" w:hint="eastAsia"/>
          <w:color w:val="000000"/>
          <w:kern w:val="0"/>
          <w:sz w:val="32"/>
          <w:szCs w:val="32"/>
        </w:rPr>
        <w:t>填列单位为完成特定的行政工作任务或事业发展目标，在基本支出之外发生的各项支出</w:t>
      </w:r>
    </w:p>
    <w:p w:rsidR="00DA1185" w:rsidRDefault="006D574A">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（十）基本建设支出：</w:t>
      </w:r>
      <w:r>
        <w:rPr>
          <w:rFonts w:ascii="仿宋_GB2312" w:eastAsia="仿宋_GB2312" w:hAnsi="宋体" w:cs="Times New Roman" w:hint="eastAsia"/>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rsidR="00DA1185" w:rsidRDefault="006D574A">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（十一）其他资本性支出：</w:t>
      </w:r>
      <w:r>
        <w:rPr>
          <w:rFonts w:ascii="仿宋_GB2312" w:eastAsia="仿宋_GB2312" w:hAnsi="宋体" w:cs="Times New Roman" w:hint="eastAsia"/>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rsidR="00DA1185" w:rsidRDefault="006D574A">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（十二）“三公”经费：</w:t>
      </w:r>
      <w:r>
        <w:rPr>
          <w:rFonts w:ascii="仿宋_GB2312" w:eastAsia="仿宋_GB2312" w:hAnsi="宋体" w:cs="Times New Roman" w:hint="eastAsia"/>
          <w:color w:val="000000"/>
          <w:kern w:val="0"/>
          <w:sz w:val="32"/>
          <w:szCs w:val="32"/>
        </w:rPr>
        <w:t>指部门用财政拨款安排的因公出国（境）费、公务用车购置及运行费和公务接待费。其中，因公出国（境）</w:t>
      </w:r>
      <w:proofErr w:type="gramStart"/>
      <w:r>
        <w:rPr>
          <w:rFonts w:ascii="仿宋_GB2312" w:eastAsia="仿宋_GB2312" w:hAnsi="宋体" w:cs="Times New Roman" w:hint="eastAsia"/>
          <w:color w:val="000000"/>
          <w:kern w:val="0"/>
          <w:sz w:val="32"/>
          <w:szCs w:val="32"/>
        </w:rPr>
        <w:t>费反映</w:t>
      </w:r>
      <w:proofErr w:type="gramEnd"/>
      <w:r>
        <w:rPr>
          <w:rFonts w:ascii="仿宋_GB2312" w:eastAsia="仿宋_GB2312" w:hAnsi="宋体" w:cs="Times New Roman" w:hint="eastAsia"/>
          <w:color w:val="000000"/>
          <w:kern w:val="0"/>
          <w:sz w:val="32"/>
          <w:szCs w:val="32"/>
        </w:rPr>
        <w:t>单位公务出国（境）的国际旅费、国外城市间交通费、住宿费、伙食费、培训费、公杂费等支出；公务用车购置及运行</w:t>
      </w:r>
      <w:proofErr w:type="gramStart"/>
      <w:r>
        <w:rPr>
          <w:rFonts w:ascii="仿宋_GB2312" w:eastAsia="仿宋_GB2312" w:hAnsi="宋体" w:cs="Times New Roman" w:hint="eastAsia"/>
          <w:color w:val="000000"/>
          <w:kern w:val="0"/>
          <w:sz w:val="32"/>
          <w:szCs w:val="32"/>
        </w:rPr>
        <w:t>费反映</w:t>
      </w:r>
      <w:proofErr w:type="gramEnd"/>
      <w:r>
        <w:rPr>
          <w:rFonts w:ascii="仿宋_GB2312" w:eastAsia="仿宋_GB2312" w:hAnsi="宋体" w:cs="Times New Roman" w:hint="eastAsia"/>
          <w:color w:val="000000"/>
          <w:kern w:val="0"/>
          <w:sz w:val="32"/>
          <w:szCs w:val="32"/>
        </w:rPr>
        <w:t>单位公务用车购置支出（</w:t>
      </w:r>
      <w:proofErr w:type="gramStart"/>
      <w:r>
        <w:rPr>
          <w:rFonts w:ascii="仿宋_GB2312" w:eastAsia="仿宋_GB2312" w:hAnsi="宋体" w:cs="Times New Roman" w:hint="eastAsia"/>
          <w:color w:val="000000"/>
          <w:kern w:val="0"/>
          <w:sz w:val="32"/>
          <w:szCs w:val="32"/>
        </w:rPr>
        <w:t>含车辆</w:t>
      </w:r>
      <w:proofErr w:type="gramEnd"/>
      <w:r>
        <w:rPr>
          <w:rFonts w:ascii="仿宋_GB2312" w:eastAsia="仿宋_GB2312" w:hAnsi="宋体" w:cs="Times New Roman" w:hint="eastAsia"/>
          <w:color w:val="000000"/>
          <w:kern w:val="0"/>
          <w:sz w:val="32"/>
          <w:szCs w:val="32"/>
        </w:rPr>
        <w:t>购置税、牌照费）及按规定保留的公务用车燃料费、维修费、过桥过路费、保险费、安全奖励费用等支出；公务接待</w:t>
      </w:r>
      <w:proofErr w:type="gramStart"/>
      <w:r>
        <w:rPr>
          <w:rFonts w:ascii="仿宋_GB2312" w:eastAsia="仿宋_GB2312" w:hAnsi="宋体" w:cs="Times New Roman" w:hint="eastAsia"/>
          <w:color w:val="000000"/>
          <w:kern w:val="0"/>
          <w:sz w:val="32"/>
          <w:szCs w:val="32"/>
        </w:rPr>
        <w:t>费反映</w:t>
      </w:r>
      <w:proofErr w:type="gramEnd"/>
      <w:r>
        <w:rPr>
          <w:rFonts w:ascii="仿宋_GB2312" w:eastAsia="仿宋_GB2312" w:hAnsi="宋体" w:cs="Times New Roman" w:hint="eastAsia"/>
          <w:color w:val="000000"/>
          <w:kern w:val="0"/>
          <w:sz w:val="32"/>
          <w:szCs w:val="32"/>
        </w:rPr>
        <w:t>单位按规定开支的各类公务接待（含外宾接待）支出。</w:t>
      </w:r>
    </w:p>
    <w:p w:rsidR="00DA1185" w:rsidRDefault="006D574A">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（十三）其他交通费用：</w:t>
      </w:r>
      <w:r>
        <w:rPr>
          <w:rFonts w:ascii="仿宋_GB2312" w:eastAsia="仿宋_GB2312" w:hAnsi="宋体" w:cs="Times New Roman" w:hint="eastAsia"/>
          <w:color w:val="000000"/>
          <w:kern w:val="0"/>
          <w:sz w:val="32"/>
          <w:szCs w:val="32"/>
        </w:rPr>
        <w:t>填列单位除公务用车运行维护费以外的其他交通费用。如公务交通补贴、租车费用、出租车费用，飞机、船舶等燃料费、维修费、保险费等。</w:t>
      </w:r>
    </w:p>
    <w:p w:rsidR="00DA1185" w:rsidRDefault="006D574A">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（十四）公务用车购置：</w:t>
      </w:r>
      <w:r>
        <w:rPr>
          <w:rFonts w:ascii="仿宋_GB2312" w:eastAsia="仿宋_GB2312" w:hAnsi="宋体" w:cs="Times New Roman" w:hint="eastAsia"/>
          <w:color w:val="000000"/>
          <w:kern w:val="0"/>
          <w:sz w:val="32"/>
          <w:szCs w:val="32"/>
        </w:rPr>
        <w:t>填列单位公务用车车辆购置支出（</w:t>
      </w:r>
      <w:proofErr w:type="gramStart"/>
      <w:r>
        <w:rPr>
          <w:rFonts w:ascii="仿宋_GB2312" w:eastAsia="仿宋_GB2312" w:hAnsi="宋体" w:cs="Times New Roman" w:hint="eastAsia"/>
          <w:color w:val="000000"/>
          <w:kern w:val="0"/>
          <w:sz w:val="32"/>
          <w:szCs w:val="32"/>
        </w:rPr>
        <w:t>含车辆</w:t>
      </w:r>
      <w:proofErr w:type="gramEnd"/>
      <w:r>
        <w:rPr>
          <w:rFonts w:ascii="仿宋_GB2312" w:eastAsia="仿宋_GB2312" w:hAnsi="宋体" w:cs="Times New Roman" w:hint="eastAsia"/>
          <w:color w:val="000000"/>
          <w:kern w:val="0"/>
          <w:sz w:val="32"/>
          <w:szCs w:val="32"/>
        </w:rPr>
        <w:t>购置税、牌照费）。</w:t>
      </w:r>
    </w:p>
    <w:p w:rsidR="00DA1185" w:rsidRDefault="006D574A">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（十五）其他交通工具购置：</w:t>
      </w:r>
      <w:r>
        <w:rPr>
          <w:rFonts w:ascii="仿宋_GB2312" w:eastAsia="仿宋_GB2312" w:hAnsi="宋体" w:cs="Times New Roman" w:hint="eastAsia"/>
          <w:color w:val="000000"/>
          <w:kern w:val="0"/>
          <w:sz w:val="32"/>
          <w:szCs w:val="32"/>
        </w:rPr>
        <w:t>填列单位除公务用车外的其他各类交通工具（如船舶、飞机等）购置支出（</w:t>
      </w:r>
      <w:proofErr w:type="gramStart"/>
      <w:r>
        <w:rPr>
          <w:rFonts w:ascii="仿宋_GB2312" w:eastAsia="仿宋_GB2312" w:hAnsi="宋体" w:cs="Times New Roman" w:hint="eastAsia"/>
          <w:color w:val="000000"/>
          <w:kern w:val="0"/>
          <w:sz w:val="32"/>
          <w:szCs w:val="32"/>
        </w:rPr>
        <w:t>含车辆</w:t>
      </w:r>
      <w:proofErr w:type="gramEnd"/>
      <w:r>
        <w:rPr>
          <w:rFonts w:ascii="仿宋_GB2312" w:eastAsia="仿宋_GB2312" w:hAnsi="宋体" w:cs="Times New Roman" w:hint="eastAsia"/>
          <w:color w:val="000000"/>
          <w:kern w:val="0"/>
          <w:sz w:val="32"/>
          <w:szCs w:val="32"/>
        </w:rPr>
        <w:t>购置税、牌照费）。</w:t>
      </w:r>
    </w:p>
    <w:p w:rsidR="00DA1185" w:rsidRDefault="006D574A">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（十六）机关运行经费：</w:t>
      </w:r>
      <w:r>
        <w:rPr>
          <w:rFonts w:ascii="仿宋_GB2312" w:eastAsia="仿宋_GB2312" w:hAnsi="宋体" w:cs="Times New Roman" w:hint="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rsidR="00DA1185" w:rsidRDefault="006D574A">
      <w:pPr>
        <w:widowControl/>
        <w:spacing w:line="560" w:lineRule="exact"/>
        <w:ind w:firstLineChars="200" w:firstLine="643"/>
        <w:rPr>
          <w:rFonts w:ascii="仿宋_GB2312" w:eastAsia="仿宋_GB2312" w:hAnsi="Cambria" w:cs="ArialUnicodeMS"/>
          <w:kern w:val="0"/>
          <w:sz w:val="32"/>
          <w:szCs w:val="32"/>
        </w:rPr>
      </w:pPr>
      <w:r>
        <w:rPr>
          <w:rFonts w:ascii="仿宋_GB2312" w:eastAsia="仿宋_GB2312" w:hAnsi="宋体" w:cs="Times New Roman" w:hint="eastAsia"/>
          <w:b/>
          <w:bCs/>
          <w:color w:val="000000"/>
          <w:kern w:val="0"/>
          <w:sz w:val="32"/>
          <w:szCs w:val="32"/>
        </w:rPr>
        <w:t>（十七）经费形式:</w:t>
      </w:r>
      <w:r>
        <w:rPr>
          <w:rFonts w:ascii="仿宋_GB2312" w:eastAsia="仿宋_GB2312" w:hAnsi="宋体" w:cs="Times New Roman" w:hint="eastAsia"/>
          <w:color w:val="000000"/>
          <w:kern w:val="0"/>
          <w:sz w:val="32"/>
          <w:szCs w:val="32"/>
        </w:rPr>
        <w:t>按照经费来源，</w:t>
      </w:r>
      <w:r>
        <w:rPr>
          <w:rFonts w:ascii="仿宋_GB2312" w:eastAsia="仿宋_GB2312" w:hAnsi="Cambria" w:cs="ArialUnicodeMS" w:hint="eastAsia"/>
          <w:kern w:val="0"/>
          <w:sz w:val="32"/>
          <w:szCs w:val="32"/>
        </w:rPr>
        <w:t>可分为财政拨款、财政性资金基本保证、财政性资金定额或定项补助、财政性资金零补助四类。</w:t>
      </w:r>
    </w:p>
    <w:p w:rsidR="00DA1185" w:rsidRDefault="00DA1185"/>
    <w:p w:rsidR="00DA1185" w:rsidRDefault="00DA1185"/>
    <w:p w:rsidR="00DA1185" w:rsidRDefault="00DA1185"/>
    <w:p w:rsidR="00DA1185" w:rsidRDefault="00DA1185"/>
    <w:p w:rsidR="00DA1185" w:rsidRDefault="00DA1185">
      <w:pPr>
        <w:tabs>
          <w:tab w:val="left" w:pos="235"/>
        </w:tabs>
        <w:jc w:val="left"/>
      </w:pPr>
    </w:p>
    <w:p w:rsidR="00DA1185" w:rsidRDefault="00DA1185">
      <w:pPr>
        <w:tabs>
          <w:tab w:val="left" w:pos="235"/>
        </w:tabs>
        <w:jc w:val="left"/>
      </w:pPr>
    </w:p>
    <w:p w:rsidR="00DA1185" w:rsidRDefault="00DA1185">
      <w:pPr>
        <w:tabs>
          <w:tab w:val="left" w:pos="235"/>
        </w:tabs>
        <w:jc w:val="left"/>
      </w:pPr>
    </w:p>
    <w:p w:rsidR="00DA1185" w:rsidRDefault="00DA1185">
      <w:pPr>
        <w:tabs>
          <w:tab w:val="left" w:pos="235"/>
        </w:tabs>
        <w:jc w:val="left"/>
      </w:pPr>
    </w:p>
    <w:p w:rsidR="00DA1185" w:rsidRDefault="00DA1185">
      <w:pPr>
        <w:tabs>
          <w:tab w:val="left" w:pos="235"/>
        </w:tabs>
        <w:jc w:val="left"/>
      </w:pPr>
    </w:p>
    <w:p w:rsidR="00DA1185" w:rsidRDefault="00DA1185">
      <w:pPr>
        <w:tabs>
          <w:tab w:val="left" w:pos="235"/>
        </w:tabs>
        <w:jc w:val="left"/>
      </w:pPr>
    </w:p>
    <w:p w:rsidR="00DA1185" w:rsidRDefault="00DA1185">
      <w:pPr>
        <w:tabs>
          <w:tab w:val="left" w:pos="235"/>
        </w:tabs>
        <w:jc w:val="left"/>
      </w:pPr>
    </w:p>
    <w:p w:rsidR="00DA1185" w:rsidRDefault="00DA1185">
      <w:pPr>
        <w:tabs>
          <w:tab w:val="left" w:pos="235"/>
        </w:tabs>
        <w:jc w:val="left"/>
      </w:pPr>
    </w:p>
    <w:p w:rsidR="00DA1185" w:rsidRDefault="00DA1185">
      <w:pPr>
        <w:tabs>
          <w:tab w:val="left" w:pos="235"/>
        </w:tabs>
        <w:jc w:val="left"/>
      </w:pPr>
    </w:p>
    <w:p w:rsidR="00DA1185" w:rsidRDefault="00DA1185">
      <w:pPr>
        <w:tabs>
          <w:tab w:val="left" w:pos="235"/>
        </w:tabs>
        <w:jc w:val="left"/>
      </w:pPr>
    </w:p>
    <w:p w:rsidR="00DA1185" w:rsidRDefault="00DA1185">
      <w:pPr>
        <w:tabs>
          <w:tab w:val="left" w:pos="235"/>
        </w:tabs>
        <w:jc w:val="left"/>
      </w:pPr>
    </w:p>
    <w:p w:rsidR="00DA1185" w:rsidRDefault="00DA1185">
      <w:pPr>
        <w:tabs>
          <w:tab w:val="left" w:pos="235"/>
        </w:tabs>
        <w:jc w:val="left"/>
      </w:pPr>
    </w:p>
    <w:p w:rsidR="00DA1185" w:rsidRDefault="00E81DD1">
      <w:pPr>
        <w:tabs>
          <w:tab w:val="left" w:pos="235"/>
        </w:tabs>
        <w:jc w:val="left"/>
        <w:sectPr w:rsidR="00DA1185">
          <w:headerReference w:type="default" r:id="rId39"/>
          <w:pgSz w:w="11906" w:h="16838"/>
          <w:pgMar w:top="2098" w:right="1474" w:bottom="1985" w:left="1588" w:header="851" w:footer="992" w:gutter="0"/>
          <w:pgNumType w:fmt="numberInDash"/>
          <w:cols w:space="425"/>
          <w:docGrid w:type="lines" w:linePitch="312"/>
        </w:sectPr>
      </w:pPr>
      <w:r>
        <w:rPr>
          <w:sz w:val="72"/>
        </w:rPr>
        <w:pict>
          <v:shape id="_x0000_s1028" type="#_x0000_t202" style="position:absolute;margin-left:-82.05pt;margin-top:111.85pt;width:613.65pt;height:263.1pt;z-index:251686912;v-text-anchor:middle"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fillcolor="#ffd966" strokecolor="#ffd966" strokeweight=".5pt">
            <v:fill r:id="rId23" o:title="5%" color2="white [3212]" type="pattern"/>
            <v:stroke joinstyle="round"/>
            <v:textbox>
              <w:txbxContent>
                <w:p w:rsidR="00DA1185" w:rsidRDefault="006D574A">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 xml:space="preserve">第四部分 </w:t>
                  </w:r>
                </w:p>
                <w:p w:rsidR="00DA1185" w:rsidRDefault="006D574A">
                  <w:pPr>
                    <w:widowControl/>
                    <w:jc w:val="center"/>
                  </w:pPr>
                  <w:r>
                    <w:rPr>
                      <w:rFonts w:ascii="黑体" w:eastAsia="黑体" w:hAnsi="黑体" w:cs="黑体" w:hint="eastAsia"/>
                      <w:color w:val="000000" w:themeColor="text1"/>
                      <w:sz w:val="90"/>
                      <w:szCs w:val="90"/>
                    </w:rPr>
                    <w:t>2019</w:t>
                  </w:r>
                  <w:r>
                    <w:rPr>
                      <w:rFonts w:ascii="黑体" w:eastAsia="黑体" w:hAnsi="黑体" w:cs="黑体" w:hint="eastAsia"/>
                      <w:color w:val="000000" w:themeColor="text1"/>
                      <w:sz w:val="90"/>
                      <w:szCs w:val="90"/>
                    </w:rPr>
                    <w:t>年度部门决算报表</w:t>
                  </w:r>
                </w:p>
              </w:txbxContent>
            </v:textbox>
          </v:shape>
        </w:pict>
      </w:r>
    </w:p>
    <w:p w:rsidR="00DA1185" w:rsidRDefault="00DA1185">
      <w:pPr>
        <w:tabs>
          <w:tab w:val="left" w:pos="886"/>
        </w:tabs>
        <w:jc w:val="left"/>
      </w:pPr>
    </w:p>
    <w:p w:rsidR="00DA1185" w:rsidRDefault="00DA1185">
      <w:pPr>
        <w:jc w:val="left"/>
      </w:pPr>
    </w:p>
    <w:tbl>
      <w:tblPr>
        <w:tblpPr w:leftFromText="180" w:rightFromText="180" w:vertAnchor="text" w:horzAnchor="page" w:tblpXSpec="center" w:tblpY="31"/>
        <w:tblOverlap w:val="never"/>
        <w:tblW w:w="9517" w:type="dxa"/>
        <w:jc w:val="center"/>
        <w:tblLayout w:type="fixed"/>
        <w:tblCellMar>
          <w:left w:w="0" w:type="dxa"/>
          <w:right w:w="0" w:type="dxa"/>
        </w:tblCellMar>
        <w:tblLook w:val="04A0" w:firstRow="1" w:lastRow="0" w:firstColumn="1" w:lastColumn="0" w:noHBand="0" w:noVBand="1"/>
      </w:tblPr>
      <w:tblGrid>
        <w:gridCol w:w="2993"/>
        <w:gridCol w:w="243"/>
        <w:gridCol w:w="468"/>
        <w:gridCol w:w="158"/>
        <w:gridCol w:w="796"/>
        <w:gridCol w:w="3474"/>
        <w:gridCol w:w="541"/>
        <w:gridCol w:w="844"/>
      </w:tblGrid>
      <w:tr w:rsidR="00DA1185">
        <w:trPr>
          <w:trHeight w:val="489"/>
          <w:jc w:val="center"/>
        </w:trPr>
        <w:tc>
          <w:tcPr>
            <w:tcW w:w="9517" w:type="dxa"/>
            <w:gridSpan w:val="8"/>
            <w:tcBorders>
              <w:top w:val="nil"/>
              <w:left w:val="nil"/>
              <w:bottom w:val="nil"/>
              <w:right w:val="nil"/>
            </w:tcBorders>
            <w:shd w:val="clear" w:color="auto" w:fill="auto"/>
            <w:tcMar>
              <w:top w:w="15" w:type="dxa"/>
              <w:left w:w="15" w:type="dxa"/>
              <w:right w:w="15" w:type="dxa"/>
            </w:tcMar>
            <w:vAlign w:val="bottom"/>
          </w:tcPr>
          <w:p w:rsidR="00DA1185" w:rsidRDefault="006D574A">
            <w:pPr>
              <w:spacing w:line="400" w:lineRule="exact"/>
              <w:jc w:val="center"/>
              <w:rPr>
                <w:rFonts w:ascii="黑体" w:eastAsia="黑体" w:hAnsi="宋体" w:cs="黑体"/>
                <w:color w:val="000000"/>
                <w:sz w:val="32"/>
                <w:szCs w:val="32"/>
              </w:rPr>
            </w:pPr>
            <w:r>
              <w:rPr>
                <w:rFonts w:ascii="黑体" w:eastAsia="黑体" w:hAnsi="宋体" w:cs="黑体" w:hint="eastAsia"/>
                <w:color w:val="000000"/>
                <w:kern w:val="0"/>
                <w:sz w:val="32"/>
                <w:szCs w:val="32"/>
              </w:rPr>
              <w:t>收入支出决算总表</w:t>
            </w:r>
          </w:p>
        </w:tc>
      </w:tr>
      <w:tr w:rsidR="00DA1185">
        <w:trPr>
          <w:trHeight w:val="205"/>
          <w:jc w:val="center"/>
        </w:trPr>
        <w:tc>
          <w:tcPr>
            <w:tcW w:w="2993"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711" w:type="dxa"/>
            <w:gridSpan w:val="2"/>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954" w:type="dxa"/>
            <w:gridSpan w:val="2"/>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4859" w:type="dxa"/>
            <w:gridSpan w:val="3"/>
            <w:tcBorders>
              <w:top w:val="nil"/>
              <w:left w:val="nil"/>
              <w:bottom w:val="nil"/>
              <w:right w:val="nil"/>
            </w:tcBorders>
            <w:shd w:val="clear" w:color="auto" w:fill="auto"/>
            <w:tcMar>
              <w:top w:w="15" w:type="dxa"/>
              <w:left w:w="15" w:type="dxa"/>
              <w:right w:w="15" w:type="dxa"/>
            </w:tcMar>
            <w:vAlign w:val="bottom"/>
          </w:tcPr>
          <w:p w:rsidR="00DA1185" w:rsidRDefault="006D574A">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公开01表</w:t>
            </w:r>
          </w:p>
        </w:tc>
      </w:tr>
      <w:tr w:rsidR="00DA1185">
        <w:trPr>
          <w:trHeight w:val="421"/>
          <w:jc w:val="center"/>
        </w:trPr>
        <w:tc>
          <w:tcPr>
            <w:tcW w:w="2993" w:type="dxa"/>
            <w:tcBorders>
              <w:top w:val="nil"/>
              <w:left w:val="nil"/>
              <w:bottom w:val="nil"/>
              <w:right w:val="nil"/>
            </w:tcBorders>
            <w:shd w:val="clear" w:color="auto" w:fill="auto"/>
            <w:tcMar>
              <w:top w:w="15" w:type="dxa"/>
              <w:left w:w="15" w:type="dxa"/>
              <w:right w:w="15" w:type="dxa"/>
            </w:tcMar>
            <w:vAlign w:val="bottom"/>
          </w:tcPr>
          <w:p w:rsidR="00DA1185" w:rsidRDefault="006D574A">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711" w:type="dxa"/>
            <w:gridSpan w:val="2"/>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954" w:type="dxa"/>
            <w:gridSpan w:val="2"/>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4859" w:type="dxa"/>
            <w:gridSpan w:val="3"/>
            <w:tcBorders>
              <w:top w:val="nil"/>
              <w:left w:val="nil"/>
              <w:bottom w:val="nil"/>
              <w:right w:val="nil"/>
            </w:tcBorders>
            <w:shd w:val="clear" w:color="auto" w:fill="auto"/>
            <w:tcMar>
              <w:top w:w="15" w:type="dxa"/>
              <w:left w:w="15" w:type="dxa"/>
              <w:right w:w="15" w:type="dxa"/>
            </w:tcMar>
            <w:vAlign w:val="bottom"/>
          </w:tcPr>
          <w:p w:rsidR="00DA1185" w:rsidRDefault="006D574A">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DA1185">
        <w:trPr>
          <w:trHeight w:val="284"/>
          <w:jc w:val="center"/>
        </w:trPr>
        <w:tc>
          <w:tcPr>
            <w:tcW w:w="4658" w:type="dxa"/>
            <w:gridSpan w:val="5"/>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收入</w:t>
            </w:r>
          </w:p>
        </w:tc>
        <w:tc>
          <w:tcPr>
            <w:tcW w:w="4859"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支出</w:t>
            </w:r>
          </w:p>
        </w:tc>
      </w:tr>
      <w:tr w:rsidR="00DA1185">
        <w:trPr>
          <w:trHeight w:val="770"/>
          <w:jc w:val="center"/>
        </w:trPr>
        <w:tc>
          <w:tcPr>
            <w:tcW w:w="3236"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62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79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r>
      <w:tr w:rsidR="00DA1185">
        <w:trPr>
          <w:trHeight w:val="213"/>
          <w:jc w:val="center"/>
        </w:trPr>
        <w:tc>
          <w:tcPr>
            <w:tcW w:w="3236"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62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9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r>
      <w:tr w:rsidR="00DA1185">
        <w:trPr>
          <w:trHeight w:val="817"/>
          <w:jc w:val="center"/>
        </w:trPr>
        <w:tc>
          <w:tcPr>
            <w:tcW w:w="3236"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一、一般公共预算财政拨款收入</w:t>
            </w:r>
          </w:p>
        </w:tc>
        <w:tc>
          <w:tcPr>
            <w:tcW w:w="62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sz w:val="22"/>
              </w:rPr>
              <w:t>1</w:t>
            </w:r>
          </w:p>
        </w:tc>
        <w:tc>
          <w:tcPr>
            <w:tcW w:w="79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right"/>
              <w:textAlignment w:val="center"/>
              <w:rPr>
                <w:rFonts w:ascii="宋体" w:eastAsia="宋体" w:hAnsi="宋体" w:cs="宋体"/>
                <w:color w:val="000000"/>
                <w:sz w:val="22"/>
              </w:rPr>
            </w:pPr>
            <w:r>
              <w:rPr>
                <w:rFonts w:ascii="宋体" w:eastAsia="宋体" w:hAnsi="宋体" w:cs="宋体" w:hint="eastAsia"/>
                <w:color w:val="000000"/>
                <w:sz w:val="22"/>
              </w:rPr>
              <w:t>640.98</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一、一般公共服务支出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29</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550.68　</w:t>
            </w:r>
          </w:p>
        </w:tc>
      </w:tr>
      <w:tr w:rsidR="00DA1185">
        <w:trPr>
          <w:trHeight w:val="213"/>
          <w:jc w:val="center"/>
        </w:trPr>
        <w:tc>
          <w:tcPr>
            <w:tcW w:w="3236"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二、政府性基金预算财政拨款收入</w:t>
            </w:r>
          </w:p>
        </w:tc>
        <w:tc>
          <w:tcPr>
            <w:tcW w:w="62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79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二、外交支出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30</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DA1185">
        <w:trPr>
          <w:trHeight w:val="182"/>
          <w:jc w:val="center"/>
        </w:trPr>
        <w:tc>
          <w:tcPr>
            <w:tcW w:w="3236"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三、上级补助收入</w:t>
            </w:r>
          </w:p>
        </w:tc>
        <w:tc>
          <w:tcPr>
            <w:tcW w:w="62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79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三、国防支出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31</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DA1185">
        <w:trPr>
          <w:trHeight w:val="213"/>
          <w:jc w:val="center"/>
        </w:trPr>
        <w:tc>
          <w:tcPr>
            <w:tcW w:w="3236"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四、事业收入</w:t>
            </w:r>
          </w:p>
        </w:tc>
        <w:tc>
          <w:tcPr>
            <w:tcW w:w="62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79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四、公共安全支出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32</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DA1185">
        <w:trPr>
          <w:trHeight w:val="213"/>
          <w:jc w:val="center"/>
        </w:trPr>
        <w:tc>
          <w:tcPr>
            <w:tcW w:w="3236"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五、经营收入</w:t>
            </w:r>
          </w:p>
        </w:tc>
        <w:tc>
          <w:tcPr>
            <w:tcW w:w="62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79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五、教育支出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33</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DA1185">
        <w:trPr>
          <w:trHeight w:val="213"/>
          <w:jc w:val="center"/>
        </w:trPr>
        <w:tc>
          <w:tcPr>
            <w:tcW w:w="3236"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六、附属单位上缴收入</w:t>
            </w:r>
          </w:p>
        </w:tc>
        <w:tc>
          <w:tcPr>
            <w:tcW w:w="62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c>
          <w:tcPr>
            <w:tcW w:w="79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六、科学技术支出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34</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DA1185">
        <w:trPr>
          <w:trHeight w:val="213"/>
          <w:jc w:val="center"/>
        </w:trPr>
        <w:tc>
          <w:tcPr>
            <w:tcW w:w="3236"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七、其他收入</w:t>
            </w:r>
          </w:p>
        </w:tc>
        <w:tc>
          <w:tcPr>
            <w:tcW w:w="62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c>
          <w:tcPr>
            <w:tcW w:w="79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七、文化旅游体育与传媒支出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35</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DA1185">
        <w:trPr>
          <w:trHeight w:val="213"/>
          <w:jc w:val="center"/>
        </w:trPr>
        <w:tc>
          <w:tcPr>
            <w:tcW w:w="3236"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2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8</w:t>
            </w:r>
          </w:p>
        </w:tc>
        <w:tc>
          <w:tcPr>
            <w:tcW w:w="79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八、社会保障和就业支出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36</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74.44　</w:t>
            </w:r>
          </w:p>
        </w:tc>
      </w:tr>
      <w:tr w:rsidR="00DA1185">
        <w:trPr>
          <w:trHeight w:val="213"/>
          <w:jc w:val="center"/>
        </w:trPr>
        <w:tc>
          <w:tcPr>
            <w:tcW w:w="3236"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2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9</w:t>
            </w:r>
          </w:p>
        </w:tc>
        <w:tc>
          <w:tcPr>
            <w:tcW w:w="79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九、卫生健康支出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37</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15.85　</w:t>
            </w:r>
          </w:p>
        </w:tc>
      </w:tr>
      <w:tr w:rsidR="00DA1185">
        <w:trPr>
          <w:trHeight w:val="213"/>
          <w:jc w:val="center"/>
        </w:trPr>
        <w:tc>
          <w:tcPr>
            <w:tcW w:w="3236"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2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10</w:t>
            </w:r>
          </w:p>
        </w:tc>
        <w:tc>
          <w:tcPr>
            <w:tcW w:w="79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十、节能环保支出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38</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DA1185">
        <w:trPr>
          <w:trHeight w:val="213"/>
          <w:jc w:val="center"/>
        </w:trPr>
        <w:tc>
          <w:tcPr>
            <w:tcW w:w="3236"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2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11</w:t>
            </w:r>
          </w:p>
        </w:tc>
        <w:tc>
          <w:tcPr>
            <w:tcW w:w="79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十一、城乡社区支出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39</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DA1185">
        <w:trPr>
          <w:trHeight w:val="213"/>
          <w:jc w:val="center"/>
        </w:trPr>
        <w:tc>
          <w:tcPr>
            <w:tcW w:w="3236"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2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12</w:t>
            </w:r>
          </w:p>
        </w:tc>
        <w:tc>
          <w:tcPr>
            <w:tcW w:w="79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十二、农林水支出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40</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DA1185">
        <w:trPr>
          <w:trHeight w:val="213"/>
          <w:jc w:val="center"/>
        </w:trPr>
        <w:tc>
          <w:tcPr>
            <w:tcW w:w="3236"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2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13</w:t>
            </w:r>
          </w:p>
        </w:tc>
        <w:tc>
          <w:tcPr>
            <w:tcW w:w="79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十三、交通运输支出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41</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DA1185">
        <w:trPr>
          <w:trHeight w:val="213"/>
          <w:jc w:val="center"/>
        </w:trPr>
        <w:tc>
          <w:tcPr>
            <w:tcW w:w="3236"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2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14</w:t>
            </w:r>
          </w:p>
        </w:tc>
        <w:tc>
          <w:tcPr>
            <w:tcW w:w="79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十四、资源勘探信息等支出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42</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DA1185">
        <w:trPr>
          <w:trHeight w:val="213"/>
          <w:jc w:val="center"/>
        </w:trPr>
        <w:tc>
          <w:tcPr>
            <w:tcW w:w="3236"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2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15</w:t>
            </w:r>
          </w:p>
        </w:tc>
        <w:tc>
          <w:tcPr>
            <w:tcW w:w="79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十五、商业服务业等支出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43</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DA1185">
        <w:trPr>
          <w:trHeight w:val="213"/>
          <w:jc w:val="center"/>
        </w:trPr>
        <w:tc>
          <w:tcPr>
            <w:tcW w:w="3236"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2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16</w:t>
            </w:r>
          </w:p>
        </w:tc>
        <w:tc>
          <w:tcPr>
            <w:tcW w:w="79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十六、金融支出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44</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DA1185">
        <w:trPr>
          <w:trHeight w:val="213"/>
          <w:jc w:val="center"/>
        </w:trPr>
        <w:tc>
          <w:tcPr>
            <w:tcW w:w="3236"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2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17</w:t>
            </w:r>
          </w:p>
        </w:tc>
        <w:tc>
          <w:tcPr>
            <w:tcW w:w="79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十七、援助其他地区支出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45</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DA1185">
        <w:trPr>
          <w:trHeight w:val="213"/>
          <w:jc w:val="center"/>
        </w:trPr>
        <w:tc>
          <w:tcPr>
            <w:tcW w:w="3236"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2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18</w:t>
            </w:r>
          </w:p>
        </w:tc>
        <w:tc>
          <w:tcPr>
            <w:tcW w:w="79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十八、自然资源海洋气象等支出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46</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DA1185">
        <w:trPr>
          <w:trHeight w:val="213"/>
          <w:jc w:val="center"/>
        </w:trPr>
        <w:tc>
          <w:tcPr>
            <w:tcW w:w="3236"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2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19</w:t>
            </w:r>
          </w:p>
        </w:tc>
        <w:tc>
          <w:tcPr>
            <w:tcW w:w="79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十九、住房保障支出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47</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DA1185">
        <w:trPr>
          <w:trHeight w:val="213"/>
          <w:jc w:val="center"/>
        </w:trPr>
        <w:tc>
          <w:tcPr>
            <w:tcW w:w="3236"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2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w:t>
            </w:r>
          </w:p>
        </w:tc>
        <w:tc>
          <w:tcPr>
            <w:tcW w:w="79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二十、粮油物资储备支出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48</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DA1185">
        <w:trPr>
          <w:trHeight w:val="213"/>
          <w:jc w:val="center"/>
        </w:trPr>
        <w:tc>
          <w:tcPr>
            <w:tcW w:w="3236"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2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21</w:t>
            </w:r>
          </w:p>
        </w:tc>
        <w:tc>
          <w:tcPr>
            <w:tcW w:w="79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二十一、灾害防治及应急管理支出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49</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DA1185">
        <w:trPr>
          <w:trHeight w:val="213"/>
          <w:jc w:val="center"/>
        </w:trPr>
        <w:tc>
          <w:tcPr>
            <w:tcW w:w="3236"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2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22</w:t>
            </w:r>
          </w:p>
        </w:tc>
        <w:tc>
          <w:tcPr>
            <w:tcW w:w="79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二十二、其他支出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50</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DA1185">
        <w:trPr>
          <w:trHeight w:val="213"/>
          <w:jc w:val="center"/>
        </w:trPr>
        <w:tc>
          <w:tcPr>
            <w:tcW w:w="3236"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2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23</w:t>
            </w:r>
          </w:p>
        </w:tc>
        <w:tc>
          <w:tcPr>
            <w:tcW w:w="79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二十四、债务付息支出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51</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DA1185">
        <w:trPr>
          <w:trHeight w:val="213"/>
          <w:jc w:val="center"/>
        </w:trPr>
        <w:tc>
          <w:tcPr>
            <w:tcW w:w="3236"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本年收入合计</w:t>
            </w:r>
          </w:p>
        </w:tc>
        <w:tc>
          <w:tcPr>
            <w:tcW w:w="62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24</w:t>
            </w:r>
          </w:p>
        </w:tc>
        <w:tc>
          <w:tcPr>
            <w:tcW w:w="79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640.98</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本年支出合计</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52</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640.98　</w:t>
            </w:r>
          </w:p>
        </w:tc>
      </w:tr>
      <w:tr w:rsidR="00DA1185">
        <w:trPr>
          <w:trHeight w:val="213"/>
          <w:jc w:val="center"/>
        </w:trPr>
        <w:tc>
          <w:tcPr>
            <w:tcW w:w="3236"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用事业基金弥补收支差额</w:t>
            </w:r>
          </w:p>
        </w:tc>
        <w:tc>
          <w:tcPr>
            <w:tcW w:w="62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25</w:t>
            </w:r>
          </w:p>
        </w:tc>
        <w:tc>
          <w:tcPr>
            <w:tcW w:w="79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结余分配</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53</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DA1185">
        <w:trPr>
          <w:trHeight w:val="213"/>
          <w:jc w:val="center"/>
        </w:trPr>
        <w:tc>
          <w:tcPr>
            <w:tcW w:w="3236"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年初结转和结余</w:t>
            </w:r>
          </w:p>
        </w:tc>
        <w:tc>
          <w:tcPr>
            <w:tcW w:w="62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26</w:t>
            </w:r>
          </w:p>
        </w:tc>
        <w:tc>
          <w:tcPr>
            <w:tcW w:w="79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年末结转和结余</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54</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DA1185">
        <w:trPr>
          <w:trHeight w:val="213"/>
          <w:jc w:val="center"/>
        </w:trPr>
        <w:tc>
          <w:tcPr>
            <w:tcW w:w="3236"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2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27</w:t>
            </w:r>
          </w:p>
        </w:tc>
        <w:tc>
          <w:tcPr>
            <w:tcW w:w="79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55</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DA1185">
        <w:trPr>
          <w:trHeight w:val="213"/>
          <w:jc w:val="center"/>
        </w:trPr>
        <w:tc>
          <w:tcPr>
            <w:tcW w:w="3236"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62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28</w:t>
            </w:r>
          </w:p>
        </w:tc>
        <w:tc>
          <w:tcPr>
            <w:tcW w:w="79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640.98</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56</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640.98　</w:t>
            </w:r>
          </w:p>
        </w:tc>
      </w:tr>
      <w:tr w:rsidR="00DA1185">
        <w:trPr>
          <w:trHeight w:val="213"/>
          <w:jc w:val="center"/>
        </w:trPr>
        <w:tc>
          <w:tcPr>
            <w:tcW w:w="3862" w:type="dxa"/>
            <w:gridSpan w:val="4"/>
            <w:tcBorders>
              <w:top w:val="nil"/>
              <w:left w:val="nil"/>
              <w:bottom w:val="nil"/>
              <w:right w:val="nil"/>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lastRenderedPageBreak/>
              <w:t>注：本表反映部门本年度的总收支和年末结转结余情况。</w:t>
            </w:r>
          </w:p>
          <w:p w:rsidR="00DA1185" w:rsidRDefault="00DA1185">
            <w:pPr>
              <w:widowControl/>
              <w:jc w:val="left"/>
              <w:textAlignment w:val="center"/>
              <w:rPr>
                <w:rFonts w:ascii="宋体" w:eastAsia="宋体" w:hAnsi="宋体" w:cs="宋体"/>
                <w:color w:val="000000"/>
                <w:kern w:val="0"/>
                <w:sz w:val="22"/>
              </w:rPr>
            </w:pPr>
          </w:p>
          <w:p w:rsidR="00DA1185" w:rsidRDefault="00DA1185">
            <w:pPr>
              <w:widowControl/>
              <w:jc w:val="left"/>
              <w:textAlignment w:val="center"/>
              <w:rPr>
                <w:rFonts w:ascii="宋体" w:eastAsia="宋体" w:hAnsi="宋体" w:cs="宋体"/>
                <w:color w:val="000000"/>
                <w:kern w:val="0"/>
                <w:sz w:val="22"/>
              </w:rPr>
            </w:pPr>
          </w:p>
        </w:tc>
        <w:tc>
          <w:tcPr>
            <w:tcW w:w="796" w:type="dxa"/>
            <w:tcBorders>
              <w:top w:val="nil"/>
              <w:left w:val="nil"/>
              <w:bottom w:val="nil"/>
              <w:right w:val="nil"/>
            </w:tcBorders>
            <w:shd w:val="clear" w:color="auto" w:fill="auto"/>
            <w:tcMar>
              <w:top w:w="15" w:type="dxa"/>
              <w:left w:w="15" w:type="dxa"/>
              <w:right w:w="15" w:type="dxa"/>
            </w:tcMar>
            <w:vAlign w:val="center"/>
          </w:tcPr>
          <w:p w:rsidR="00DA1185" w:rsidRDefault="00DA1185">
            <w:pPr>
              <w:jc w:val="right"/>
            </w:pPr>
          </w:p>
        </w:tc>
        <w:tc>
          <w:tcPr>
            <w:tcW w:w="4859" w:type="dxa"/>
            <w:gridSpan w:val="3"/>
            <w:tcBorders>
              <w:top w:val="nil"/>
              <w:left w:val="nil"/>
              <w:bottom w:val="nil"/>
              <w:right w:val="nil"/>
            </w:tcBorders>
            <w:shd w:val="clear" w:color="auto" w:fill="auto"/>
            <w:tcMar>
              <w:top w:w="15" w:type="dxa"/>
              <w:left w:w="15" w:type="dxa"/>
              <w:right w:w="15" w:type="dxa"/>
            </w:tcMar>
            <w:vAlign w:val="center"/>
          </w:tcPr>
          <w:p w:rsidR="00DA1185" w:rsidRDefault="00DA1185">
            <w:pPr>
              <w:widowControl/>
              <w:jc w:val="left"/>
              <w:textAlignment w:val="center"/>
            </w:pPr>
          </w:p>
        </w:tc>
      </w:tr>
    </w:tbl>
    <w:tbl>
      <w:tblPr>
        <w:tblW w:w="9545" w:type="dxa"/>
        <w:jc w:val="center"/>
        <w:tblLayout w:type="fixed"/>
        <w:tblCellMar>
          <w:left w:w="0" w:type="dxa"/>
          <w:right w:w="0" w:type="dxa"/>
        </w:tblCellMar>
        <w:tblLook w:val="04A0" w:firstRow="1" w:lastRow="0" w:firstColumn="1" w:lastColumn="0" w:noHBand="0" w:noVBand="1"/>
      </w:tblPr>
      <w:tblGrid>
        <w:gridCol w:w="880"/>
        <w:gridCol w:w="100"/>
        <w:gridCol w:w="99"/>
        <w:gridCol w:w="200"/>
        <w:gridCol w:w="973"/>
        <w:gridCol w:w="298"/>
        <w:gridCol w:w="577"/>
        <w:gridCol w:w="297"/>
        <w:gridCol w:w="577"/>
        <w:gridCol w:w="297"/>
        <w:gridCol w:w="577"/>
        <w:gridCol w:w="297"/>
        <w:gridCol w:w="577"/>
        <w:gridCol w:w="297"/>
        <w:gridCol w:w="577"/>
        <w:gridCol w:w="297"/>
        <w:gridCol w:w="577"/>
        <w:gridCol w:w="875"/>
        <w:gridCol w:w="297"/>
        <w:gridCol w:w="577"/>
        <w:gridCol w:w="299"/>
      </w:tblGrid>
      <w:tr w:rsidR="00DA1185">
        <w:trPr>
          <w:gridAfter w:val="1"/>
          <w:wAfter w:w="299" w:type="dxa"/>
          <w:trHeight w:val="670"/>
          <w:jc w:val="center"/>
        </w:trPr>
        <w:tc>
          <w:tcPr>
            <w:tcW w:w="8372" w:type="dxa"/>
            <w:gridSpan w:val="18"/>
            <w:tcBorders>
              <w:top w:val="nil"/>
              <w:left w:val="nil"/>
              <w:bottom w:val="nil"/>
              <w:right w:val="nil"/>
            </w:tcBorders>
            <w:shd w:val="clear" w:color="auto" w:fill="auto"/>
            <w:tcMar>
              <w:top w:w="15" w:type="dxa"/>
              <w:left w:w="15" w:type="dxa"/>
              <w:right w:w="15" w:type="dxa"/>
            </w:tcMar>
            <w:vAlign w:val="bottom"/>
          </w:tcPr>
          <w:p w:rsidR="00DA1185" w:rsidRDefault="00DA1185">
            <w:pPr>
              <w:widowControl/>
              <w:jc w:val="center"/>
              <w:textAlignment w:val="bottom"/>
              <w:rPr>
                <w:rFonts w:ascii="黑体" w:eastAsia="黑体" w:hAnsi="宋体" w:cs="黑体"/>
                <w:color w:val="000000"/>
                <w:kern w:val="0"/>
                <w:sz w:val="32"/>
                <w:szCs w:val="32"/>
              </w:rPr>
            </w:pPr>
          </w:p>
          <w:p w:rsidR="00DA1185" w:rsidRDefault="006D574A">
            <w:pPr>
              <w:widowControl/>
              <w:jc w:val="center"/>
              <w:textAlignment w:val="bottom"/>
              <w:rPr>
                <w:rFonts w:ascii="黑体" w:eastAsia="黑体" w:hAnsi="宋体" w:cs="黑体"/>
                <w:color w:val="000000"/>
                <w:sz w:val="32"/>
                <w:szCs w:val="32"/>
              </w:rPr>
            </w:pPr>
            <w:r>
              <w:rPr>
                <w:rFonts w:ascii="黑体" w:eastAsia="黑体" w:hAnsi="宋体" w:cs="黑体" w:hint="eastAsia"/>
                <w:color w:val="000000"/>
                <w:kern w:val="0"/>
                <w:sz w:val="32"/>
                <w:szCs w:val="32"/>
              </w:rPr>
              <w:t>收入决算表</w:t>
            </w:r>
          </w:p>
        </w:tc>
        <w:tc>
          <w:tcPr>
            <w:tcW w:w="874" w:type="dxa"/>
            <w:gridSpan w:val="2"/>
            <w:tcBorders>
              <w:top w:val="nil"/>
              <w:left w:val="nil"/>
              <w:bottom w:val="nil"/>
              <w:right w:val="nil"/>
            </w:tcBorders>
            <w:shd w:val="clear" w:color="auto" w:fill="auto"/>
            <w:tcMar>
              <w:top w:w="15" w:type="dxa"/>
              <w:left w:w="15" w:type="dxa"/>
              <w:right w:w="15" w:type="dxa"/>
            </w:tcMar>
            <w:vAlign w:val="bottom"/>
          </w:tcPr>
          <w:p w:rsidR="00DA1185" w:rsidRDefault="00DA1185">
            <w:pPr>
              <w:widowControl/>
              <w:jc w:val="center"/>
              <w:textAlignment w:val="bottom"/>
              <w:rPr>
                <w:rFonts w:ascii="黑体" w:eastAsia="黑体" w:hAnsi="宋体" w:cs="黑体"/>
                <w:color w:val="000000"/>
                <w:kern w:val="0"/>
                <w:sz w:val="32"/>
                <w:szCs w:val="32"/>
              </w:rPr>
            </w:pPr>
          </w:p>
        </w:tc>
      </w:tr>
      <w:tr w:rsidR="00DA1185">
        <w:trPr>
          <w:trHeight w:val="357"/>
          <w:jc w:val="center"/>
        </w:trPr>
        <w:tc>
          <w:tcPr>
            <w:tcW w:w="880"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199" w:type="dxa"/>
            <w:gridSpan w:val="2"/>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200"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1271" w:type="dxa"/>
            <w:gridSpan w:val="2"/>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874" w:type="dxa"/>
            <w:gridSpan w:val="2"/>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874" w:type="dxa"/>
            <w:gridSpan w:val="2"/>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874" w:type="dxa"/>
            <w:gridSpan w:val="2"/>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874" w:type="dxa"/>
            <w:gridSpan w:val="2"/>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874" w:type="dxa"/>
            <w:gridSpan w:val="2"/>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1749" w:type="dxa"/>
            <w:gridSpan w:val="3"/>
            <w:tcBorders>
              <w:top w:val="nil"/>
              <w:left w:val="nil"/>
              <w:bottom w:val="nil"/>
              <w:right w:val="nil"/>
            </w:tcBorders>
            <w:shd w:val="clear" w:color="auto" w:fill="auto"/>
            <w:tcMar>
              <w:top w:w="15" w:type="dxa"/>
              <w:left w:w="15" w:type="dxa"/>
              <w:right w:w="15" w:type="dxa"/>
            </w:tcMar>
            <w:vAlign w:val="bottom"/>
          </w:tcPr>
          <w:p w:rsidR="00DA1185" w:rsidRDefault="006D574A">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公开02表</w:t>
            </w:r>
          </w:p>
        </w:tc>
        <w:tc>
          <w:tcPr>
            <w:tcW w:w="876" w:type="dxa"/>
            <w:gridSpan w:val="2"/>
            <w:tcBorders>
              <w:top w:val="nil"/>
              <w:left w:val="nil"/>
              <w:bottom w:val="nil"/>
              <w:right w:val="nil"/>
            </w:tcBorders>
            <w:shd w:val="clear" w:color="auto" w:fill="auto"/>
            <w:tcMar>
              <w:top w:w="15" w:type="dxa"/>
              <w:left w:w="15" w:type="dxa"/>
              <w:right w:w="15" w:type="dxa"/>
            </w:tcMar>
            <w:vAlign w:val="bottom"/>
          </w:tcPr>
          <w:p w:rsidR="00DA1185" w:rsidRDefault="00DA1185">
            <w:pPr>
              <w:widowControl/>
              <w:jc w:val="right"/>
              <w:textAlignment w:val="bottom"/>
              <w:rPr>
                <w:rFonts w:ascii="宋体" w:eastAsia="宋体" w:hAnsi="宋体" w:cs="宋体"/>
                <w:color w:val="000000"/>
                <w:kern w:val="0"/>
                <w:sz w:val="20"/>
                <w:szCs w:val="20"/>
              </w:rPr>
            </w:pPr>
          </w:p>
        </w:tc>
      </w:tr>
      <w:tr w:rsidR="00DA1185">
        <w:trPr>
          <w:trHeight w:val="357"/>
          <w:jc w:val="center"/>
        </w:trPr>
        <w:tc>
          <w:tcPr>
            <w:tcW w:w="880" w:type="dxa"/>
            <w:tcBorders>
              <w:top w:val="nil"/>
              <w:left w:val="nil"/>
              <w:bottom w:val="nil"/>
              <w:right w:val="nil"/>
            </w:tcBorders>
            <w:shd w:val="clear" w:color="auto" w:fill="auto"/>
            <w:tcMar>
              <w:top w:w="15" w:type="dxa"/>
              <w:left w:w="15" w:type="dxa"/>
              <w:right w:w="15" w:type="dxa"/>
            </w:tcMar>
            <w:vAlign w:val="bottom"/>
          </w:tcPr>
          <w:p w:rsidR="00DA1185" w:rsidRDefault="006D574A">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199" w:type="dxa"/>
            <w:gridSpan w:val="2"/>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200"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1271" w:type="dxa"/>
            <w:gridSpan w:val="2"/>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874" w:type="dxa"/>
            <w:gridSpan w:val="2"/>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874" w:type="dxa"/>
            <w:gridSpan w:val="2"/>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874" w:type="dxa"/>
            <w:gridSpan w:val="2"/>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874" w:type="dxa"/>
            <w:gridSpan w:val="2"/>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2623" w:type="dxa"/>
            <w:gridSpan w:val="5"/>
            <w:tcBorders>
              <w:top w:val="nil"/>
              <w:left w:val="nil"/>
              <w:bottom w:val="nil"/>
              <w:right w:val="nil"/>
            </w:tcBorders>
            <w:shd w:val="clear" w:color="auto" w:fill="auto"/>
            <w:tcMar>
              <w:top w:w="15" w:type="dxa"/>
              <w:left w:w="15" w:type="dxa"/>
              <w:right w:w="15" w:type="dxa"/>
            </w:tcMar>
            <w:vAlign w:val="bottom"/>
          </w:tcPr>
          <w:p w:rsidR="00DA1185" w:rsidRDefault="006D574A">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c>
          <w:tcPr>
            <w:tcW w:w="876" w:type="dxa"/>
            <w:gridSpan w:val="2"/>
            <w:tcBorders>
              <w:top w:val="nil"/>
              <w:left w:val="nil"/>
              <w:bottom w:val="nil"/>
              <w:right w:val="nil"/>
            </w:tcBorders>
            <w:shd w:val="clear" w:color="auto" w:fill="auto"/>
            <w:tcMar>
              <w:top w:w="15" w:type="dxa"/>
              <w:left w:w="15" w:type="dxa"/>
              <w:right w:w="15" w:type="dxa"/>
            </w:tcMar>
            <w:vAlign w:val="bottom"/>
          </w:tcPr>
          <w:p w:rsidR="00DA1185" w:rsidRDefault="00DA1185">
            <w:pPr>
              <w:widowControl/>
              <w:jc w:val="right"/>
              <w:textAlignment w:val="bottom"/>
              <w:rPr>
                <w:rFonts w:ascii="宋体" w:eastAsia="宋体" w:hAnsi="宋体" w:cs="宋体"/>
                <w:color w:val="000000"/>
                <w:kern w:val="0"/>
                <w:sz w:val="20"/>
                <w:szCs w:val="20"/>
              </w:rPr>
            </w:pPr>
          </w:p>
        </w:tc>
      </w:tr>
      <w:tr w:rsidR="00DA1185">
        <w:trPr>
          <w:gridAfter w:val="1"/>
          <w:wAfter w:w="299" w:type="dxa"/>
          <w:trHeight w:val="385"/>
          <w:jc w:val="center"/>
        </w:trPr>
        <w:tc>
          <w:tcPr>
            <w:tcW w:w="2252" w:type="dxa"/>
            <w:gridSpan w:val="5"/>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875" w:type="dxa"/>
            <w:gridSpan w:val="2"/>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本年收入合计</w:t>
            </w:r>
          </w:p>
        </w:tc>
        <w:tc>
          <w:tcPr>
            <w:tcW w:w="874" w:type="dxa"/>
            <w:gridSpan w:val="2"/>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财政拨款收入</w:t>
            </w:r>
          </w:p>
        </w:tc>
        <w:tc>
          <w:tcPr>
            <w:tcW w:w="874" w:type="dxa"/>
            <w:gridSpan w:val="2"/>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上级补助收入</w:t>
            </w:r>
          </w:p>
        </w:tc>
        <w:tc>
          <w:tcPr>
            <w:tcW w:w="874" w:type="dxa"/>
            <w:gridSpan w:val="2"/>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事业收入</w:t>
            </w:r>
          </w:p>
        </w:tc>
        <w:tc>
          <w:tcPr>
            <w:tcW w:w="874" w:type="dxa"/>
            <w:gridSpan w:val="2"/>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经营收入</w:t>
            </w:r>
          </w:p>
        </w:tc>
        <w:tc>
          <w:tcPr>
            <w:tcW w:w="874" w:type="dxa"/>
            <w:gridSpan w:val="2"/>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附属单位上缴收入</w:t>
            </w:r>
          </w:p>
        </w:tc>
        <w:tc>
          <w:tcPr>
            <w:tcW w:w="875"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其他收入</w:t>
            </w:r>
          </w:p>
        </w:tc>
        <w:tc>
          <w:tcPr>
            <w:tcW w:w="874" w:type="dxa"/>
            <w:gridSpan w:val="2"/>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widowControl/>
              <w:jc w:val="center"/>
              <w:textAlignment w:val="center"/>
              <w:rPr>
                <w:rFonts w:ascii="宋体" w:eastAsia="宋体" w:hAnsi="宋体" w:cs="宋体"/>
                <w:color w:val="000000"/>
                <w:kern w:val="0"/>
                <w:sz w:val="22"/>
              </w:rPr>
            </w:pPr>
          </w:p>
        </w:tc>
      </w:tr>
      <w:tr w:rsidR="00DA1185">
        <w:trPr>
          <w:gridAfter w:val="1"/>
          <w:wAfter w:w="299" w:type="dxa"/>
          <w:trHeight w:val="380"/>
          <w:jc w:val="center"/>
        </w:trPr>
        <w:tc>
          <w:tcPr>
            <w:tcW w:w="980" w:type="dxa"/>
            <w:gridSpan w:val="2"/>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1272" w:type="dxa"/>
            <w:gridSpan w:val="3"/>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875" w:type="dxa"/>
            <w:gridSpan w:val="2"/>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874" w:type="dxa"/>
            <w:gridSpan w:val="2"/>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874" w:type="dxa"/>
            <w:gridSpan w:val="2"/>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874" w:type="dxa"/>
            <w:gridSpan w:val="2"/>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874" w:type="dxa"/>
            <w:gridSpan w:val="2"/>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874" w:type="dxa"/>
            <w:gridSpan w:val="2"/>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87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874" w:type="dxa"/>
            <w:gridSpan w:val="2"/>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r>
      <w:tr w:rsidR="00DA1185">
        <w:trPr>
          <w:gridAfter w:val="1"/>
          <w:wAfter w:w="299" w:type="dxa"/>
          <w:trHeight w:val="380"/>
          <w:jc w:val="center"/>
        </w:trPr>
        <w:tc>
          <w:tcPr>
            <w:tcW w:w="980" w:type="dxa"/>
            <w:gridSpan w:val="2"/>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1272" w:type="dxa"/>
            <w:gridSpan w:val="3"/>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875" w:type="dxa"/>
            <w:gridSpan w:val="2"/>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874" w:type="dxa"/>
            <w:gridSpan w:val="2"/>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874" w:type="dxa"/>
            <w:gridSpan w:val="2"/>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874" w:type="dxa"/>
            <w:gridSpan w:val="2"/>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874" w:type="dxa"/>
            <w:gridSpan w:val="2"/>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874" w:type="dxa"/>
            <w:gridSpan w:val="2"/>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87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874" w:type="dxa"/>
            <w:gridSpan w:val="2"/>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r>
      <w:tr w:rsidR="00DA1185">
        <w:trPr>
          <w:gridAfter w:val="1"/>
          <w:wAfter w:w="299" w:type="dxa"/>
          <w:trHeight w:val="380"/>
          <w:jc w:val="center"/>
        </w:trPr>
        <w:tc>
          <w:tcPr>
            <w:tcW w:w="980" w:type="dxa"/>
            <w:gridSpan w:val="2"/>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1272" w:type="dxa"/>
            <w:gridSpan w:val="3"/>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875" w:type="dxa"/>
            <w:gridSpan w:val="2"/>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874" w:type="dxa"/>
            <w:gridSpan w:val="2"/>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874" w:type="dxa"/>
            <w:gridSpan w:val="2"/>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874" w:type="dxa"/>
            <w:gridSpan w:val="2"/>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874" w:type="dxa"/>
            <w:gridSpan w:val="2"/>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874" w:type="dxa"/>
            <w:gridSpan w:val="2"/>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87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874" w:type="dxa"/>
            <w:gridSpan w:val="2"/>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r>
      <w:tr w:rsidR="00DA1185">
        <w:trPr>
          <w:gridAfter w:val="1"/>
          <w:wAfter w:w="299" w:type="dxa"/>
          <w:trHeight w:val="385"/>
          <w:jc w:val="center"/>
        </w:trPr>
        <w:tc>
          <w:tcPr>
            <w:tcW w:w="2252" w:type="dxa"/>
            <w:gridSpan w:val="5"/>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87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widowControl/>
              <w:jc w:val="center"/>
              <w:textAlignment w:val="center"/>
              <w:rPr>
                <w:rFonts w:ascii="宋体" w:eastAsia="宋体" w:hAnsi="宋体" w:cs="宋体"/>
                <w:color w:val="000000"/>
                <w:kern w:val="0"/>
                <w:sz w:val="22"/>
              </w:rPr>
            </w:pPr>
          </w:p>
        </w:tc>
      </w:tr>
      <w:tr w:rsidR="00DA1185">
        <w:trPr>
          <w:gridAfter w:val="1"/>
          <w:wAfter w:w="299" w:type="dxa"/>
          <w:trHeight w:val="385"/>
          <w:jc w:val="center"/>
        </w:trPr>
        <w:tc>
          <w:tcPr>
            <w:tcW w:w="2252" w:type="dxa"/>
            <w:gridSpan w:val="5"/>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87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b/>
                <w:color w:val="000000"/>
                <w:sz w:val="22"/>
              </w:rPr>
            </w:pPr>
            <w:r>
              <w:rPr>
                <w:rFonts w:ascii="宋体" w:eastAsia="宋体" w:hAnsi="宋体" w:cs="宋体" w:hint="eastAsia"/>
                <w:b/>
                <w:color w:val="000000"/>
                <w:sz w:val="22"/>
              </w:rPr>
              <w:t>640.98</w:t>
            </w: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b/>
                <w:color w:val="000000"/>
                <w:sz w:val="22"/>
              </w:rPr>
            </w:pPr>
            <w:r>
              <w:rPr>
                <w:rFonts w:ascii="宋体" w:eastAsia="宋体" w:hAnsi="宋体" w:cs="宋体" w:hint="eastAsia"/>
                <w:b/>
                <w:color w:val="000000"/>
                <w:sz w:val="22"/>
              </w:rPr>
              <w:t>640.98</w:t>
            </w: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b/>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b/>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b/>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b/>
                <w:color w:val="000000"/>
                <w:sz w:val="22"/>
              </w:rPr>
            </w:pP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b/>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b/>
                <w:color w:val="000000"/>
                <w:sz w:val="22"/>
              </w:rPr>
            </w:pPr>
          </w:p>
        </w:tc>
      </w:tr>
      <w:tr w:rsidR="00DA1185">
        <w:trPr>
          <w:gridAfter w:val="1"/>
          <w:wAfter w:w="299" w:type="dxa"/>
          <w:trHeight w:val="385"/>
          <w:jc w:val="center"/>
        </w:trPr>
        <w:tc>
          <w:tcPr>
            <w:tcW w:w="980"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201</w:t>
            </w:r>
          </w:p>
        </w:tc>
        <w:tc>
          <w:tcPr>
            <w:tcW w:w="1272"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一般公共服务支出</w:t>
            </w:r>
          </w:p>
        </w:tc>
        <w:tc>
          <w:tcPr>
            <w:tcW w:w="87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550.68</w:t>
            </w: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550.68</w:t>
            </w: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gridAfter w:val="1"/>
          <w:wAfter w:w="299" w:type="dxa"/>
          <w:trHeight w:val="385"/>
          <w:jc w:val="center"/>
        </w:trPr>
        <w:tc>
          <w:tcPr>
            <w:tcW w:w="980"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20131</w:t>
            </w:r>
          </w:p>
        </w:tc>
        <w:tc>
          <w:tcPr>
            <w:tcW w:w="1272"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党委办公厅（室）及相关机构事务</w:t>
            </w:r>
          </w:p>
        </w:tc>
        <w:tc>
          <w:tcPr>
            <w:tcW w:w="87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512.26</w:t>
            </w: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512.26</w:t>
            </w: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gridAfter w:val="1"/>
          <w:wAfter w:w="299" w:type="dxa"/>
          <w:trHeight w:val="385"/>
          <w:jc w:val="center"/>
        </w:trPr>
        <w:tc>
          <w:tcPr>
            <w:tcW w:w="980"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2013</w:t>
            </w:r>
            <w:r>
              <w:rPr>
                <w:rFonts w:ascii="宋体" w:eastAsia="宋体" w:hAnsi="宋体" w:cs="宋体" w:hint="eastAsia"/>
                <w:color w:val="000000"/>
                <w:szCs w:val="21"/>
              </w:rPr>
              <w:t>1</w:t>
            </w:r>
            <w:r>
              <w:rPr>
                <w:rFonts w:ascii="宋体" w:hAnsi="宋体" w:cs="宋体" w:hint="eastAsia"/>
                <w:color w:val="000000"/>
                <w:szCs w:val="21"/>
              </w:rPr>
              <w:t>01</w:t>
            </w:r>
          </w:p>
        </w:tc>
        <w:tc>
          <w:tcPr>
            <w:tcW w:w="1272"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行政运行</w:t>
            </w:r>
          </w:p>
        </w:tc>
        <w:tc>
          <w:tcPr>
            <w:tcW w:w="87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337.37</w:t>
            </w: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337.37</w:t>
            </w: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gridAfter w:val="1"/>
          <w:wAfter w:w="299" w:type="dxa"/>
          <w:trHeight w:val="385"/>
          <w:jc w:val="center"/>
        </w:trPr>
        <w:tc>
          <w:tcPr>
            <w:tcW w:w="980"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eastAsia="宋体" w:hAnsi="宋体" w:cs="宋体" w:hint="eastAsia"/>
                <w:color w:val="000000"/>
                <w:sz w:val="22"/>
              </w:rPr>
              <w:t>2013102</w:t>
            </w:r>
          </w:p>
        </w:tc>
        <w:tc>
          <w:tcPr>
            <w:tcW w:w="1272"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eastAsia="宋体" w:hAnsi="宋体" w:cs="宋体" w:hint="eastAsia"/>
                <w:color w:val="000000"/>
                <w:sz w:val="22"/>
              </w:rPr>
              <w:t>一般行政管理实务</w:t>
            </w:r>
          </w:p>
        </w:tc>
        <w:tc>
          <w:tcPr>
            <w:tcW w:w="87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24.41</w:t>
            </w: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24.41</w:t>
            </w: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gridAfter w:val="1"/>
          <w:wAfter w:w="299" w:type="dxa"/>
          <w:trHeight w:val="385"/>
          <w:jc w:val="center"/>
        </w:trPr>
        <w:tc>
          <w:tcPr>
            <w:tcW w:w="980"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2013105</w:t>
            </w:r>
          </w:p>
        </w:tc>
        <w:tc>
          <w:tcPr>
            <w:tcW w:w="1272"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专项业务</w:t>
            </w:r>
          </w:p>
        </w:tc>
        <w:tc>
          <w:tcPr>
            <w:tcW w:w="87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117.63</w:t>
            </w: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117.63</w:t>
            </w: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gridAfter w:val="1"/>
          <w:wAfter w:w="299" w:type="dxa"/>
          <w:trHeight w:val="385"/>
          <w:jc w:val="center"/>
        </w:trPr>
        <w:tc>
          <w:tcPr>
            <w:tcW w:w="980"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2013199</w:t>
            </w:r>
          </w:p>
        </w:tc>
        <w:tc>
          <w:tcPr>
            <w:tcW w:w="1272"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其他党委办公厅（室）及相关机构事务支出</w:t>
            </w:r>
          </w:p>
        </w:tc>
        <w:tc>
          <w:tcPr>
            <w:tcW w:w="87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32.85</w:t>
            </w: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32.85</w:t>
            </w: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gridAfter w:val="1"/>
          <w:wAfter w:w="299" w:type="dxa"/>
          <w:trHeight w:val="385"/>
          <w:jc w:val="center"/>
        </w:trPr>
        <w:tc>
          <w:tcPr>
            <w:tcW w:w="980"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lastRenderedPageBreak/>
              <w:t>20136</w:t>
            </w:r>
          </w:p>
        </w:tc>
        <w:tc>
          <w:tcPr>
            <w:tcW w:w="1272"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其他共产党事务支出</w:t>
            </w:r>
          </w:p>
        </w:tc>
        <w:tc>
          <w:tcPr>
            <w:tcW w:w="87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38.43</w:t>
            </w: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38.43</w:t>
            </w: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gridAfter w:val="1"/>
          <w:wAfter w:w="299" w:type="dxa"/>
          <w:trHeight w:val="385"/>
          <w:jc w:val="center"/>
        </w:trPr>
        <w:tc>
          <w:tcPr>
            <w:tcW w:w="980"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2013601</w:t>
            </w:r>
          </w:p>
        </w:tc>
        <w:tc>
          <w:tcPr>
            <w:tcW w:w="1272"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行政运行</w:t>
            </w:r>
          </w:p>
        </w:tc>
        <w:tc>
          <w:tcPr>
            <w:tcW w:w="87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38.43</w:t>
            </w: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38.43</w:t>
            </w: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gridAfter w:val="1"/>
          <w:wAfter w:w="299" w:type="dxa"/>
          <w:trHeight w:val="385"/>
          <w:jc w:val="center"/>
        </w:trPr>
        <w:tc>
          <w:tcPr>
            <w:tcW w:w="980"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208</w:t>
            </w:r>
          </w:p>
        </w:tc>
        <w:tc>
          <w:tcPr>
            <w:tcW w:w="1272"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社会保障和就业支出</w:t>
            </w:r>
          </w:p>
        </w:tc>
        <w:tc>
          <w:tcPr>
            <w:tcW w:w="87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74.44</w:t>
            </w: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74.44</w:t>
            </w: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gridAfter w:val="1"/>
          <w:wAfter w:w="299" w:type="dxa"/>
          <w:trHeight w:val="385"/>
          <w:jc w:val="center"/>
        </w:trPr>
        <w:tc>
          <w:tcPr>
            <w:tcW w:w="980"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20805</w:t>
            </w:r>
          </w:p>
        </w:tc>
        <w:tc>
          <w:tcPr>
            <w:tcW w:w="1272"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行政事业单位离退休</w:t>
            </w:r>
          </w:p>
        </w:tc>
        <w:tc>
          <w:tcPr>
            <w:tcW w:w="87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56.15</w:t>
            </w: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56.15</w:t>
            </w: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gridAfter w:val="1"/>
          <w:wAfter w:w="299" w:type="dxa"/>
          <w:trHeight w:val="385"/>
          <w:jc w:val="center"/>
        </w:trPr>
        <w:tc>
          <w:tcPr>
            <w:tcW w:w="980"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eastAsia="宋体" w:hAnsi="宋体" w:cs="宋体" w:hint="eastAsia"/>
                <w:color w:val="000000"/>
                <w:sz w:val="22"/>
              </w:rPr>
              <w:t>2080501</w:t>
            </w:r>
          </w:p>
        </w:tc>
        <w:tc>
          <w:tcPr>
            <w:tcW w:w="1272"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eastAsia="宋体" w:hAnsi="宋体" w:cs="宋体" w:hint="eastAsia"/>
                <w:color w:val="000000"/>
                <w:sz w:val="22"/>
              </w:rPr>
              <w:t>归口管理的行政单位离退休</w:t>
            </w:r>
          </w:p>
        </w:tc>
        <w:tc>
          <w:tcPr>
            <w:tcW w:w="87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15.13</w:t>
            </w: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15.13</w:t>
            </w: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gridAfter w:val="1"/>
          <w:wAfter w:w="299" w:type="dxa"/>
          <w:trHeight w:val="385"/>
          <w:jc w:val="center"/>
        </w:trPr>
        <w:tc>
          <w:tcPr>
            <w:tcW w:w="980"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2080505</w:t>
            </w:r>
          </w:p>
        </w:tc>
        <w:tc>
          <w:tcPr>
            <w:tcW w:w="1272"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hAnsi="宋体" w:cs="宋体" w:hint="eastAsia"/>
                <w:color w:val="000000"/>
                <w:sz w:val="13"/>
                <w:szCs w:val="13"/>
              </w:rPr>
              <w:t>机关事业单位基本养老保险缴费支出</w:t>
            </w:r>
          </w:p>
        </w:tc>
        <w:tc>
          <w:tcPr>
            <w:tcW w:w="87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40.95</w:t>
            </w: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40.95</w:t>
            </w: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gridAfter w:val="1"/>
          <w:wAfter w:w="299" w:type="dxa"/>
          <w:trHeight w:val="385"/>
          <w:jc w:val="center"/>
        </w:trPr>
        <w:tc>
          <w:tcPr>
            <w:tcW w:w="980"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2080506</w:t>
            </w:r>
          </w:p>
        </w:tc>
        <w:tc>
          <w:tcPr>
            <w:tcW w:w="1272"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机关事业单位职业年金缴费支出</w:t>
            </w:r>
          </w:p>
        </w:tc>
        <w:tc>
          <w:tcPr>
            <w:tcW w:w="87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0.07</w:t>
            </w: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0.07</w:t>
            </w: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gridAfter w:val="1"/>
          <w:wAfter w:w="299" w:type="dxa"/>
          <w:trHeight w:val="385"/>
          <w:jc w:val="center"/>
        </w:trPr>
        <w:tc>
          <w:tcPr>
            <w:tcW w:w="980"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20808</w:t>
            </w:r>
          </w:p>
        </w:tc>
        <w:tc>
          <w:tcPr>
            <w:tcW w:w="1272"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抚恤</w:t>
            </w:r>
          </w:p>
        </w:tc>
        <w:tc>
          <w:tcPr>
            <w:tcW w:w="87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18.86</w:t>
            </w: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18.86</w:t>
            </w: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gridAfter w:val="1"/>
          <w:wAfter w:w="299" w:type="dxa"/>
          <w:trHeight w:val="385"/>
          <w:jc w:val="center"/>
        </w:trPr>
        <w:tc>
          <w:tcPr>
            <w:tcW w:w="980"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2080801</w:t>
            </w:r>
          </w:p>
        </w:tc>
        <w:tc>
          <w:tcPr>
            <w:tcW w:w="1272"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死亡抚恤</w:t>
            </w:r>
          </w:p>
        </w:tc>
        <w:tc>
          <w:tcPr>
            <w:tcW w:w="87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16.86</w:t>
            </w: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16.86</w:t>
            </w: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gridAfter w:val="1"/>
          <w:wAfter w:w="299" w:type="dxa"/>
          <w:trHeight w:val="385"/>
          <w:jc w:val="center"/>
        </w:trPr>
        <w:tc>
          <w:tcPr>
            <w:tcW w:w="980"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20827</w:t>
            </w:r>
          </w:p>
        </w:tc>
        <w:tc>
          <w:tcPr>
            <w:tcW w:w="1272"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财政对其他社会保险基金的</w:t>
            </w:r>
          </w:p>
        </w:tc>
        <w:tc>
          <w:tcPr>
            <w:tcW w:w="87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1.43</w:t>
            </w: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1.43</w:t>
            </w: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gridAfter w:val="1"/>
          <w:wAfter w:w="299" w:type="dxa"/>
          <w:trHeight w:val="385"/>
          <w:jc w:val="center"/>
        </w:trPr>
        <w:tc>
          <w:tcPr>
            <w:tcW w:w="980"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2082702</w:t>
            </w:r>
          </w:p>
        </w:tc>
        <w:tc>
          <w:tcPr>
            <w:tcW w:w="1272"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财政对工伤保险基金的补助</w:t>
            </w:r>
          </w:p>
        </w:tc>
        <w:tc>
          <w:tcPr>
            <w:tcW w:w="87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1.10</w:t>
            </w: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1.10</w:t>
            </w: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gridAfter w:val="1"/>
          <w:wAfter w:w="299" w:type="dxa"/>
          <w:trHeight w:val="385"/>
          <w:jc w:val="center"/>
        </w:trPr>
        <w:tc>
          <w:tcPr>
            <w:tcW w:w="980"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2082703</w:t>
            </w:r>
          </w:p>
        </w:tc>
        <w:tc>
          <w:tcPr>
            <w:tcW w:w="1272"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财政对生育保险基金的补助</w:t>
            </w:r>
          </w:p>
        </w:tc>
        <w:tc>
          <w:tcPr>
            <w:tcW w:w="87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0.33</w:t>
            </w: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0.33</w:t>
            </w: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gridAfter w:val="1"/>
          <w:wAfter w:w="299" w:type="dxa"/>
          <w:trHeight w:val="385"/>
          <w:jc w:val="center"/>
        </w:trPr>
        <w:tc>
          <w:tcPr>
            <w:tcW w:w="980"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210</w:t>
            </w:r>
          </w:p>
        </w:tc>
        <w:tc>
          <w:tcPr>
            <w:tcW w:w="1272"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卫生健康支出</w:t>
            </w:r>
          </w:p>
        </w:tc>
        <w:tc>
          <w:tcPr>
            <w:tcW w:w="87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15.85</w:t>
            </w: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15.85</w:t>
            </w: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gridAfter w:val="1"/>
          <w:wAfter w:w="299" w:type="dxa"/>
          <w:trHeight w:val="385"/>
          <w:jc w:val="center"/>
        </w:trPr>
        <w:tc>
          <w:tcPr>
            <w:tcW w:w="980"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21011</w:t>
            </w:r>
          </w:p>
        </w:tc>
        <w:tc>
          <w:tcPr>
            <w:tcW w:w="1272"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行政事业单位医疗</w:t>
            </w:r>
          </w:p>
        </w:tc>
        <w:tc>
          <w:tcPr>
            <w:tcW w:w="87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15.85</w:t>
            </w: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15.85</w:t>
            </w: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gridAfter w:val="1"/>
          <w:wAfter w:w="299" w:type="dxa"/>
          <w:trHeight w:val="385"/>
          <w:jc w:val="center"/>
        </w:trPr>
        <w:tc>
          <w:tcPr>
            <w:tcW w:w="980"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2101101</w:t>
            </w:r>
          </w:p>
        </w:tc>
        <w:tc>
          <w:tcPr>
            <w:tcW w:w="1272"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行政单位医疗</w:t>
            </w:r>
          </w:p>
        </w:tc>
        <w:tc>
          <w:tcPr>
            <w:tcW w:w="87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15.85</w:t>
            </w: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15.85</w:t>
            </w: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87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gridAfter w:val="1"/>
          <w:wAfter w:w="299" w:type="dxa"/>
          <w:trHeight w:val="385"/>
          <w:jc w:val="center"/>
        </w:trPr>
        <w:tc>
          <w:tcPr>
            <w:tcW w:w="8372" w:type="dxa"/>
            <w:gridSpan w:val="18"/>
            <w:tcBorders>
              <w:top w:val="nil"/>
              <w:left w:val="nil"/>
              <w:bottom w:val="nil"/>
              <w:right w:val="nil"/>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注：本表反映部门本年度取得的各项收入情况。</w:t>
            </w:r>
          </w:p>
        </w:tc>
        <w:tc>
          <w:tcPr>
            <w:tcW w:w="874" w:type="dxa"/>
            <w:gridSpan w:val="2"/>
            <w:tcBorders>
              <w:top w:val="nil"/>
              <w:left w:val="nil"/>
              <w:bottom w:val="nil"/>
              <w:right w:val="nil"/>
            </w:tcBorders>
            <w:shd w:val="clear" w:color="auto" w:fill="auto"/>
            <w:tcMar>
              <w:top w:w="15" w:type="dxa"/>
              <w:left w:w="15" w:type="dxa"/>
              <w:right w:w="15" w:type="dxa"/>
            </w:tcMar>
            <w:vAlign w:val="center"/>
          </w:tcPr>
          <w:p w:rsidR="00DA1185" w:rsidRDefault="00DA1185">
            <w:pPr>
              <w:widowControl/>
              <w:jc w:val="left"/>
              <w:textAlignment w:val="center"/>
              <w:rPr>
                <w:rFonts w:ascii="宋体" w:eastAsia="宋体" w:hAnsi="宋体" w:cs="宋体"/>
                <w:color w:val="000000"/>
                <w:kern w:val="0"/>
                <w:sz w:val="22"/>
              </w:rPr>
            </w:pPr>
          </w:p>
        </w:tc>
      </w:tr>
    </w:tbl>
    <w:p w:rsidR="00DA1185" w:rsidRDefault="00DA1185"/>
    <w:tbl>
      <w:tblPr>
        <w:tblW w:w="9680" w:type="dxa"/>
        <w:jc w:val="center"/>
        <w:tblLayout w:type="fixed"/>
        <w:tblCellMar>
          <w:left w:w="0" w:type="dxa"/>
          <w:right w:w="0" w:type="dxa"/>
        </w:tblCellMar>
        <w:tblLook w:val="04A0" w:firstRow="1" w:lastRow="0" w:firstColumn="1" w:lastColumn="0" w:noHBand="0" w:noVBand="1"/>
      </w:tblPr>
      <w:tblGrid>
        <w:gridCol w:w="941"/>
        <w:gridCol w:w="53"/>
        <w:gridCol w:w="111"/>
        <w:gridCol w:w="1359"/>
        <w:gridCol w:w="1161"/>
        <w:gridCol w:w="1161"/>
        <w:gridCol w:w="1161"/>
        <w:gridCol w:w="1161"/>
        <w:gridCol w:w="1161"/>
        <w:gridCol w:w="1411"/>
      </w:tblGrid>
      <w:tr w:rsidR="00DA1185">
        <w:trPr>
          <w:trHeight w:val="612"/>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rsidR="00DA1185" w:rsidRDefault="006D574A">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支出决算表</w:t>
            </w:r>
          </w:p>
        </w:tc>
      </w:tr>
      <w:tr w:rsidR="00DA1185">
        <w:trPr>
          <w:trHeight w:val="313"/>
          <w:jc w:val="center"/>
        </w:trPr>
        <w:tc>
          <w:tcPr>
            <w:tcW w:w="941"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53"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111"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1359"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1411" w:type="dxa"/>
            <w:tcBorders>
              <w:top w:val="nil"/>
              <w:left w:val="nil"/>
              <w:bottom w:val="nil"/>
              <w:right w:val="nil"/>
            </w:tcBorders>
            <w:shd w:val="clear" w:color="auto" w:fill="auto"/>
            <w:tcMar>
              <w:top w:w="15" w:type="dxa"/>
              <w:left w:w="15" w:type="dxa"/>
              <w:right w:w="15" w:type="dxa"/>
            </w:tcMar>
            <w:vAlign w:val="bottom"/>
          </w:tcPr>
          <w:p w:rsidR="00DA1185" w:rsidRDefault="006D574A">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公开03表</w:t>
            </w:r>
          </w:p>
        </w:tc>
      </w:tr>
      <w:tr w:rsidR="00DA1185">
        <w:trPr>
          <w:trHeight w:val="313"/>
          <w:jc w:val="center"/>
        </w:trPr>
        <w:tc>
          <w:tcPr>
            <w:tcW w:w="941" w:type="dxa"/>
            <w:tcBorders>
              <w:top w:val="nil"/>
              <w:left w:val="nil"/>
              <w:bottom w:val="nil"/>
              <w:right w:val="nil"/>
            </w:tcBorders>
            <w:shd w:val="clear" w:color="auto" w:fill="auto"/>
            <w:tcMar>
              <w:top w:w="15" w:type="dxa"/>
              <w:left w:w="15" w:type="dxa"/>
              <w:right w:w="15" w:type="dxa"/>
            </w:tcMar>
            <w:vAlign w:val="bottom"/>
          </w:tcPr>
          <w:p w:rsidR="00DA1185" w:rsidRDefault="006D574A">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53"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111"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1359"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2572" w:type="dxa"/>
            <w:gridSpan w:val="2"/>
            <w:tcBorders>
              <w:top w:val="nil"/>
              <w:left w:val="nil"/>
              <w:bottom w:val="nil"/>
              <w:right w:val="nil"/>
            </w:tcBorders>
            <w:shd w:val="clear" w:color="auto" w:fill="auto"/>
            <w:tcMar>
              <w:top w:w="15" w:type="dxa"/>
              <w:left w:w="15" w:type="dxa"/>
              <w:right w:w="15" w:type="dxa"/>
            </w:tcMar>
            <w:vAlign w:val="bottom"/>
          </w:tcPr>
          <w:p w:rsidR="00DA1185" w:rsidRDefault="006D574A">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DA1185">
        <w:trPr>
          <w:trHeight w:val="323"/>
          <w:jc w:val="center"/>
        </w:trPr>
        <w:tc>
          <w:tcPr>
            <w:tcW w:w="2464"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本年支出合计</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上缴上级支出</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经营支出</w:t>
            </w:r>
          </w:p>
        </w:tc>
        <w:tc>
          <w:tcPr>
            <w:tcW w:w="141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对附属单位补助支出</w:t>
            </w:r>
          </w:p>
        </w:tc>
      </w:tr>
      <w:tr w:rsidR="00DA1185">
        <w:trPr>
          <w:trHeight w:val="319"/>
          <w:jc w:val="center"/>
        </w:trPr>
        <w:tc>
          <w:tcPr>
            <w:tcW w:w="1105"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135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141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r>
      <w:tr w:rsidR="00DA1185">
        <w:trPr>
          <w:trHeight w:val="319"/>
          <w:jc w:val="center"/>
        </w:trPr>
        <w:tc>
          <w:tcPr>
            <w:tcW w:w="1105"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135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141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r>
      <w:tr w:rsidR="00DA1185">
        <w:trPr>
          <w:trHeight w:val="319"/>
          <w:jc w:val="center"/>
        </w:trPr>
        <w:tc>
          <w:tcPr>
            <w:tcW w:w="1105"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135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141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r>
      <w:tr w:rsidR="00DA1185">
        <w:trPr>
          <w:trHeight w:val="323"/>
          <w:jc w:val="center"/>
        </w:trPr>
        <w:tc>
          <w:tcPr>
            <w:tcW w:w="2464"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r>
      <w:tr w:rsidR="00DA1185">
        <w:trPr>
          <w:trHeight w:val="323"/>
          <w:jc w:val="center"/>
        </w:trPr>
        <w:tc>
          <w:tcPr>
            <w:tcW w:w="2464"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b/>
                <w:color w:val="000000"/>
                <w:sz w:val="22"/>
              </w:rPr>
            </w:pPr>
            <w:r>
              <w:rPr>
                <w:rFonts w:ascii="宋体" w:eastAsia="宋体" w:hAnsi="宋体" w:cs="宋体" w:hint="eastAsia"/>
                <w:b/>
                <w:color w:val="000000"/>
                <w:sz w:val="22"/>
              </w:rPr>
              <w:t>640.98</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b/>
                <w:color w:val="000000" w:themeColor="text1"/>
                <w:sz w:val="22"/>
              </w:rPr>
            </w:pPr>
            <w:r>
              <w:rPr>
                <w:rFonts w:ascii="宋体" w:eastAsia="宋体" w:hAnsi="宋体" w:cs="宋体" w:hint="eastAsia"/>
                <w:b/>
                <w:color w:val="000000" w:themeColor="text1"/>
                <w:sz w:val="22"/>
              </w:rPr>
              <w:t>505.65</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b/>
                <w:color w:val="000000" w:themeColor="text1"/>
                <w:sz w:val="22"/>
              </w:rPr>
            </w:pPr>
            <w:r>
              <w:rPr>
                <w:rFonts w:ascii="宋体" w:eastAsia="宋体" w:hAnsi="宋体" w:cs="宋体" w:hint="eastAsia"/>
                <w:b/>
                <w:color w:val="000000" w:themeColor="text1"/>
                <w:sz w:val="22"/>
              </w:rPr>
              <w:t>135.33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b/>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b/>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b/>
                <w:color w:val="000000"/>
                <w:sz w:val="22"/>
              </w:rPr>
            </w:pPr>
          </w:p>
        </w:tc>
      </w:tr>
      <w:tr w:rsidR="00DA1185">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201</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一般公共服务支出</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550.68</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505.65</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135.33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20131</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党委办公厅（室）及相关机构事务</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512.26</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415.35</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135.33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2013</w:t>
            </w:r>
            <w:r>
              <w:rPr>
                <w:rFonts w:ascii="宋体" w:eastAsia="宋体" w:hAnsi="宋体" w:cs="宋体" w:hint="eastAsia"/>
                <w:color w:val="000000"/>
                <w:szCs w:val="21"/>
              </w:rPr>
              <w:t>1</w:t>
            </w:r>
            <w:r>
              <w:rPr>
                <w:rFonts w:ascii="宋体" w:hAnsi="宋体" w:cs="宋体" w:hint="eastAsia"/>
                <w:color w:val="000000"/>
                <w:szCs w:val="21"/>
              </w:rPr>
              <w:t>01</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行政运行</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337.37</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376.93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eastAsia="宋体" w:hAnsi="宋体" w:cs="宋体" w:hint="eastAsia"/>
                <w:color w:val="000000"/>
                <w:sz w:val="22"/>
              </w:rPr>
              <w:t>2013102</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eastAsia="宋体" w:hAnsi="宋体" w:cs="宋体" w:hint="eastAsia"/>
                <w:color w:val="000000"/>
                <w:sz w:val="22"/>
              </w:rPr>
              <w:t>一般行政管理实务</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24.41</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337.37</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2013105</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专项业务</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117.63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24.41</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117.63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2013199</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其他党委办公厅（室）及相关机构事务支出</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32.85</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17.70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20136</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其他共产党事务支出</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38.43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15.15</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2013601</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行政运行</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38.43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38.43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208</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社会保障和就</w:t>
            </w:r>
            <w:r>
              <w:rPr>
                <w:rFonts w:ascii="宋体" w:hAnsi="宋体" w:cs="宋体" w:hint="eastAsia"/>
                <w:color w:val="000000"/>
                <w:szCs w:val="21"/>
              </w:rPr>
              <w:lastRenderedPageBreak/>
              <w:t>业支出</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lastRenderedPageBreak/>
              <w:t>74.44</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74.44</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lastRenderedPageBreak/>
              <w:t>20805</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行政事业单位离退休</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56.15</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56.15</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eastAsia="宋体" w:hAnsi="宋体" w:cs="宋体" w:hint="eastAsia"/>
                <w:color w:val="000000"/>
                <w:sz w:val="22"/>
              </w:rPr>
              <w:t>2080501</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eastAsia="宋体" w:hAnsi="宋体" w:cs="宋体" w:hint="eastAsia"/>
                <w:color w:val="000000"/>
                <w:sz w:val="22"/>
              </w:rPr>
              <w:t>归口管理的行政单位离退休</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15.13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15.13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2080505</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hAnsi="宋体" w:cs="宋体" w:hint="eastAsia"/>
                <w:color w:val="000000"/>
                <w:sz w:val="13"/>
                <w:szCs w:val="13"/>
              </w:rPr>
              <w:t>机关事业单位基本养老保险缴费支出</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40.95</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40.95</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2080506</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机关事业单位职业年金缴费支出</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0.07</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0.07</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20808</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抚恤</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16.86</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16.86</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2080801</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死亡抚恤</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16.86</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16.86</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20827</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财政对其他社会保险基金的</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1.43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1.43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2082702</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财政对工伤保险基金的补助</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1.10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1.10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2082703</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财政对生育保险基金的补助</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0.33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0.33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210</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卫生健康支出</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15.85</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15.85</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21011</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行政事业单位医疗</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15.85</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15.85</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2101101</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行政单位医疗</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15.85</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15.85</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323"/>
          <w:jc w:val="center"/>
        </w:trPr>
        <w:tc>
          <w:tcPr>
            <w:tcW w:w="1105" w:type="dxa"/>
            <w:gridSpan w:val="3"/>
            <w:tcBorders>
              <w:top w:val="nil"/>
              <w:left w:val="nil"/>
              <w:bottom w:val="nil"/>
              <w:right w:val="nil"/>
            </w:tcBorders>
            <w:shd w:val="clear" w:color="auto" w:fill="auto"/>
            <w:tcMar>
              <w:top w:w="15" w:type="dxa"/>
              <w:left w:w="15" w:type="dxa"/>
              <w:right w:w="15" w:type="dxa"/>
            </w:tcMar>
            <w:vAlign w:val="center"/>
          </w:tcPr>
          <w:p w:rsidR="00DA1185" w:rsidRDefault="00DA1185">
            <w:pPr>
              <w:jc w:val="left"/>
              <w:rPr>
                <w:rFonts w:ascii="宋体" w:eastAsia="宋体" w:hAnsi="宋体" w:cs="宋体"/>
                <w:color w:val="000000"/>
                <w:sz w:val="22"/>
              </w:rPr>
            </w:pPr>
          </w:p>
        </w:tc>
        <w:tc>
          <w:tcPr>
            <w:tcW w:w="1359" w:type="dxa"/>
            <w:tcBorders>
              <w:top w:val="nil"/>
              <w:left w:val="nil"/>
              <w:bottom w:val="nil"/>
              <w:right w:val="nil"/>
            </w:tcBorders>
            <w:shd w:val="clear" w:color="auto" w:fill="auto"/>
            <w:tcMar>
              <w:top w:w="15" w:type="dxa"/>
              <w:left w:w="15" w:type="dxa"/>
              <w:right w:w="15" w:type="dxa"/>
            </w:tcMar>
            <w:vAlign w:val="center"/>
          </w:tcPr>
          <w:p w:rsidR="00DA1185" w:rsidRDefault="00DA1185">
            <w:pPr>
              <w:jc w:val="left"/>
            </w:pPr>
          </w:p>
        </w:tc>
        <w:tc>
          <w:tcPr>
            <w:tcW w:w="7216" w:type="dxa"/>
            <w:gridSpan w:val="6"/>
            <w:tcBorders>
              <w:top w:val="nil"/>
              <w:left w:val="nil"/>
              <w:bottom w:val="nil"/>
              <w:right w:val="nil"/>
            </w:tcBorders>
            <w:shd w:val="clear" w:color="auto" w:fill="auto"/>
            <w:tcMar>
              <w:top w:w="15" w:type="dxa"/>
              <w:left w:w="15" w:type="dxa"/>
              <w:right w:w="15" w:type="dxa"/>
            </w:tcMar>
            <w:vAlign w:val="center"/>
          </w:tcPr>
          <w:p w:rsidR="00DA1185" w:rsidRDefault="00DA1185">
            <w:pPr>
              <w:widowControl/>
              <w:jc w:val="left"/>
              <w:textAlignment w:val="center"/>
            </w:pPr>
          </w:p>
        </w:tc>
      </w:tr>
    </w:tbl>
    <w:p w:rsidR="00DA1185" w:rsidRDefault="006D574A">
      <w:r>
        <w:br w:type="page"/>
      </w:r>
    </w:p>
    <w:tbl>
      <w:tblPr>
        <w:tblW w:w="9520" w:type="dxa"/>
        <w:jc w:val="center"/>
        <w:tblLayout w:type="fixed"/>
        <w:tblCellMar>
          <w:left w:w="0" w:type="dxa"/>
          <w:right w:w="0" w:type="dxa"/>
        </w:tblCellMar>
        <w:tblLook w:val="04A0" w:firstRow="1" w:lastRow="0" w:firstColumn="1" w:lastColumn="0" w:noHBand="0" w:noVBand="1"/>
      </w:tblPr>
      <w:tblGrid>
        <w:gridCol w:w="2922"/>
        <w:gridCol w:w="425"/>
        <w:gridCol w:w="871"/>
        <w:gridCol w:w="2605"/>
        <w:gridCol w:w="132"/>
        <w:gridCol w:w="342"/>
        <w:gridCol w:w="165"/>
        <w:gridCol w:w="802"/>
        <w:gridCol w:w="770"/>
        <w:gridCol w:w="486"/>
      </w:tblGrid>
      <w:tr w:rsidR="00DA1185">
        <w:trPr>
          <w:trHeight w:val="406"/>
          <w:jc w:val="center"/>
        </w:trPr>
        <w:tc>
          <w:tcPr>
            <w:tcW w:w="9520" w:type="dxa"/>
            <w:gridSpan w:val="10"/>
            <w:tcBorders>
              <w:top w:val="nil"/>
              <w:left w:val="nil"/>
              <w:bottom w:val="nil"/>
              <w:right w:val="nil"/>
            </w:tcBorders>
            <w:shd w:val="clear" w:color="auto" w:fill="auto"/>
            <w:tcMar>
              <w:top w:w="15" w:type="dxa"/>
              <w:left w:w="15" w:type="dxa"/>
              <w:right w:w="15" w:type="dxa"/>
            </w:tcMar>
            <w:vAlign w:val="bottom"/>
          </w:tcPr>
          <w:p w:rsidR="00DA1185" w:rsidRDefault="006D574A">
            <w:pPr>
              <w:jc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财政拨款收入支出决算总表</w:t>
            </w:r>
          </w:p>
        </w:tc>
      </w:tr>
      <w:tr w:rsidR="00DA1185">
        <w:trPr>
          <w:trHeight w:val="90"/>
          <w:jc w:val="center"/>
        </w:trPr>
        <w:tc>
          <w:tcPr>
            <w:tcW w:w="2922"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425"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871"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2605"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474" w:type="dxa"/>
            <w:gridSpan w:val="2"/>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2223" w:type="dxa"/>
            <w:gridSpan w:val="4"/>
            <w:tcBorders>
              <w:top w:val="nil"/>
              <w:left w:val="nil"/>
              <w:bottom w:val="nil"/>
              <w:right w:val="nil"/>
            </w:tcBorders>
            <w:shd w:val="clear" w:color="auto" w:fill="auto"/>
            <w:tcMar>
              <w:top w:w="15" w:type="dxa"/>
              <w:left w:w="15" w:type="dxa"/>
              <w:right w:w="15" w:type="dxa"/>
            </w:tcMar>
            <w:vAlign w:val="bottom"/>
          </w:tcPr>
          <w:p w:rsidR="00DA1185" w:rsidRDefault="006D574A">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公开04表</w:t>
            </w:r>
          </w:p>
        </w:tc>
      </w:tr>
      <w:tr w:rsidR="00DA1185">
        <w:trPr>
          <w:trHeight w:val="90"/>
          <w:jc w:val="center"/>
        </w:trPr>
        <w:tc>
          <w:tcPr>
            <w:tcW w:w="2922" w:type="dxa"/>
            <w:tcBorders>
              <w:top w:val="nil"/>
              <w:left w:val="nil"/>
              <w:bottom w:val="nil"/>
              <w:right w:val="nil"/>
            </w:tcBorders>
            <w:shd w:val="clear" w:color="auto" w:fill="auto"/>
            <w:tcMar>
              <w:top w:w="15" w:type="dxa"/>
              <w:left w:w="15" w:type="dxa"/>
              <w:right w:w="15" w:type="dxa"/>
            </w:tcMar>
            <w:vAlign w:val="bottom"/>
          </w:tcPr>
          <w:p w:rsidR="00DA1185" w:rsidRDefault="006D574A">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425"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871"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2605"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474" w:type="dxa"/>
            <w:gridSpan w:val="2"/>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2223" w:type="dxa"/>
            <w:gridSpan w:val="4"/>
            <w:tcBorders>
              <w:top w:val="nil"/>
              <w:left w:val="nil"/>
              <w:bottom w:val="nil"/>
              <w:right w:val="nil"/>
            </w:tcBorders>
            <w:shd w:val="clear" w:color="auto" w:fill="auto"/>
            <w:tcMar>
              <w:top w:w="15" w:type="dxa"/>
              <w:left w:w="15" w:type="dxa"/>
              <w:right w:w="15" w:type="dxa"/>
            </w:tcMar>
            <w:vAlign w:val="bottom"/>
          </w:tcPr>
          <w:p w:rsidR="00DA1185" w:rsidRDefault="006D574A">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DA1185">
        <w:trPr>
          <w:trHeight w:val="90"/>
          <w:jc w:val="center"/>
        </w:trPr>
        <w:tc>
          <w:tcPr>
            <w:tcW w:w="4218"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收     入</w:t>
            </w:r>
          </w:p>
        </w:tc>
        <w:tc>
          <w:tcPr>
            <w:tcW w:w="5302" w:type="dxa"/>
            <w:gridSpan w:val="7"/>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支     出</w:t>
            </w:r>
          </w:p>
        </w:tc>
      </w:tr>
      <w:tr w:rsidR="00DA1185">
        <w:trPr>
          <w:trHeight w:val="312"/>
          <w:jc w:val="center"/>
        </w:trPr>
        <w:tc>
          <w:tcPr>
            <w:tcW w:w="2922"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42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871"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c>
          <w:tcPr>
            <w:tcW w:w="2737" w:type="dxa"/>
            <w:gridSpan w:val="2"/>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507" w:type="dxa"/>
            <w:gridSpan w:val="2"/>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80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77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一般公共预算财政拨款</w:t>
            </w:r>
          </w:p>
        </w:tc>
        <w:tc>
          <w:tcPr>
            <w:tcW w:w="486"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政府性基金预算财政拨款</w:t>
            </w:r>
          </w:p>
        </w:tc>
      </w:tr>
      <w:tr w:rsidR="00DA1185">
        <w:trPr>
          <w:trHeight w:val="312"/>
          <w:jc w:val="center"/>
        </w:trPr>
        <w:tc>
          <w:tcPr>
            <w:tcW w:w="2922"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42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87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2737"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507"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80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77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48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r>
      <w:tr w:rsidR="00DA1185">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8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273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Cs w:val="21"/>
              </w:rPr>
            </w:pPr>
            <w:r>
              <w:rPr>
                <w:rFonts w:ascii="宋体" w:eastAsia="宋体" w:hAnsi="宋体" w:cs="宋体" w:hint="eastAsia"/>
                <w:color w:val="000000"/>
                <w:kern w:val="0"/>
                <w:szCs w:val="21"/>
              </w:rPr>
              <w:t>栏次</w:t>
            </w:r>
          </w:p>
        </w:tc>
        <w:tc>
          <w:tcPr>
            <w:tcW w:w="50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7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4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r>
      <w:tr w:rsidR="00DA1185">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一、一般公共预算财政拨款</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8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640.98</w:t>
            </w:r>
          </w:p>
        </w:tc>
        <w:tc>
          <w:tcPr>
            <w:tcW w:w="273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一、一般公共服务支出</w:t>
            </w:r>
          </w:p>
        </w:tc>
        <w:tc>
          <w:tcPr>
            <w:tcW w:w="50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30</w:t>
            </w: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550.68</w:t>
            </w:r>
          </w:p>
        </w:tc>
        <w:tc>
          <w:tcPr>
            <w:tcW w:w="7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550.68</w:t>
            </w:r>
          </w:p>
        </w:tc>
        <w:tc>
          <w:tcPr>
            <w:tcW w:w="4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二、政府性基金预算财政拨款</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8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273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二、外交支出</w:t>
            </w:r>
          </w:p>
        </w:tc>
        <w:tc>
          <w:tcPr>
            <w:tcW w:w="50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31</w:t>
            </w: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7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4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8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273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三、国防支出</w:t>
            </w:r>
          </w:p>
        </w:tc>
        <w:tc>
          <w:tcPr>
            <w:tcW w:w="50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32</w:t>
            </w: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7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4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8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273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四、公共安全支出</w:t>
            </w:r>
          </w:p>
        </w:tc>
        <w:tc>
          <w:tcPr>
            <w:tcW w:w="50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33</w:t>
            </w: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7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4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8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273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五、教育支出</w:t>
            </w:r>
          </w:p>
        </w:tc>
        <w:tc>
          <w:tcPr>
            <w:tcW w:w="50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34</w:t>
            </w: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7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4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c>
          <w:tcPr>
            <w:tcW w:w="8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273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六、科学技术支出</w:t>
            </w:r>
          </w:p>
        </w:tc>
        <w:tc>
          <w:tcPr>
            <w:tcW w:w="50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35</w:t>
            </w: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7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4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c>
          <w:tcPr>
            <w:tcW w:w="8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273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七、文化旅游体育与传媒支出</w:t>
            </w:r>
          </w:p>
        </w:tc>
        <w:tc>
          <w:tcPr>
            <w:tcW w:w="50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36</w:t>
            </w: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7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4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8</w:t>
            </w:r>
          </w:p>
        </w:tc>
        <w:tc>
          <w:tcPr>
            <w:tcW w:w="8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273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八、社会保障和就业支出</w:t>
            </w:r>
          </w:p>
        </w:tc>
        <w:tc>
          <w:tcPr>
            <w:tcW w:w="50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37</w:t>
            </w: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74.44</w:t>
            </w:r>
          </w:p>
        </w:tc>
        <w:tc>
          <w:tcPr>
            <w:tcW w:w="7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74.44</w:t>
            </w:r>
          </w:p>
        </w:tc>
        <w:tc>
          <w:tcPr>
            <w:tcW w:w="4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9</w:t>
            </w:r>
          </w:p>
        </w:tc>
        <w:tc>
          <w:tcPr>
            <w:tcW w:w="8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273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九、卫生健康支出</w:t>
            </w:r>
          </w:p>
        </w:tc>
        <w:tc>
          <w:tcPr>
            <w:tcW w:w="50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38</w:t>
            </w: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15.85</w:t>
            </w:r>
          </w:p>
        </w:tc>
        <w:tc>
          <w:tcPr>
            <w:tcW w:w="7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15.85</w:t>
            </w:r>
          </w:p>
        </w:tc>
        <w:tc>
          <w:tcPr>
            <w:tcW w:w="4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10</w:t>
            </w:r>
          </w:p>
        </w:tc>
        <w:tc>
          <w:tcPr>
            <w:tcW w:w="8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273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十、节能环保支出</w:t>
            </w:r>
          </w:p>
        </w:tc>
        <w:tc>
          <w:tcPr>
            <w:tcW w:w="50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39</w:t>
            </w: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7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4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11</w:t>
            </w:r>
          </w:p>
        </w:tc>
        <w:tc>
          <w:tcPr>
            <w:tcW w:w="8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273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十一、城乡社区支出</w:t>
            </w:r>
          </w:p>
        </w:tc>
        <w:tc>
          <w:tcPr>
            <w:tcW w:w="50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40</w:t>
            </w: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7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4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12</w:t>
            </w:r>
          </w:p>
        </w:tc>
        <w:tc>
          <w:tcPr>
            <w:tcW w:w="8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273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十二、农林水支出</w:t>
            </w:r>
          </w:p>
        </w:tc>
        <w:tc>
          <w:tcPr>
            <w:tcW w:w="50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41</w:t>
            </w: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7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4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13</w:t>
            </w:r>
          </w:p>
        </w:tc>
        <w:tc>
          <w:tcPr>
            <w:tcW w:w="8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273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十三、交通运输支出</w:t>
            </w:r>
          </w:p>
        </w:tc>
        <w:tc>
          <w:tcPr>
            <w:tcW w:w="50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42</w:t>
            </w: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7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4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14</w:t>
            </w:r>
          </w:p>
        </w:tc>
        <w:tc>
          <w:tcPr>
            <w:tcW w:w="8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273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十四、资源勘探信息等支出</w:t>
            </w:r>
          </w:p>
        </w:tc>
        <w:tc>
          <w:tcPr>
            <w:tcW w:w="50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43</w:t>
            </w: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7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4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15</w:t>
            </w:r>
          </w:p>
        </w:tc>
        <w:tc>
          <w:tcPr>
            <w:tcW w:w="8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273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十五、商业服务业等支出</w:t>
            </w:r>
          </w:p>
        </w:tc>
        <w:tc>
          <w:tcPr>
            <w:tcW w:w="50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44</w:t>
            </w: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7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4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16</w:t>
            </w:r>
          </w:p>
        </w:tc>
        <w:tc>
          <w:tcPr>
            <w:tcW w:w="8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273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十六、金融支出</w:t>
            </w:r>
          </w:p>
        </w:tc>
        <w:tc>
          <w:tcPr>
            <w:tcW w:w="50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45</w:t>
            </w: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7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4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17</w:t>
            </w:r>
          </w:p>
        </w:tc>
        <w:tc>
          <w:tcPr>
            <w:tcW w:w="8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273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十七、援助其他地区支出</w:t>
            </w:r>
          </w:p>
        </w:tc>
        <w:tc>
          <w:tcPr>
            <w:tcW w:w="50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46</w:t>
            </w: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7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4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18</w:t>
            </w:r>
          </w:p>
        </w:tc>
        <w:tc>
          <w:tcPr>
            <w:tcW w:w="8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Cs w:val="21"/>
              </w:rPr>
            </w:pPr>
          </w:p>
        </w:tc>
        <w:tc>
          <w:tcPr>
            <w:tcW w:w="273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Cs w:val="21"/>
              </w:rPr>
              <w:t>十八、自然资源海洋气象等支出</w:t>
            </w:r>
          </w:p>
        </w:tc>
        <w:tc>
          <w:tcPr>
            <w:tcW w:w="50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47</w:t>
            </w: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7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4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19</w:t>
            </w:r>
          </w:p>
        </w:tc>
        <w:tc>
          <w:tcPr>
            <w:tcW w:w="8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273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十九、住房保障支出</w:t>
            </w:r>
          </w:p>
        </w:tc>
        <w:tc>
          <w:tcPr>
            <w:tcW w:w="50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48</w:t>
            </w: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7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4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w:t>
            </w:r>
          </w:p>
        </w:tc>
        <w:tc>
          <w:tcPr>
            <w:tcW w:w="8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273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二十、粮油物资储备支出</w:t>
            </w:r>
          </w:p>
        </w:tc>
        <w:tc>
          <w:tcPr>
            <w:tcW w:w="50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49</w:t>
            </w: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7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4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21</w:t>
            </w:r>
          </w:p>
        </w:tc>
        <w:tc>
          <w:tcPr>
            <w:tcW w:w="8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273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 w:val="20"/>
                <w:szCs w:val="20"/>
              </w:rPr>
              <w:t>二十一、灾害防治及应急管理支出</w:t>
            </w:r>
          </w:p>
        </w:tc>
        <w:tc>
          <w:tcPr>
            <w:tcW w:w="50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50</w:t>
            </w: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7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4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22</w:t>
            </w:r>
          </w:p>
        </w:tc>
        <w:tc>
          <w:tcPr>
            <w:tcW w:w="8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273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二十二、其他支出</w:t>
            </w:r>
          </w:p>
        </w:tc>
        <w:tc>
          <w:tcPr>
            <w:tcW w:w="50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51</w:t>
            </w: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7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4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23</w:t>
            </w:r>
          </w:p>
        </w:tc>
        <w:tc>
          <w:tcPr>
            <w:tcW w:w="8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273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二十四、债务付息支出</w:t>
            </w:r>
          </w:p>
        </w:tc>
        <w:tc>
          <w:tcPr>
            <w:tcW w:w="50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52</w:t>
            </w: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7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4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本年收入合计</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24</w:t>
            </w:r>
          </w:p>
        </w:tc>
        <w:tc>
          <w:tcPr>
            <w:tcW w:w="8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640.98</w:t>
            </w:r>
          </w:p>
        </w:tc>
        <w:tc>
          <w:tcPr>
            <w:tcW w:w="273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本年支出合计</w:t>
            </w:r>
          </w:p>
        </w:tc>
        <w:tc>
          <w:tcPr>
            <w:tcW w:w="50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53</w:t>
            </w: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640.98</w:t>
            </w:r>
          </w:p>
        </w:tc>
        <w:tc>
          <w:tcPr>
            <w:tcW w:w="7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640.98</w:t>
            </w:r>
          </w:p>
        </w:tc>
        <w:tc>
          <w:tcPr>
            <w:tcW w:w="4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年初财政拨款结转和结余</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25</w:t>
            </w:r>
          </w:p>
        </w:tc>
        <w:tc>
          <w:tcPr>
            <w:tcW w:w="8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273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年末财政拨款结转和结余</w:t>
            </w:r>
          </w:p>
        </w:tc>
        <w:tc>
          <w:tcPr>
            <w:tcW w:w="50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54</w:t>
            </w: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7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4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一、一般公共预算财政拨款</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26</w:t>
            </w:r>
          </w:p>
        </w:tc>
        <w:tc>
          <w:tcPr>
            <w:tcW w:w="8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273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left"/>
              <w:rPr>
                <w:rFonts w:ascii="宋体" w:eastAsia="宋体" w:hAnsi="宋体" w:cs="宋体"/>
                <w:color w:val="000000"/>
                <w:sz w:val="22"/>
              </w:rPr>
            </w:pPr>
          </w:p>
        </w:tc>
        <w:tc>
          <w:tcPr>
            <w:tcW w:w="50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55</w:t>
            </w: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7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4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二、政府性基金预算财政拨款</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27</w:t>
            </w:r>
          </w:p>
        </w:tc>
        <w:tc>
          <w:tcPr>
            <w:tcW w:w="8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273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left"/>
              <w:rPr>
                <w:rFonts w:ascii="宋体" w:eastAsia="宋体" w:hAnsi="宋体" w:cs="宋体"/>
                <w:color w:val="000000"/>
                <w:sz w:val="22"/>
              </w:rPr>
            </w:pPr>
          </w:p>
        </w:tc>
        <w:tc>
          <w:tcPr>
            <w:tcW w:w="50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56</w:t>
            </w: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7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4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28</w:t>
            </w:r>
          </w:p>
        </w:tc>
        <w:tc>
          <w:tcPr>
            <w:tcW w:w="8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273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left"/>
              <w:rPr>
                <w:rFonts w:ascii="宋体" w:eastAsia="宋体" w:hAnsi="宋体" w:cs="宋体"/>
                <w:color w:val="000000"/>
                <w:sz w:val="22"/>
              </w:rPr>
            </w:pPr>
          </w:p>
        </w:tc>
        <w:tc>
          <w:tcPr>
            <w:tcW w:w="50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57</w:t>
            </w: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7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4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29</w:t>
            </w:r>
          </w:p>
        </w:tc>
        <w:tc>
          <w:tcPr>
            <w:tcW w:w="8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640.98</w:t>
            </w:r>
          </w:p>
        </w:tc>
        <w:tc>
          <w:tcPr>
            <w:tcW w:w="273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50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58</w:t>
            </w:r>
          </w:p>
        </w:tc>
        <w:tc>
          <w:tcPr>
            <w:tcW w:w="80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7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640.98</w:t>
            </w:r>
          </w:p>
        </w:tc>
        <w:tc>
          <w:tcPr>
            <w:tcW w:w="4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90"/>
          <w:jc w:val="center"/>
        </w:trPr>
        <w:tc>
          <w:tcPr>
            <w:tcW w:w="9520" w:type="dxa"/>
            <w:gridSpan w:val="10"/>
            <w:tcBorders>
              <w:top w:val="nil"/>
              <w:left w:val="nil"/>
              <w:bottom w:val="nil"/>
              <w:right w:val="nil"/>
            </w:tcBorders>
            <w:shd w:val="clear" w:color="auto" w:fill="auto"/>
            <w:tcMar>
              <w:top w:w="15" w:type="dxa"/>
              <w:left w:w="15" w:type="dxa"/>
              <w:right w:w="15" w:type="dxa"/>
            </w:tcMar>
            <w:vAlign w:val="center"/>
          </w:tcPr>
          <w:p w:rsidR="00DA1185" w:rsidRDefault="006D574A">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注：本表反映部门本年度一般公共预算财政拨款和政府性基金预算财政拨款的总收支和年末结转结余情况。</w:t>
            </w:r>
          </w:p>
        </w:tc>
      </w:tr>
    </w:tbl>
    <w:p w:rsidR="00DA1185" w:rsidRDefault="006D574A">
      <w:r>
        <w:br w:type="page"/>
      </w:r>
    </w:p>
    <w:tbl>
      <w:tblPr>
        <w:tblW w:w="9990" w:type="dxa"/>
        <w:jc w:val="center"/>
        <w:tblLayout w:type="fixed"/>
        <w:tblCellMar>
          <w:left w:w="0" w:type="dxa"/>
          <w:right w:w="0" w:type="dxa"/>
        </w:tblCellMar>
        <w:tblLook w:val="04A0" w:firstRow="1" w:lastRow="0" w:firstColumn="1" w:lastColumn="0" w:noHBand="0" w:noVBand="1"/>
      </w:tblPr>
      <w:tblGrid>
        <w:gridCol w:w="1174"/>
        <w:gridCol w:w="67"/>
        <w:gridCol w:w="67"/>
        <w:gridCol w:w="1695"/>
        <w:gridCol w:w="2329"/>
        <w:gridCol w:w="2329"/>
        <w:gridCol w:w="2329"/>
      </w:tblGrid>
      <w:tr w:rsidR="00DA1185">
        <w:trPr>
          <w:trHeight w:val="600"/>
          <w:jc w:val="center"/>
        </w:trPr>
        <w:tc>
          <w:tcPr>
            <w:tcW w:w="9990" w:type="dxa"/>
            <w:gridSpan w:val="7"/>
            <w:tcBorders>
              <w:top w:val="nil"/>
              <w:left w:val="nil"/>
              <w:bottom w:val="nil"/>
              <w:right w:val="nil"/>
            </w:tcBorders>
            <w:shd w:val="clear" w:color="auto" w:fill="auto"/>
            <w:tcMar>
              <w:top w:w="15" w:type="dxa"/>
              <w:left w:w="15" w:type="dxa"/>
              <w:right w:w="15" w:type="dxa"/>
            </w:tcMar>
            <w:vAlign w:val="center"/>
          </w:tcPr>
          <w:p w:rsidR="00DA1185" w:rsidRDefault="006D574A">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一般公共预算财政拨款支出决算表</w:t>
            </w:r>
          </w:p>
        </w:tc>
      </w:tr>
      <w:tr w:rsidR="00DA1185">
        <w:trPr>
          <w:trHeight w:val="255"/>
          <w:jc w:val="center"/>
        </w:trPr>
        <w:tc>
          <w:tcPr>
            <w:tcW w:w="1174"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1695"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2329"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4658" w:type="dxa"/>
            <w:gridSpan w:val="2"/>
            <w:tcBorders>
              <w:top w:val="nil"/>
              <w:left w:val="nil"/>
              <w:bottom w:val="nil"/>
              <w:right w:val="nil"/>
            </w:tcBorders>
            <w:shd w:val="clear" w:color="auto" w:fill="auto"/>
            <w:tcMar>
              <w:top w:w="15" w:type="dxa"/>
              <w:left w:w="15" w:type="dxa"/>
              <w:right w:w="15" w:type="dxa"/>
            </w:tcMar>
            <w:vAlign w:val="bottom"/>
          </w:tcPr>
          <w:p w:rsidR="00DA1185" w:rsidRDefault="006D574A">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公开05表</w:t>
            </w:r>
          </w:p>
        </w:tc>
      </w:tr>
      <w:tr w:rsidR="00DA1185">
        <w:trPr>
          <w:trHeight w:val="255"/>
          <w:jc w:val="center"/>
        </w:trPr>
        <w:tc>
          <w:tcPr>
            <w:tcW w:w="1174" w:type="dxa"/>
            <w:tcBorders>
              <w:top w:val="nil"/>
              <w:left w:val="nil"/>
              <w:bottom w:val="nil"/>
              <w:right w:val="nil"/>
            </w:tcBorders>
            <w:shd w:val="clear" w:color="auto" w:fill="auto"/>
            <w:tcMar>
              <w:top w:w="15" w:type="dxa"/>
              <w:left w:w="15" w:type="dxa"/>
              <w:right w:w="15" w:type="dxa"/>
            </w:tcMar>
            <w:vAlign w:val="bottom"/>
          </w:tcPr>
          <w:p w:rsidR="00DA1185" w:rsidRDefault="006D574A">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67"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1695"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2329"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4658" w:type="dxa"/>
            <w:gridSpan w:val="2"/>
            <w:tcBorders>
              <w:top w:val="nil"/>
              <w:left w:val="nil"/>
              <w:bottom w:val="nil"/>
              <w:right w:val="nil"/>
            </w:tcBorders>
            <w:shd w:val="clear" w:color="auto" w:fill="auto"/>
            <w:tcMar>
              <w:top w:w="15" w:type="dxa"/>
              <w:left w:w="15" w:type="dxa"/>
              <w:right w:w="15" w:type="dxa"/>
            </w:tcMar>
            <w:vAlign w:val="bottom"/>
          </w:tcPr>
          <w:p w:rsidR="00DA1185" w:rsidRDefault="006D574A">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DA1185">
        <w:trPr>
          <w:trHeight w:val="308"/>
          <w:jc w:val="center"/>
        </w:trPr>
        <w:tc>
          <w:tcPr>
            <w:tcW w:w="3003"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6987"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r>
      <w:tr w:rsidR="00DA1185">
        <w:trPr>
          <w:trHeight w:val="312"/>
          <w:jc w:val="center"/>
        </w:trPr>
        <w:tc>
          <w:tcPr>
            <w:tcW w:w="1308"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169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232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232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232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r>
      <w:tr w:rsidR="00DA1185">
        <w:trPr>
          <w:trHeight w:val="312"/>
          <w:jc w:val="center"/>
        </w:trPr>
        <w:tc>
          <w:tcPr>
            <w:tcW w:w="1308"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169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r>
      <w:tr w:rsidR="00DA1185">
        <w:trPr>
          <w:trHeight w:val="312"/>
          <w:jc w:val="center"/>
        </w:trPr>
        <w:tc>
          <w:tcPr>
            <w:tcW w:w="1308"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169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r>
      <w:tr w:rsidR="00DA1185">
        <w:trPr>
          <w:trHeight w:val="308"/>
          <w:jc w:val="center"/>
        </w:trPr>
        <w:tc>
          <w:tcPr>
            <w:tcW w:w="3003"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r>
      <w:tr w:rsidR="00DA1185">
        <w:trPr>
          <w:trHeight w:val="308"/>
          <w:jc w:val="center"/>
        </w:trPr>
        <w:tc>
          <w:tcPr>
            <w:tcW w:w="3003"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b/>
                <w:color w:val="000000"/>
                <w:sz w:val="22"/>
              </w:rPr>
            </w:pPr>
            <w:r>
              <w:rPr>
                <w:rFonts w:ascii="宋体" w:eastAsia="宋体" w:hAnsi="宋体" w:cs="宋体" w:hint="eastAsia"/>
                <w:b/>
                <w:color w:val="000000"/>
                <w:sz w:val="22"/>
              </w:rPr>
              <w:t>640.98</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b/>
                <w:color w:val="000000"/>
                <w:sz w:val="22"/>
              </w:rPr>
            </w:pPr>
            <w:r>
              <w:rPr>
                <w:rFonts w:ascii="宋体" w:eastAsia="宋体" w:hAnsi="宋体" w:cs="宋体" w:hint="eastAsia"/>
                <w:b/>
                <w:color w:val="000000"/>
                <w:sz w:val="22"/>
              </w:rPr>
              <w:t>505.65</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b/>
                <w:color w:val="000000"/>
                <w:sz w:val="22"/>
              </w:rPr>
            </w:pPr>
            <w:r>
              <w:rPr>
                <w:rFonts w:ascii="宋体" w:eastAsia="宋体" w:hAnsi="宋体" w:cs="宋体" w:hint="eastAsia"/>
                <w:b/>
                <w:color w:val="000000"/>
                <w:sz w:val="22"/>
              </w:rPr>
              <w:t>135.33</w:t>
            </w:r>
          </w:p>
        </w:tc>
      </w:tr>
      <w:tr w:rsidR="00DA1185">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201</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一般公共服务支出</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550.68</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505.65</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135.33</w:t>
            </w:r>
          </w:p>
        </w:tc>
      </w:tr>
      <w:tr w:rsidR="00DA1185">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20131</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党委办公厅（室）及相关机构事务</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512.26</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415.35</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135.33</w:t>
            </w:r>
          </w:p>
        </w:tc>
      </w:tr>
      <w:tr w:rsidR="00DA1185">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2013</w:t>
            </w:r>
            <w:r>
              <w:rPr>
                <w:rFonts w:ascii="宋体" w:eastAsia="宋体" w:hAnsi="宋体" w:cs="宋体" w:hint="eastAsia"/>
                <w:color w:val="000000"/>
                <w:szCs w:val="21"/>
              </w:rPr>
              <w:t>1</w:t>
            </w:r>
            <w:r>
              <w:rPr>
                <w:rFonts w:ascii="宋体" w:hAnsi="宋体" w:cs="宋体" w:hint="eastAsia"/>
                <w:color w:val="000000"/>
                <w:szCs w:val="21"/>
              </w:rPr>
              <w:t>01</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行政运行</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337.37</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376.93</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eastAsia="宋体" w:hAnsi="宋体" w:cs="宋体" w:hint="eastAsia"/>
                <w:color w:val="000000"/>
                <w:sz w:val="22"/>
              </w:rPr>
              <w:t>2013102</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eastAsia="宋体" w:hAnsi="宋体" w:cs="宋体" w:hint="eastAsia"/>
                <w:color w:val="000000"/>
                <w:sz w:val="22"/>
              </w:rPr>
              <w:t>一般行政管理实务</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24.41</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337.37</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2013105</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专项业务</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117.63</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24.41</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117.63</w:t>
            </w:r>
          </w:p>
        </w:tc>
      </w:tr>
      <w:tr w:rsidR="00DA1185">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2013199</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其他党委办公厅（室）及相关机构事务支出</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32.85</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17.70</w:t>
            </w:r>
          </w:p>
        </w:tc>
      </w:tr>
      <w:tr w:rsidR="00DA1185">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20136</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其他共产党事务支出</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38.43</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15.15</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2013601</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行政运行</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38.43</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38.43</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208</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社会保障和就业支出</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74.44</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74.44</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20805</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hAnsi="宋体" w:cs="宋体" w:hint="eastAsia"/>
                <w:color w:val="000000"/>
                <w:szCs w:val="21"/>
              </w:rPr>
              <w:t>行政事业单位离</w:t>
            </w:r>
            <w:r>
              <w:rPr>
                <w:rFonts w:ascii="宋体" w:hAnsi="宋体" w:cs="宋体" w:hint="eastAsia"/>
                <w:color w:val="000000"/>
                <w:szCs w:val="21"/>
              </w:rPr>
              <w:lastRenderedPageBreak/>
              <w:t>退休</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lastRenderedPageBreak/>
              <w:t>56.15</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56.15</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eastAsia="宋体" w:hAnsi="宋体" w:cs="宋体" w:hint="eastAsia"/>
                <w:color w:val="000000"/>
                <w:sz w:val="22"/>
              </w:rPr>
              <w:lastRenderedPageBreak/>
              <w:t>2080501</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40" w:lineRule="atLeast"/>
              <w:jc w:val="left"/>
              <w:rPr>
                <w:rFonts w:ascii="宋体" w:eastAsia="宋体" w:hAnsi="宋体" w:cs="宋体"/>
                <w:color w:val="000000"/>
                <w:sz w:val="22"/>
              </w:rPr>
            </w:pPr>
            <w:r>
              <w:rPr>
                <w:rFonts w:ascii="宋体" w:eastAsia="宋体" w:hAnsi="宋体" w:cs="宋体" w:hint="eastAsia"/>
                <w:color w:val="000000"/>
                <w:sz w:val="22"/>
              </w:rPr>
              <w:t>归口管理的行政单位离退休</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15.13</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15.13</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2080505</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hAnsi="宋体" w:cs="宋体" w:hint="eastAsia"/>
                <w:color w:val="000000"/>
                <w:sz w:val="13"/>
                <w:szCs w:val="13"/>
              </w:rPr>
              <w:t>机关事业单位基本养老保险缴费支出</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40.95</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40.95</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2080506</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机关事业单位职业年金缴费支出</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0.07</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0.07</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20808</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抚恤</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16.86</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16.86</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2080801</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死亡抚恤</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16.86</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16.86</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20827</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财政对其他社会保险基金的</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1.43</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1.43</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2082702</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财政对工伤保险基金的补助</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1.10</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1.10</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2082703</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财政对生育保险基金的补助</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0.33</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0.33</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210</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卫生健康支出</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15.85</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15.85</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21011</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行政事业单位医疗</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15.85</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15.85</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2101101</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left"/>
              <w:rPr>
                <w:rFonts w:ascii="宋体" w:eastAsia="宋体" w:hAnsi="宋体" w:cs="宋体"/>
                <w:color w:val="000000"/>
                <w:sz w:val="22"/>
              </w:rPr>
            </w:pPr>
            <w:r>
              <w:rPr>
                <w:rFonts w:ascii="宋体" w:eastAsia="宋体" w:hAnsi="宋体" w:cs="宋体" w:hint="eastAsia"/>
                <w:color w:val="000000"/>
                <w:sz w:val="22"/>
              </w:rPr>
              <w:t>行政单位医疗</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15.85</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right"/>
              <w:rPr>
                <w:rFonts w:ascii="宋体" w:eastAsia="宋体" w:hAnsi="宋体" w:cs="宋体"/>
                <w:color w:val="000000"/>
                <w:sz w:val="22"/>
              </w:rPr>
            </w:pPr>
            <w:r>
              <w:rPr>
                <w:rFonts w:ascii="宋体" w:eastAsia="宋体" w:hAnsi="宋体" w:cs="宋体" w:hint="eastAsia"/>
                <w:color w:val="000000"/>
                <w:sz w:val="22"/>
              </w:rPr>
              <w:t>15.85</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308"/>
          <w:jc w:val="center"/>
        </w:trPr>
        <w:tc>
          <w:tcPr>
            <w:tcW w:w="1308" w:type="dxa"/>
            <w:gridSpan w:val="3"/>
          </w:tcPr>
          <w:p w:rsidR="00DA1185" w:rsidRDefault="00DA1185">
            <w:pPr>
              <w:jc w:val="left"/>
              <w:rPr>
                <w:rFonts w:ascii="宋体" w:eastAsia="宋体" w:hAnsi="宋体" w:cs="宋体"/>
                <w:color w:val="000000"/>
                <w:sz w:val="22"/>
              </w:rPr>
            </w:pPr>
          </w:p>
        </w:tc>
        <w:tc>
          <w:tcPr>
            <w:tcW w:w="1695" w:type="dxa"/>
          </w:tcPr>
          <w:p w:rsidR="00DA1185" w:rsidRDefault="00DA1185">
            <w:pPr>
              <w:jc w:val="left"/>
              <w:rPr>
                <w:rFonts w:ascii="宋体" w:eastAsia="宋体" w:hAnsi="宋体" w:cs="宋体"/>
                <w:color w:val="000000"/>
                <w:sz w:val="22"/>
              </w:rPr>
            </w:pPr>
          </w:p>
        </w:tc>
        <w:tc>
          <w:tcPr>
            <w:tcW w:w="2329" w:type="dxa"/>
            <w:shd w:val="clear" w:color="auto" w:fill="auto"/>
            <w:vAlign w:val="center"/>
          </w:tcPr>
          <w:p w:rsidR="00DA1185" w:rsidRDefault="00DA1185">
            <w:pPr>
              <w:jc w:val="right"/>
              <w:rPr>
                <w:rFonts w:ascii="宋体" w:eastAsia="宋体" w:hAnsi="宋体" w:cs="宋体"/>
                <w:color w:val="000000"/>
                <w:sz w:val="22"/>
              </w:rPr>
            </w:pPr>
          </w:p>
        </w:tc>
        <w:tc>
          <w:tcPr>
            <w:tcW w:w="2329" w:type="dxa"/>
          </w:tcPr>
          <w:p w:rsidR="00DA1185" w:rsidRDefault="00DA1185">
            <w:pPr>
              <w:jc w:val="right"/>
              <w:rPr>
                <w:rFonts w:ascii="宋体" w:eastAsia="宋体" w:hAnsi="宋体" w:cs="宋体"/>
                <w:color w:val="000000"/>
                <w:sz w:val="22"/>
              </w:rPr>
            </w:pPr>
          </w:p>
        </w:tc>
        <w:tc>
          <w:tcPr>
            <w:tcW w:w="2329" w:type="dxa"/>
          </w:tcPr>
          <w:p w:rsidR="00DA1185" w:rsidRDefault="00DA1185">
            <w:pPr>
              <w:jc w:val="right"/>
              <w:rPr>
                <w:rFonts w:ascii="宋体" w:eastAsia="宋体" w:hAnsi="宋体" w:cs="宋体"/>
                <w:color w:val="000000"/>
                <w:sz w:val="22"/>
              </w:rPr>
            </w:pPr>
          </w:p>
        </w:tc>
      </w:tr>
    </w:tbl>
    <w:p w:rsidR="00DA1185" w:rsidRDefault="006D574A">
      <w:r>
        <w:br w:type="page"/>
      </w:r>
    </w:p>
    <w:tbl>
      <w:tblPr>
        <w:tblW w:w="10000" w:type="dxa"/>
        <w:jc w:val="center"/>
        <w:tblLayout w:type="fixed"/>
        <w:tblCellMar>
          <w:left w:w="0" w:type="dxa"/>
          <w:right w:w="0" w:type="dxa"/>
        </w:tblCellMar>
        <w:tblLook w:val="04A0" w:firstRow="1" w:lastRow="0" w:firstColumn="1" w:lastColumn="0" w:noHBand="0" w:noVBand="1"/>
      </w:tblPr>
      <w:tblGrid>
        <w:gridCol w:w="896"/>
        <w:gridCol w:w="1932"/>
        <w:gridCol w:w="783"/>
        <w:gridCol w:w="655"/>
        <w:gridCol w:w="1599"/>
        <w:gridCol w:w="768"/>
        <w:gridCol w:w="744"/>
        <w:gridCol w:w="1891"/>
        <w:gridCol w:w="732"/>
      </w:tblGrid>
      <w:tr w:rsidR="00DA1185">
        <w:trPr>
          <w:trHeight w:val="662"/>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rsidR="00DA1185" w:rsidRDefault="006D574A">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一般公共预算财政拨款基本支出决算表</w:t>
            </w:r>
          </w:p>
        </w:tc>
      </w:tr>
      <w:tr w:rsidR="00DA1185">
        <w:trPr>
          <w:trHeight w:val="339"/>
          <w:jc w:val="center"/>
        </w:trPr>
        <w:tc>
          <w:tcPr>
            <w:tcW w:w="896"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rsidR="00DA1185" w:rsidRDefault="006D574A">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公开06表</w:t>
            </w:r>
          </w:p>
        </w:tc>
      </w:tr>
      <w:tr w:rsidR="00DA1185">
        <w:trPr>
          <w:trHeight w:val="339"/>
          <w:jc w:val="center"/>
        </w:trPr>
        <w:tc>
          <w:tcPr>
            <w:tcW w:w="896" w:type="dxa"/>
            <w:tcBorders>
              <w:top w:val="nil"/>
              <w:left w:val="nil"/>
              <w:bottom w:val="nil"/>
              <w:right w:val="nil"/>
            </w:tcBorders>
            <w:shd w:val="clear" w:color="auto" w:fill="auto"/>
            <w:tcMar>
              <w:top w:w="15" w:type="dxa"/>
              <w:left w:w="15" w:type="dxa"/>
              <w:right w:w="15" w:type="dxa"/>
            </w:tcMar>
            <w:vAlign w:val="bottom"/>
          </w:tcPr>
          <w:p w:rsidR="00DA1185" w:rsidRDefault="006D574A">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1932"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rsidR="00DA1185" w:rsidRDefault="006D574A">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金额单位：万元</w:t>
            </w:r>
          </w:p>
        </w:tc>
      </w:tr>
      <w:tr w:rsidR="00DA1185">
        <w:trPr>
          <w:trHeight w:val="362"/>
          <w:jc w:val="center"/>
        </w:trPr>
        <w:tc>
          <w:tcPr>
            <w:tcW w:w="3611"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人员经费</w:t>
            </w:r>
          </w:p>
        </w:tc>
        <w:tc>
          <w:tcPr>
            <w:tcW w:w="6389" w:type="dxa"/>
            <w:gridSpan w:val="6"/>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公用经费</w:t>
            </w:r>
          </w:p>
        </w:tc>
      </w:tr>
      <w:tr w:rsidR="00DA1185">
        <w:trPr>
          <w:trHeight w:val="362"/>
          <w:jc w:val="center"/>
        </w:trPr>
        <w:tc>
          <w:tcPr>
            <w:tcW w:w="896"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kern w:val="0"/>
                <w:sz w:val="22"/>
              </w:rPr>
            </w:pPr>
            <w:r>
              <w:rPr>
                <w:rFonts w:ascii="宋体" w:eastAsia="宋体" w:hAnsi="宋体" w:cs="宋体" w:hint="eastAsia"/>
                <w:color w:val="000000"/>
                <w:kern w:val="0"/>
                <w:sz w:val="22"/>
              </w:rPr>
              <w:t>科目</w:t>
            </w:r>
          </w:p>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编码</w:t>
            </w:r>
          </w:p>
        </w:tc>
        <w:tc>
          <w:tcPr>
            <w:tcW w:w="193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78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c>
          <w:tcPr>
            <w:tcW w:w="65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科目编码</w:t>
            </w:r>
          </w:p>
        </w:tc>
        <w:tc>
          <w:tcPr>
            <w:tcW w:w="159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768"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c>
          <w:tcPr>
            <w:tcW w:w="744"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kern w:val="0"/>
                <w:sz w:val="22"/>
              </w:rPr>
            </w:pPr>
            <w:r>
              <w:rPr>
                <w:rFonts w:ascii="宋体" w:eastAsia="宋体" w:hAnsi="宋体" w:cs="宋体" w:hint="eastAsia"/>
                <w:color w:val="000000"/>
                <w:kern w:val="0"/>
                <w:sz w:val="22"/>
              </w:rPr>
              <w:t>科目</w:t>
            </w:r>
          </w:p>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编码</w:t>
            </w:r>
          </w:p>
        </w:tc>
        <w:tc>
          <w:tcPr>
            <w:tcW w:w="1891"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73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r>
      <w:tr w:rsidR="00DA1185">
        <w:trPr>
          <w:trHeight w:val="349"/>
          <w:jc w:val="center"/>
        </w:trPr>
        <w:tc>
          <w:tcPr>
            <w:tcW w:w="896"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193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78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65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159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768"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74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189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73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r>
      <w:tr w:rsidR="00DA1185">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工资福利支出</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351.56</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商品和服务支出</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119.96</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债务利息及费用支出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180" w:lineRule="exact"/>
              <w:jc w:val="right"/>
              <w:rPr>
                <w:rFonts w:ascii="宋体" w:eastAsia="宋体" w:hAnsi="宋体" w:cs="宋体"/>
                <w:color w:val="000000"/>
                <w:sz w:val="20"/>
                <w:szCs w:val="20"/>
              </w:rPr>
            </w:pPr>
          </w:p>
        </w:tc>
      </w:tr>
      <w:tr w:rsidR="00DA1185">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基本工资</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150.46</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30201</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办公费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16.91</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30701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国内债务付息</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180" w:lineRule="exact"/>
              <w:jc w:val="right"/>
              <w:rPr>
                <w:rFonts w:ascii="宋体" w:eastAsia="宋体" w:hAnsi="宋体" w:cs="宋体"/>
                <w:color w:val="000000"/>
                <w:sz w:val="20"/>
                <w:szCs w:val="20"/>
              </w:rPr>
            </w:pPr>
          </w:p>
        </w:tc>
      </w:tr>
      <w:tr w:rsidR="00DA1185">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30102</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津贴补贴</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98.48</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30202</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印刷费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8.13</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30702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国外债务付息</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180" w:lineRule="exact"/>
              <w:jc w:val="right"/>
              <w:rPr>
                <w:rFonts w:ascii="宋体" w:eastAsia="宋体" w:hAnsi="宋体" w:cs="宋体"/>
                <w:color w:val="000000"/>
                <w:sz w:val="20"/>
                <w:szCs w:val="20"/>
              </w:rPr>
            </w:pPr>
          </w:p>
        </w:tc>
      </w:tr>
      <w:tr w:rsidR="00DA1185">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奖金</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8.44</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30203</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咨询费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资本性支出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spacing w:line="18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1.28</w:t>
            </w:r>
          </w:p>
        </w:tc>
      </w:tr>
      <w:tr w:rsidR="00DA1185">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30106</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伙食补助费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30204</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手续费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房屋建筑物购建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180" w:lineRule="exact"/>
              <w:jc w:val="right"/>
              <w:rPr>
                <w:rFonts w:ascii="宋体" w:eastAsia="宋体" w:hAnsi="宋体" w:cs="宋体"/>
                <w:color w:val="000000"/>
                <w:sz w:val="20"/>
                <w:szCs w:val="20"/>
              </w:rPr>
            </w:pPr>
          </w:p>
        </w:tc>
      </w:tr>
      <w:tr w:rsidR="00DA1185">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30107</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绩效工资</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3.35</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30205</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水费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办公设备购置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180" w:lineRule="exact"/>
              <w:jc w:val="right"/>
              <w:rPr>
                <w:rFonts w:ascii="宋体" w:eastAsia="宋体" w:hAnsi="宋体" w:cs="宋体"/>
                <w:color w:val="000000"/>
                <w:sz w:val="20"/>
                <w:szCs w:val="20"/>
              </w:rPr>
            </w:pPr>
          </w:p>
        </w:tc>
      </w:tr>
      <w:tr w:rsidR="00DA1185">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30108</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机关事业单位基本养老保险缴费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43.01</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30206</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电费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31003</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专用设备购置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spacing w:line="18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1.28</w:t>
            </w:r>
          </w:p>
        </w:tc>
      </w:tr>
      <w:tr w:rsidR="00DA1185">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职业年金缴费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1.03</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30207</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邮电费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5.11</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31005</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基础设施建设</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180" w:lineRule="exact"/>
              <w:jc w:val="right"/>
              <w:rPr>
                <w:rFonts w:ascii="宋体" w:eastAsia="宋体" w:hAnsi="宋体" w:cs="宋体"/>
                <w:color w:val="000000"/>
                <w:sz w:val="20"/>
                <w:szCs w:val="20"/>
              </w:rPr>
            </w:pPr>
          </w:p>
        </w:tc>
      </w:tr>
      <w:tr w:rsidR="00DA1185">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30110</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职工基本医疗保险缴费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16.60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30208</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取暖费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31006</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大型修缮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180" w:lineRule="exact"/>
              <w:jc w:val="right"/>
              <w:rPr>
                <w:rFonts w:ascii="宋体" w:eastAsia="宋体" w:hAnsi="宋体" w:cs="宋体"/>
                <w:color w:val="000000"/>
                <w:sz w:val="20"/>
                <w:szCs w:val="20"/>
              </w:rPr>
            </w:pPr>
          </w:p>
        </w:tc>
      </w:tr>
      <w:tr w:rsidR="00DA1185">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公务员医疗补助缴费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物业管理费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信息网络及软件购置更新</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180" w:lineRule="exact"/>
              <w:jc w:val="right"/>
              <w:rPr>
                <w:rFonts w:ascii="宋体" w:eastAsia="宋体" w:hAnsi="宋体" w:cs="宋体"/>
                <w:color w:val="000000"/>
                <w:sz w:val="20"/>
                <w:szCs w:val="20"/>
              </w:rPr>
            </w:pPr>
          </w:p>
        </w:tc>
      </w:tr>
      <w:tr w:rsidR="00DA1185">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30112</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其他社会保障缴费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22.70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30211</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差旅费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10.60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31008</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物资储备</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180" w:lineRule="exact"/>
              <w:jc w:val="right"/>
              <w:rPr>
                <w:rFonts w:ascii="宋体" w:eastAsia="宋体" w:hAnsi="宋体" w:cs="宋体"/>
                <w:color w:val="000000"/>
                <w:sz w:val="20"/>
                <w:szCs w:val="20"/>
              </w:rPr>
            </w:pPr>
          </w:p>
        </w:tc>
      </w:tr>
      <w:tr w:rsidR="00DA1185">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住房公积金</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30212</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因公出国（境）费用</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土地补偿</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180" w:lineRule="exact"/>
              <w:jc w:val="right"/>
              <w:rPr>
                <w:rFonts w:ascii="宋体" w:eastAsia="宋体" w:hAnsi="宋体" w:cs="宋体"/>
                <w:color w:val="000000"/>
                <w:sz w:val="20"/>
                <w:szCs w:val="20"/>
              </w:rPr>
            </w:pPr>
          </w:p>
        </w:tc>
      </w:tr>
      <w:tr w:rsidR="00DA1185">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30114</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医疗费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30213</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维修（护）费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17.52</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31010</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安置补助</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180" w:lineRule="exact"/>
              <w:jc w:val="right"/>
              <w:rPr>
                <w:rFonts w:ascii="宋体" w:eastAsia="宋体" w:hAnsi="宋体" w:cs="宋体"/>
                <w:color w:val="000000"/>
                <w:sz w:val="20"/>
                <w:szCs w:val="20"/>
              </w:rPr>
            </w:pPr>
          </w:p>
        </w:tc>
      </w:tr>
      <w:tr w:rsidR="00DA1185">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30199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其他工资福利支出</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7.50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30214</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租赁费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地上附着物和青苗补偿</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180" w:lineRule="exact"/>
              <w:jc w:val="right"/>
              <w:rPr>
                <w:rFonts w:ascii="宋体" w:eastAsia="宋体" w:hAnsi="宋体" w:cs="宋体"/>
                <w:color w:val="000000"/>
                <w:sz w:val="20"/>
                <w:szCs w:val="20"/>
              </w:rPr>
            </w:pPr>
          </w:p>
        </w:tc>
      </w:tr>
      <w:tr w:rsidR="00DA1185">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对个人和家庭的补助</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32.85</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30215</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会议费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拆迁补偿</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180" w:lineRule="exact"/>
              <w:jc w:val="right"/>
              <w:rPr>
                <w:rFonts w:ascii="宋体" w:eastAsia="宋体" w:hAnsi="宋体" w:cs="宋体"/>
                <w:color w:val="000000"/>
                <w:sz w:val="20"/>
                <w:szCs w:val="20"/>
              </w:rPr>
            </w:pPr>
          </w:p>
        </w:tc>
      </w:tr>
      <w:tr w:rsidR="00DA1185">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离休费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11.62</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30216</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培训费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0.10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31013</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公务用车购置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180" w:lineRule="exact"/>
              <w:jc w:val="right"/>
              <w:rPr>
                <w:rFonts w:ascii="宋体" w:eastAsia="宋体" w:hAnsi="宋体" w:cs="宋体"/>
                <w:color w:val="000000"/>
                <w:sz w:val="20"/>
                <w:szCs w:val="20"/>
              </w:rPr>
            </w:pPr>
          </w:p>
        </w:tc>
      </w:tr>
      <w:tr w:rsidR="00DA1185">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30302</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退休费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4.37</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220" w:lineRule="exact"/>
              <w:jc w:val="left"/>
              <w:rPr>
                <w:rFonts w:ascii="宋体" w:eastAsia="宋体" w:hAnsi="宋体" w:cs="宋体"/>
                <w:color w:val="000000"/>
                <w:sz w:val="20"/>
                <w:szCs w:val="20"/>
              </w:rPr>
            </w:pP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公务接待费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其他交通工具购置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180" w:lineRule="exact"/>
              <w:jc w:val="right"/>
              <w:rPr>
                <w:rFonts w:ascii="宋体" w:eastAsia="宋体" w:hAnsi="宋体" w:cs="宋体"/>
                <w:color w:val="000000"/>
                <w:sz w:val="20"/>
                <w:szCs w:val="20"/>
              </w:rPr>
            </w:pPr>
          </w:p>
        </w:tc>
      </w:tr>
      <w:tr w:rsidR="00DA1185">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退职（役）费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30218</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专用材料费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3.25</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31021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文物和陈列品购置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180" w:lineRule="exact"/>
              <w:jc w:val="right"/>
              <w:rPr>
                <w:rFonts w:ascii="宋体" w:eastAsia="宋体" w:hAnsi="宋体" w:cs="宋体"/>
                <w:color w:val="000000"/>
                <w:sz w:val="20"/>
                <w:szCs w:val="20"/>
              </w:rPr>
            </w:pPr>
          </w:p>
        </w:tc>
      </w:tr>
      <w:tr w:rsidR="00DA1185">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30304</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抚恤金</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16.86</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30224</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被装购置费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31022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无形资产购置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180" w:lineRule="exact"/>
              <w:jc w:val="right"/>
              <w:rPr>
                <w:rFonts w:ascii="宋体" w:eastAsia="宋体" w:hAnsi="宋体" w:cs="宋体"/>
                <w:color w:val="000000"/>
                <w:sz w:val="20"/>
                <w:szCs w:val="20"/>
              </w:rPr>
            </w:pPr>
          </w:p>
        </w:tc>
      </w:tr>
      <w:tr w:rsidR="00DA1185">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30305</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生活补助</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30225</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专用燃料费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其他资本性支出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180" w:lineRule="exact"/>
              <w:jc w:val="right"/>
              <w:rPr>
                <w:rFonts w:ascii="宋体" w:eastAsia="宋体" w:hAnsi="宋体" w:cs="宋体"/>
                <w:color w:val="000000"/>
                <w:sz w:val="20"/>
                <w:szCs w:val="20"/>
              </w:rPr>
            </w:pPr>
          </w:p>
        </w:tc>
      </w:tr>
      <w:tr w:rsidR="00DA1185">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30306</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救济费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30226</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劳务费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1.56</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其他支出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180" w:lineRule="exact"/>
              <w:jc w:val="right"/>
              <w:rPr>
                <w:rFonts w:ascii="宋体" w:eastAsia="宋体" w:hAnsi="宋体" w:cs="宋体"/>
                <w:color w:val="000000"/>
                <w:sz w:val="20"/>
                <w:szCs w:val="20"/>
              </w:rPr>
            </w:pPr>
          </w:p>
        </w:tc>
      </w:tr>
      <w:tr w:rsidR="00DA1185">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30307</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医疗费补助</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30227</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委托业务费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39906</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赠与</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180" w:lineRule="exact"/>
              <w:jc w:val="right"/>
              <w:rPr>
                <w:rFonts w:ascii="宋体" w:eastAsia="宋体" w:hAnsi="宋体" w:cs="宋体"/>
                <w:color w:val="000000"/>
                <w:sz w:val="20"/>
                <w:szCs w:val="20"/>
              </w:rPr>
            </w:pPr>
          </w:p>
        </w:tc>
      </w:tr>
      <w:tr w:rsidR="00DA1185">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30308</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助学金</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30228</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工会经费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27.29</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国家赔偿费用支出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180" w:lineRule="exact"/>
              <w:jc w:val="right"/>
              <w:rPr>
                <w:rFonts w:ascii="宋体" w:eastAsia="宋体" w:hAnsi="宋体" w:cs="宋体"/>
                <w:color w:val="000000"/>
                <w:sz w:val="20"/>
                <w:szCs w:val="20"/>
              </w:rPr>
            </w:pPr>
          </w:p>
        </w:tc>
      </w:tr>
      <w:tr w:rsidR="00DA1185">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奖励金</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福利费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39908</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18"/>
                <w:szCs w:val="18"/>
              </w:rPr>
              <w:t xml:space="preserve"> 对民间非营利组织和群众性自治组织补贴</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180" w:lineRule="exact"/>
              <w:jc w:val="right"/>
              <w:rPr>
                <w:rFonts w:ascii="宋体" w:eastAsia="宋体" w:hAnsi="宋体" w:cs="宋体"/>
                <w:color w:val="000000"/>
                <w:sz w:val="20"/>
                <w:szCs w:val="20"/>
              </w:rPr>
            </w:pPr>
          </w:p>
        </w:tc>
      </w:tr>
      <w:tr w:rsidR="00DA1185">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30310</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个人农业生产补贴</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30231</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公务用车运行维护费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10.19</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180" w:lineRule="exact"/>
              <w:jc w:val="right"/>
              <w:rPr>
                <w:rFonts w:ascii="宋体" w:eastAsia="宋体" w:hAnsi="宋体" w:cs="宋体"/>
                <w:color w:val="000000"/>
                <w:sz w:val="20"/>
                <w:szCs w:val="20"/>
              </w:rPr>
            </w:pPr>
          </w:p>
        </w:tc>
      </w:tr>
      <w:tr w:rsidR="00DA1185">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30399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其他对个人和家庭的补助</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30239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其他交通费用</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19.30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180" w:lineRule="exact"/>
              <w:jc w:val="right"/>
              <w:rPr>
                <w:rFonts w:ascii="宋体" w:eastAsia="宋体" w:hAnsi="宋体" w:cs="宋体"/>
                <w:color w:val="000000"/>
                <w:sz w:val="20"/>
                <w:szCs w:val="20"/>
              </w:rPr>
            </w:pPr>
          </w:p>
        </w:tc>
      </w:tr>
      <w:tr w:rsidR="00DA1185">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220" w:lineRule="exact"/>
              <w:jc w:val="left"/>
              <w:rPr>
                <w:rFonts w:ascii="宋体" w:eastAsia="宋体" w:hAnsi="宋体" w:cs="宋体"/>
                <w:color w:val="000000"/>
                <w:sz w:val="20"/>
                <w:szCs w:val="20"/>
              </w:rPr>
            </w:pP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220" w:lineRule="exact"/>
              <w:jc w:val="left"/>
              <w:rPr>
                <w:rFonts w:ascii="宋体" w:eastAsia="宋体" w:hAnsi="宋体" w:cs="宋体"/>
                <w:color w:val="000000"/>
                <w:sz w:val="20"/>
                <w:szCs w:val="20"/>
              </w:rPr>
            </w:pP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30240</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税金及附加费用</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180" w:lineRule="exact"/>
              <w:jc w:val="right"/>
              <w:rPr>
                <w:rFonts w:ascii="宋体" w:eastAsia="宋体" w:hAnsi="宋体" w:cs="宋体"/>
                <w:color w:val="000000"/>
                <w:sz w:val="20"/>
                <w:szCs w:val="20"/>
              </w:rPr>
            </w:pPr>
          </w:p>
        </w:tc>
      </w:tr>
      <w:tr w:rsidR="00DA1185">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220" w:lineRule="exact"/>
              <w:jc w:val="left"/>
              <w:rPr>
                <w:rFonts w:ascii="宋体" w:eastAsia="宋体" w:hAnsi="宋体" w:cs="宋体"/>
                <w:color w:val="000000"/>
                <w:sz w:val="20"/>
                <w:szCs w:val="20"/>
              </w:rPr>
            </w:pP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220" w:lineRule="exact"/>
              <w:jc w:val="left"/>
              <w:rPr>
                <w:rFonts w:ascii="宋体" w:eastAsia="宋体" w:hAnsi="宋体" w:cs="宋体"/>
                <w:color w:val="000000"/>
                <w:sz w:val="20"/>
                <w:szCs w:val="20"/>
              </w:rPr>
            </w:pP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30299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其他商品和服务支出</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spacing w:line="180" w:lineRule="exact"/>
              <w:jc w:val="right"/>
              <w:rPr>
                <w:rFonts w:ascii="宋体" w:eastAsia="宋体" w:hAnsi="宋体" w:cs="宋体"/>
                <w:color w:val="000000"/>
                <w:sz w:val="20"/>
                <w:szCs w:val="20"/>
              </w:rPr>
            </w:pPr>
          </w:p>
        </w:tc>
      </w:tr>
      <w:tr w:rsidR="00DA1185">
        <w:trPr>
          <w:trHeight w:val="317"/>
          <w:jc w:val="center"/>
        </w:trPr>
        <w:tc>
          <w:tcPr>
            <w:tcW w:w="2828"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人员经费合计</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383.41</w:t>
            </w:r>
          </w:p>
        </w:tc>
        <w:tc>
          <w:tcPr>
            <w:tcW w:w="5657"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公用经费合计</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spacing w:line="18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121.24</w:t>
            </w:r>
          </w:p>
        </w:tc>
      </w:tr>
    </w:tbl>
    <w:p w:rsidR="00DA1185" w:rsidRDefault="006D574A">
      <w:r>
        <w:br w:type="page"/>
      </w:r>
    </w:p>
    <w:tbl>
      <w:tblPr>
        <w:tblW w:w="9220" w:type="dxa"/>
        <w:jc w:val="center"/>
        <w:tblLayout w:type="fixed"/>
        <w:tblCellMar>
          <w:left w:w="0" w:type="dxa"/>
          <w:right w:w="0" w:type="dxa"/>
        </w:tblCellMar>
        <w:tblLook w:val="04A0" w:firstRow="1" w:lastRow="0" w:firstColumn="1" w:lastColumn="0" w:noHBand="0" w:noVBand="1"/>
      </w:tblPr>
      <w:tblGrid>
        <w:gridCol w:w="1267"/>
        <w:gridCol w:w="1686"/>
        <w:gridCol w:w="1565"/>
        <w:gridCol w:w="1565"/>
        <w:gridCol w:w="1565"/>
        <w:gridCol w:w="1572"/>
      </w:tblGrid>
      <w:tr w:rsidR="00DA1185">
        <w:trPr>
          <w:trHeight w:val="638"/>
          <w:jc w:val="center"/>
        </w:trPr>
        <w:tc>
          <w:tcPr>
            <w:tcW w:w="9220" w:type="dxa"/>
            <w:gridSpan w:val="6"/>
            <w:tcBorders>
              <w:top w:val="nil"/>
              <w:left w:val="nil"/>
              <w:bottom w:val="nil"/>
              <w:right w:val="nil"/>
            </w:tcBorders>
            <w:shd w:val="clear" w:color="auto" w:fill="auto"/>
            <w:tcMar>
              <w:top w:w="15" w:type="dxa"/>
              <w:left w:w="15" w:type="dxa"/>
              <w:right w:w="15" w:type="dxa"/>
            </w:tcMar>
            <w:vAlign w:val="center"/>
          </w:tcPr>
          <w:p w:rsidR="00DA1185" w:rsidRDefault="006D574A">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一般公共预算财政拨款“三公”经费支出决算表</w:t>
            </w:r>
          </w:p>
        </w:tc>
      </w:tr>
      <w:tr w:rsidR="00DA1185">
        <w:trPr>
          <w:trHeight w:val="360"/>
          <w:jc w:val="center"/>
        </w:trPr>
        <w:tc>
          <w:tcPr>
            <w:tcW w:w="1267"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1686"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rsidR="00DA1185" w:rsidRDefault="006D574A">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公开07表</w:t>
            </w:r>
          </w:p>
        </w:tc>
      </w:tr>
      <w:tr w:rsidR="00DA1185">
        <w:trPr>
          <w:trHeight w:val="360"/>
          <w:jc w:val="center"/>
        </w:trPr>
        <w:tc>
          <w:tcPr>
            <w:tcW w:w="1267" w:type="dxa"/>
            <w:tcBorders>
              <w:top w:val="nil"/>
              <w:left w:val="nil"/>
              <w:bottom w:val="nil"/>
              <w:right w:val="nil"/>
            </w:tcBorders>
            <w:shd w:val="clear" w:color="auto" w:fill="auto"/>
            <w:tcMar>
              <w:top w:w="15" w:type="dxa"/>
              <w:left w:w="15" w:type="dxa"/>
              <w:right w:w="15" w:type="dxa"/>
            </w:tcMar>
            <w:vAlign w:val="bottom"/>
          </w:tcPr>
          <w:p w:rsidR="00DA1185" w:rsidRDefault="006D574A">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1686"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rsidR="00DA1185" w:rsidRDefault="006D574A">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DA1185">
        <w:trPr>
          <w:trHeight w:val="417"/>
          <w:jc w:val="center"/>
        </w:trPr>
        <w:tc>
          <w:tcPr>
            <w:tcW w:w="9220" w:type="dxa"/>
            <w:gridSpan w:val="6"/>
            <w:tcBorders>
              <w:top w:val="single" w:sz="4" w:space="0" w:color="000000"/>
              <w:left w:val="single" w:sz="4" w:space="0" w:color="000000"/>
              <w:bottom w:val="single" w:sz="4" w:space="0" w:color="auto"/>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预算数</w:t>
            </w:r>
          </w:p>
        </w:tc>
      </w:tr>
      <w:tr w:rsidR="00DA1185">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686" w:type="dxa"/>
            <w:vMerge w:val="restart"/>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因公出国（境）费</w:t>
            </w:r>
          </w:p>
        </w:tc>
        <w:tc>
          <w:tcPr>
            <w:tcW w:w="4695"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公务用车购置及运行费</w:t>
            </w:r>
          </w:p>
        </w:tc>
        <w:tc>
          <w:tcPr>
            <w:tcW w:w="1572" w:type="dxa"/>
            <w:vMerge w:val="restart"/>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公务接待费</w:t>
            </w:r>
          </w:p>
        </w:tc>
      </w:tr>
      <w:tr w:rsidR="00DA1185">
        <w:trPr>
          <w:trHeight w:val="417"/>
          <w:jc w:val="center"/>
        </w:trPr>
        <w:tc>
          <w:tcPr>
            <w:tcW w:w="1267" w:type="dxa"/>
            <w:vMerge/>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公务用车购置费</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公务用车运行费</w:t>
            </w:r>
          </w:p>
        </w:tc>
        <w:tc>
          <w:tcPr>
            <w:tcW w:w="1572" w:type="dxa"/>
            <w:vMerge/>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r>
      <w:tr w:rsidR="00DA1185">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r>
      <w:tr w:rsidR="00DA1185">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center"/>
              <w:rPr>
                <w:rFonts w:ascii="宋体" w:eastAsia="宋体" w:hAnsi="宋体" w:cs="宋体"/>
                <w:color w:val="000000"/>
                <w:sz w:val="22"/>
              </w:rPr>
            </w:pPr>
            <w:r>
              <w:rPr>
                <w:rFonts w:ascii="宋体" w:eastAsia="宋体" w:hAnsi="宋体" w:cs="宋体" w:hint="eastAsia"/>
                <w:color w:val="000000"/>
                <w:sz w:val="22"/>
              </w:rPr>
              <w:t>16.2</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center"/>
              <w:rPr>
                <w:rFonts w:ascii="宋体" w:eastAsia="宋体" w:hAnsi="宋体" w:cs="宋体"/>
                <w:color w:val="000000"/>
                <w:sz w:val="22"/>
              </w:rPr>
            </w:pPr>
            <w:r>
              <w:rPr>
                <w:rFonts w:ascii="宋体" w:eastAsia="宋体" w:hAnsi="宋体" w:cs="宋体" w:hint="eastAsia"/>
                <w:color w:val="000000"/>
                <w:sz w:val="22"/>
              </w:rPr>
              <w:t>16.2</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jc w:val="center"/>
              <w:rPr>
                <w:rFonts w:ascii="宋体" w:eastAsia="宋体" w:hAnsi="宋体" w:cs="宋体"/>
                <w:color w:val="000000"/>
                <w:sz w:val="22"/>
              </w:rPr>
            </w:pPr>
            <w:r>
              <w:rPr>
                <w:rFonts w:ascii="宋体" w:eastAsia="宋体" w:hAnsi="宋体" w:cs="宋体" w:hint="eastAsia"/>
                <w:color w:val="000000"/>
                <w:sz w:val="22"/>
              </w:rPr>
              <w:t>16</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DA1185" w:rsidRDefault="006D574A">
            <w:pPr>
              <w:jc w:val="center"/>
              <w:rPr>
                <w:rFonts w:ascii="宋体" w:eastAsia="宋体" w:hAnsi="宋体" w:cs="宋体"/>
                <w:color w:val="000000"/>
                <w:sz w:val="22"/>
              </w:rPr>
            </w:pPr>
            <w:r>
              <w:rPr>
                <w:rFonts w:ascii="宋体" w:eastAsia="宋体" w:hAnsi="宋体" w:cs="宋体" w:hint="eastAsia"/>
                <w:color w:val="000000"/>
                <w:sz w:val="22"/>
              </w:rPr>
              <w:t>0.2</w:t>
            </w:r>
          </w:p>
        </w:tc>
      </w:tr>
      <w:tr w:rsidR="00DA1185">
        <w:trPr>
          <w:trHeight w:val="417"/>
          <w:jc w:val="center"/>
        </w:trPr>
        <w:tc>
          <w:tcPr>
            <w:tcW w:w="9220" w:type="dxa"/>
            <w:gridSpan w:val="6"/>
            <w:tcBorders>
              <w:top w:val="single" w:sz="4" w:space="0" w:color="000000"/>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r>
      <w:tr w:rsidR="00DA1185">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686" w:type="dxa"/>
            <w:vMerge w:val="restart"/>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因公出国（境）费</w:t>
            </w:r>
          </w:p>
        </w:tc>
        <w:tc>
          <w:tcPr>
            <w:tcW w:w="4695"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公务用车购置及运行费</w:t>
            </w:r>
          </w:p>
        </w:tc>
        <w:tc>
          <w:tcPr>
            <w:tcW w:w="1572" w:type="dxa"/>
            <w:vMerge w:val="restart"/>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公务接待费</w:t>
            </w:r>
          </w:p>
        </w:tc>
      </w:tr>
      <w:tr w:rsidR="00DA1185">
        <w:trPr>
          <w:trHeight w:val="417"/>
          <w:jc w:val="center"/>
        </w:trPr>
        <w:tc>
          <w:tcPr>
            <w:tcW w:w="1267" w:type="dxa"/>
            <w:vMerge/>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公务用车购置费</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公务用车运行费</w:t>
            </w:r>
          </w:p>
        </w:tc>
        <w:tc>
          <w:tcPr>
            <w:tcW w:w="1572" w:type="dxa"/>
            <w:vMerge/>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r>
      <w:tr w:rsidR="00DA1185">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8</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9</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10</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11</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12</w:t>
            </w:r>
          </w:p>
        </w:tc>
      </w:tr>
      <w:tr w:rsidR="00DA1185">
        <w:trPr>
          <w:trHeight w:val="447"/>
          <w:jc w:val="center"/>
        </w:trPr>
        <w:tc>
          <w:tcPr>
            <w:tcW w:w="1267" w:type="dxa"/>
            <w:tcBorders>
              <w:top w:val="nil"/>
              <w:left w:val="single" w:sz="4" w:space="0" w:color="auto"/>
              <w:bottom w:val="single" w:sz="4" w:space="0" w:color="auto"/>
              <w:right w:val="single" w:sz="4" w:space="0" w:color="000000"/>
            </w:tcBorders>
            <w:shd w:val="clear" w:color="auto" w:fill="auto"/>
            <w:tcMar>
              <w:top w:w="15" w:type="dxa"/>
              <w:left w:w="15" w:type="dxa"/>
              <w:right w:w="15" w:type="dxa"/>
            </w:tcMar>
            <w:vAlign w:val="center"/>
          </w:tcPr>
          <w:p w:rsidR="00DA1185" w:rsidRDefault="006D574A">
            <w:pPr>
              <w:jc w:val="center"/>
              <w:rPr>
                <w:rFonts w:ascii="宋体" w:eastAsia="宋体" w:hAnsi="宋体" w:cs="宋体"/>
                <w:color w:val="000000"/>
                <w:sz w:val="22"/>
              </w:rPr>
            </w:pPr>
            <w:r>
              <w:rPr>
                <w:rFonts w:ascii="宋体" w:eastAsia="宋体" w:hAnsi="宋体" w:cs="宋体" w:hint="eastAsia"/>
                <w:color w:val="000000"/>
                <w:sz w:val="22"/>
              </w:rPr>
              <w:t>10.19</w:t>
            </w:r>
          </w:p>
        </w:tc>
        <w:tc>
          <w:tcPr>
            <w:tcW w:w="1686"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565"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DA1185" w:rsidRDefault="006D574A">
            <w:pPr>
              <w:jc w:val="center"/>
              <w:rPr>
                <w:rFonts w:ascii="宋体" w:eastAsia="宋体" w:hAnsi="宋体" w:cs="宋体"/>
                <w:color w:val="000000"/>
                <w:sz w:val="22"/>
              </w:rPr>
            </w:pPr>
            <w:r>
              <w:rPr>
                <w:rFonts w:ascii="宋体" w:eastAsia="宋体" w:hAnsi="宋体" w:cs="宋体" w:hint="eastAsia"/>
                <w:color w:val="000000"/>
                <w:sz w:val="22"/>
              </w:rPr>
              <w:t>10.19</w:t>
            </w:r>
          </w:p>
        </w:tc>
        <w:tc>
          <w:tcPr>
            <w:tcW w:w="1565"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1565"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DA1185" w:rsidRDefault="006D574A">
            <w:pPr>
              <w:jc w:val="center"/>
              <w:rPr>
                <w:rFonts w:ascii="宋体" w:eastAsia="宋体" w:hAnsi="宋体" w:cs="宋体"/>
                <w:color w:val="000000"/>
                <w:sz w:val="22"/>
              </w:rPr>
            </w:pPr>
            <w:r>
              <w:rPr>
                <w:rFonts w:ascii="宋体" w:eastAsia="宋体" w:hAnsi="宋体" w:cs="宋体" w:hint="eastAsia"/>
                <w:color w:val="000000"/>
                <w:sz w:val="22"/>
              </w:rPr>
              <w:t>10.19</w:t>
            </w:r>
          </w:p>
        </w:tc>
        <w:tc>
          <w:tcPr>
            <w:tcW w:w="1572" w:type="dxa"/>
            <w:tcBorders>
              <w:top w:val="nil"/>
              <w:left w:val="nil"/>
              <w:bottom w:val="single" w:sz="4" w:space="0" w:color="auto"/>
              <w:right w:val="single" w:sz="4" w:space="0" w:color="auto"/>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r>
    </w:tbl>
    <w:p w:rsidR="00DA1185" w:rsidRDefault="006D574A">
      <w:r>
        <w:rPr>
          <w:rFonts w:ascii="宋体" w:eastAsia="宋体" w:hAnsi="宋体" w:cs="宋体" w:hint="eastAsia"/>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ascii="仿宋_GB2312" w:eastAsia="仿宋_GB2312" w:hAnsi="仿宋_GB2312" w:cs="仿宋_GB2312" w:hint="eastAsia"/>
        </w:rPr>
        <w:tab/>
      </w:r>
      <w:r>
        <w:tab/>
      </w:r>
      <w:r>
        <w:tab/>
      </w:r>
      <w:r>
        <w:tab/>
      </w:r>
      <w:r>
        <w:tab/>
      </w:r>
      <w:r>
        <w:tab/>
      </w:r>
      <w:r>
        <w:tab/>
      </w:r>
      <w:r>
        <w:tab/>
      </w:r>
      <w:r>
        <w:tab/>
      </w:r>
      <w:r>
        <w:tab/>
      </w:r>
      <w:r>
        <w:tab/>
      </w:r>
      <w:r>
        <w:br w:type="page"/>
      </w:r>
    </w:p>
    <w:tbl>
      <w:tblPr>
        <w:tblW w:w="9510" w:type="dxa"/>
        <w:jc w:val="center"/>
        <w:tblLayout w:type="fixed"/>
        <w:tblCellMar>
          <w:left w:w="0" w:type="dxa"/>
          <w:right w:w="0" w:type="dxa"/>
        </w:tblCellMar>
        <w:tblLook w:val="04A0" w:firstRow="1" w:lastRow="0" w:firstColumn="1" w:lastColumn="0" w:noHBand="0" w:noVBand="1"/>
      </w:tblPr>
      <w:tblGrid>
        <w:gridCol w:w="1020"/>
        <w:gridCol w:w="58"/>
        <w:gridCol w:w="58"/>
        <w:gridCol w:w="1474"/>
        <w:gridCol w:w="1150"/>
        <w:gridCol w:w="1150"/>
        <w:gridCol w:w="1150"/>
        <w:gridCol w:w="1150"/>
        <w:gridCol w:w="1150"/>
        <w:gridCol w:w="1150"/>
      </w:tblGrid>
      <w:tr w:rsidR="00DA1185">
        <w:trPr>
          <w:trHeight w:val="780"/>
          <w:jc w:val="center"/>
        </w:trPr>
        <w:tc>
          <w:tcPr>
            <w:tcW w:w="9510" w:type="dxa"/>
            <w:gridSpan w:val="10"/>
            <w:tcBorders>
              <w:top w:val="nil"/>
              <w:left w:val="nil"/>
              <w:bottom w:val="nil"/>
              <w:right w:val="nil"/>
            </w:tcBorders>
            <w:shd w:val="clear" w:color="auto" w:fill="auto"/>
            <w:tcMar>
              <w:top w:w="15" w:type="dxa"/>
              <w:left w:w="15" w:type="dxa"/>
              <w:right w:w="15" w:type="dxa"/>
            </w:tcMar>
            <w:vAlign w:val="center"/>
          </w:tcPr>
          <w:p w:rsidR="00DA1185" w:rsidRDefault="006D574A">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政府性基金预算财政拨款收入支出决算表</w:t>
            </w:r>
          </w:p>
        </w:tc>
      </w:tr>
      <w:tr w:rsidR="00DA1185">
        <w:trPr>
          <w:trHeight w:val="255"/>
          <w:jc w:val="center"/>
        </w:trPr>
        <w:tc>
          <w:tcPr>
            <w:tcW w:w="1020"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1474"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rsidR="00DA1185" w:rsidRDefault="006D574A">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公开08表</w:t>
            </w:r>
          </w:p>
        </w:tc>
      </w:tr>
      <w:tr w:rsidR="00DA1185">
        <w:trPr>
          <w:trHeight w:val="255"/>
          <w:jc w:val="center"/>
        </w:trPr>
        <w:tc>
          <w:tcPr>
            <w:tcW w:w="1020" w:type="dxa"/>
            <w:tcBorders>
              <w:top w:val="nil"/>
              <w:left w:val="nil"/>
              <w:bottom w:val="nil"/>
              <w:right w:val="nil"/>
            </w:tcBorders>
            <w:shd w:val="clear" w:color="auto" w:fill="auto"/>
            <w:tcMar>
              <w:top w:w="15" w:type="dxa"/>
              <w:left w:w="15" w:type="dxa"/>
              <w:right w:w="15" w:type="dxa"/>
            </w:tcMar>
            <w:vAlign w:val="bottom"/>
          </w:tcPr>
          <w:p w:rsidR="00DA1185" w:rsidRDefault="006D574A">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58"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1474"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rsidR="00DA1185" w:rsidRDefault="006D574A">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DA1185">
        <w:trPr>
          <w:trHeight w:val="308"/>
          <w:jc w:val="center"/>
        </w:trPr>
        <w:tc>
          <w:tcPr>
            <w:tcW w:w="2610"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115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年初结转和结余</w:t>
            </w:r>
          </w:p>
        </w:tc>
        <w:tc>
          <w:tcPr>
            <w:tcW w:w="115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本年收入</w:t>
            </w:r>
          </w:p>
        </w:tc>
        <w:tc>
          <w:tcPr>
            <w:tcW w:w="3450"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c>
          <w:tcPr>
            <w:tcW w:w="115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年末结转和结余</w:t>
            </w:r>
          </w:p>
        </w:tc>
      </w:tr>
      <w:tr w:rsidR="00DA1185">
        <w:trPr>
          <w:trHeight w:val="312"/>
          <w:jc w:val="center"/>
        </w:trPr>
        <w:tc>
          <w:tcPr>
            <w:tcW w:w="1136"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1474"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11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1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11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r>
      <w:tr w:rsidR="00DA1185">
        <w:trPr>
          <w:trHeight w:val="312"/>
          <w:jc w:val="center"/>
        </w:trPr>
        <w:tc>
          <w:tcPr>
            <w:tcW w:w="1136"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147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r>
      <w:tr w:rsidR="00DA1185">
        <w:trPr>
          <w:trHeight w:val="312"/>
          <w:jc w:val="center"/>
        </w:trPr>
        <w:tc>
          <w:tcPr>
            <w:tcW w:w="1136"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147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center"/>
              <w:rPr>
                <w:rFonts w:ascii="宋体" w:eastAsia="宋体" w:hAnsi="宋体" w:cs="宋体"/>
                <w:color w:val="000000"/>
                <w:sz w:val="22"/>
              </w:rPr>
            </w:pPr>
          </w:p>
        </w:tc>
      </w:tr>
      <w:tr w:rsidR="00DA1185">
        <w:trPr>
          <w:trHeight w:val="308"/>
          <w:jc w:val="center"/>
        </w:trPr>
        <w:tc>
          <w:tcPr>
            <w:tcW w:w="2610"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r>
      <w:tr w:rsidR="00DA1185">
        <w:trPr>
          <w:trHeight w:val="308"/>
          <w:jc w:val="center"/>
        </w:trPr>
        <w:tc>
          <w:tcPr>
            <w:tcW w:w="2610"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b/>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b/>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b/>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b/>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b/>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b/>
                <w:color w:val="000000"/>
                <w:sz w:val="22"/>
              </w:rPr>
            </w:pPr>
          </w:p>
        </w:tc>
      </w:tr>
      <w:tr w:rsidR="00DA1185">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left"/>
              <w:rPr>
                <w:rFonts w:ascii="宋体" w:eastAsia="宋体" w:hAnsi="宋体" w:cs="宋体"/>
                <w:color w:val="000000"/>
                <w:sz w:val="22"/>
              </w:rPr>
            </w:pPr>
          </w:p>
        </w:tc>
        <w:tc>
          <w:tcPr>
            <w:tcW w:w="1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lef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left"/>
              <w:rPr>
                <w:rFonts w:ascii="宋体" w:eastAsia="宋体" w:hAnsi="宋体" w:cs="宋体"/>
                <w:color w:val="000000"/>
                <w:sz w:val="22"/>
              </w:rPr>
            </w:pPr>
          </w:p>
        </w:tc>
        <w:tc>
          <w:tcPr>
            <w:tcW w:w="1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lef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left"/>
              <w:rPr>
                <w:rFonts w:ascii="宋体" w:eastAsia="宋体" w:hAnsi="宋体" w:cs="宋体"/>
                <w:color w:val="000000"/>
                <w:sz w:val="22"/>
              </w:rPr>
            </w:pPr>
          </w:p>
        </w:tc>
        <w:tc>
          <w:tcPr>
            <w:tcW w:w="1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lef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left"/>
              <w:rPr>
                <w:rFonts w:ascii="宋体" w:eastAsia="宋体" w:hAnsi="宋体" w:cs="宋体"/>
                <w:color w:val="000000"/>
                <w:sz w:val="22"/>
              </w:rPr>
            </w:pPr>
          </w:p>
        </w:tc>
        <w:tc>
          <w:tcPr>
            <w:tcW w:w="1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lef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left"/>
              <w:rPr>
                <w:rFonts w:ascii="宋体" w:eastAsia="宋体" w:hAnsi="宋体" w:cs="宋体"/>
                <w:color w:val="000000"/>
                <w:sz w:val="22"/>
              </w:rPr>
            </w:pPr>
          </w:p>
        </w:tc>
        <w:tc>
          <w:tcPr>
            <w:tcW w:w="1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lef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bl>
    <w:p w:rsidR="00DA1185" w:rsidRDefault="006D574A">
      <w:pPr>
        <w:rPr>
          <w:rFonts w:ascii="宋体" w:eastAsia="宋体" w:hAnsi="宋体" w:cs="宋体"/>
        </w:rPr>
      </w:pPr>
      <w:r>
        <w:rPr>
          <w:rFonts w:ascii="宋体" w:eastAsia="宋体" w:hAnsi="宋体" w:cs="宋体" w:hint="eastAsia"/>
        </w:rPr>
        <w:t>注：政府性基金预算财政拨款收入支出无，08</w:t>
      </w:r>
      <w:proofErr w:type="gramStart"/>
      <w:r>
        <w:rPr>
          <w:rFonts w:ascii="宋体" w:eastAsia="宋体" w:hAnsi="宋体" w:cs="宋体" w:hint="eastAsia"/>
        </w:rPr>
        <w:t>表空表列示</w:t>
      </w:r>
      <w:proofErr w:type="gramEnd"/>
      <w:r>
        <w:rPr>
          <w:rFonts w:ascii="宋体" w:eastAsia="宋体" w:hAnsi="宋体" w:cs="宋体" w:hint="eastAsia"/>
        </w:rPr>
        <w:t>.</w:t>
      </w:r>
    </w:p>
    <w:p w:rsidR="00DA1185" w:rsidRDefault="00DA1185">
      <w:pPr>
        <w:rPr>
          <w:rFonts w:ascii="宋体" w:eastAsia="宋体" w:hAnsi="宋体" w:cs="宋体"/>
        </w:rPr>
      </w:pPr>
    </w:p>
    <w:p w:rsidR="00DA1185" w:rsidRDefault="00DA1185">
      <w:pPr>
        <w:rPr>
          <w:rFonts w:ascii="宋体" w:eastAsia="宋体" w:hAnsi="宋体" w:cs="宋体"/>
        </w:rPr>
      </w:pPr>
    </w:p>
    <w:p w:rsidR="00DA1185" w:rsidRDefault="00DA1185">
      <w:pPr>
        <w:rPr>
          <w:rFonts w:ascii="宋体" w:eastAsia="宋体" w:hAnsi="宋体" w:cs="宋体"/>
        </w:rPr>
      </w:pPr>
    </w:p>
    <w:p w:rsidR="00DA1185" w:rsidRDefault="00DA1185">
      <w:pPr>
        <w:rPr>
          <w:rFonts w:ascii="宋体" w:eastAsia="宋体" w:hAnsi="宋体" w:cs="宋体"/>
        </w:rPr>
      </w:pPr>
    </w:p>
    <w:p w:rsidR="00DA1185" w:rsidRDefault="00DA1185">
      <w:pPr>
        <w:rPr>
          <w:rFonts w:ascii="宋体" w:eastAsia="宋体" w:hAnsi="宋体" w:cs="宋体"/>
        </w:rPr>
      </w:pPr>
    </w:p>
    <w:p w:rsidR="00DA1185" w:rsidRDefault="00DA1185">
      <w:pPr>
        <w:rPr>
          <w:rFonts w:ascii="宋体" w:eastAsia="宋体" w:hAnsi="宋体" w:cs="宋体"/>
        </w:rPr>
      </w:pPr>
    </w:p>
    <w:p w:rsidR="00DA1185" w:rsidRDefault="00DA1185">
      <w:pPr>
        <w:rPr>
          <w:rFonts w:ascii="宋体" w:eastAsia="宋体" w:hAnsi="宋体" w:cs="宋体"/>
        </w:rPr>
      </w:pPr>
    </w:p>
    <w:p w:rsidR="00DA1185" w:rsidRDefault="00DA1185">
      <w:pPr>
        <w:rPr>
          <w:rFonts w:ascii="宋体" w:eastAsia="宋体" w:hAnsi="宋体" w:cs="宋体"/>
        </w:rPr>
      </w:pPr>
    </w:p>
    <w:p w:rsidR="00DA1185" w:rsidRDefault="00DA1185">
      <w:pPr>
        <w:rPr>
          <w:rFonts w:ascii="宋体" w:eastAsia="宋体" w:hAnsi="宋体" w:cs="宋体"/>
        </w:rPr>
      </w:pPr>
    </w:p>
    <w:p w:rsidR="00DA1185" w:rsidRDefault="00DA1185">
      <w:pPr>
        <w:rPr>
          <w:rFonts w:ascii="宋体" w:eastAsia="宋体" w:hAnsi="宋体" w:cs="宋体"/>
        </w:rPr>
      </w:pPr>
    </w:p>
    <w:p w:rsidR="00DA1185" w:rsidRDefault="00DA1185">
      <w:pPr>
        <w:rPr>
          <w:rFonts w:ascii="宋体" w:eastAsia="宋体" w:hAnsi="宋体" w:cs="宋体"/>
        </w:rPr>
      </w:pPr>
    </w:p>
    <w:p w:rsidR="00DA1185" w:rsidRDefault="00DA1185">
      <w:pPr>
        <w:rPr>
          <w:rFonts w:ascii="宋体" w:eastAsia="宋体" w:hAnsi="宋体" w:cs="宋体"/>
        </w:rPr>
      </w:pPr>
    </w:p>
    <w:p w:rsidR="00DA1185" w:rsidRDefault="00DA1185">
      <w:pPr>
        <w:rPr>
          <w:rFonts w:ascii="宋体" w:eastAsia="宋体" w:hAnsi="宋体" w:cs="宋体"/>
        </w:rPr>
      </w:pPr>
    </w:p>
    <w:p w:rsidR="00DA1185" w:rsidRDefault="00DA1185">
      <w:pPr>
        <w:rPr>
          <w:rFonts w:ascii="宋体" w:eastAsia="宋体" w:hAnsi="宋体" w:cs="宋体"/>
        </w:rPr>
      </w:pPr>
    </w:p>
    <w:p w:rsidR="00DA1185" w:rsidRDefault="00DA1185">
      <w:pPr>
        <w:rPr>
          <w:rFonts w:ascii="宋体" w:eastAsia="宋体" w:hAnsi="宋体" w:cs="宋体"/>
        </w:rPr>
      </w:pPr>
    </w:p>
    <w:p w:rsidR="00DA1185" w:rsidRDefault="00DA1185">
      <w:pPr>
        <w:rPr>
          <w:rFonts w:ascii="宋体" w:eastAsia="宋体" w:hAnsi="宋体" w:cs="宋体"/>
        </w:rPr>
      </w:pPr>
    </w:p>
    <w:p w:rsidR="00DA1185" w:rsidRDefault="00DA1185">
      <w:pPr>
        <w:rPr>
          <w:rFonts w:ascii="宋体" w:eastAsia="宋体" w:hAnsi="宋体" w:cs="宋体"/>
        </w:rPr>
      </w:pPr>
    </w:p>
    <w:p w:rsidR="00DA1185" w:rsidRDefault="00DA1185">
      <w:pPr>
        <w:rPr>
          <w:rFonts w:ascii="宋体" w:eastAsia="宋体" w:hAnsi="宋体" w:cs="宋体"/>
        </w:rPr>
      </w:pPr>
    </w:p>
    <w:p w:rsidR="00DA1185" w:rsidRDefault="00DA1185">
      <w:pPr>
        <w:rPr>
          <w:rFonts w:ascii="宋体" w:eastAsia="宋体" w:hAnsi="宋体" w:cs="宋体"/>
        </w:rPr>
      </w:pPr>
    </w:p>
    <w:p w:rsidR="00DA1185" w:rsidRDefault="00DA1185">
      <w:pPr>
        <w:rPr>
          <w:rFonts w:ascii="宋体" w:eastAsia="宋体" w:hAnsi="宋体" w:cs="宋体"/>
        </w:rPr>
      </w:pPr>
    </w:p>
    <w:p w:rsidR="00DA1185" w:rsidRDefault="00DA1185">
      <w:pPr>
        <w:rPr>
          <w:rFonts w:ascii="宋体" w:eastAsia="宋体" w:hAnsi="宋体" w:cs="宋体"/>
        </w:rPr>
      </w:pPr>
    </w:p>
    <w:p w:rsidR="00DA1185" w:rsidRDefault="00DA1185">
      <w:pPr>
        <w:rPr>
          <w:rFonts w:ascii="宋体" w:eastAsia="宋体" w:hAnsi="宋体" w:cs="宋体"/>
        </w:rPr>
      </w:pPr>
    </w:p>
    <w:p w:rsidR="00DA1185" w:rsidRDefault="00DA1185">
      <w:pPr>
        <w:rPr>
          <w:rFonts w:ascii="宋体" w:eastAsia="宋体" w:hAnsi="宋体" w:cs="宋体"/>
        </w:rPr>
      </w:pPr>
    </w:p>
    <w:p w:rsidR="00DA1185" w:rsidRDefault="00DA1185">
      <w:pPr>
        <w:rPr>
          <w:rFonts w:ascii="宋体" w:eastAsia="宋体" w:hAnsi="宋体" w:cs="宋体"/>
        </w:rPr>
      </w:pPr>
    </w:p>
    <w:p w:rsidR="00DA1185" w:rsidRDefault="00DA1185">
      <w:pPr>
        <w:rPr>
          <w:rFonts w:ascii="宋体" w:eastAsia="宋体" w:hAnsi="宋体" w:cs="宋体"/>
        </w:rPr>
      </w:pPr>
    </w:p>
    <w:p w:rsidR="00DA1185" w:rsidRDefault="00DA1185">
      <w:pPr>
        <w:rPr>
          <w:rFonts w:ascii="宋体" w:eastAsia="宋体" w:hAnsi="宋体" w:cs="宋体"/>
        </w:rPr>
      </w:pPr>
    </w:p>
    <w:tbl>
      <w:tblPr>
        <w:tblW w:w="9915" w:type="dxa"/>
        <w:jc w:val="center"/>
        <w:tblLayout w:type="fixed"/>
        <w:tblCellMar>
          <w:left w:w="0" w:type="dxa"/>
          <w:right w:w="0" w:type="dxa"/>
        </w:tblCellMar>
        <w:tblLook w:val="04A0" w:firstRow="1" w:lastRow="0" w:firstColumn="1" w:lastColumn="0" w:noHBand="0" w:noVBand="1"/>
      </w:tblPr>
      <w:tblGrid>
        <w:gridCol w:w="1288"/>
        <w:gridCol w:w="74"/>
        <w:gridCol w:w="74"/>
        <w:gridCol w:w="3798"/>
        <w:gridCol w:w="961"/>
        <w:gridCol w:w="1860"/>
        <w:gridCol w:w="1860"/>
      </w:tblGrid>
      <w:tr w:rsidR="00DA1185">
        <w:trPr>
          <w:trHeight w:val="840"/>
          <w:jc w:val="center"/>
        </w:trPr>
        <w:tc>
          <w:tcPr>
            <w:tcW w:w="9915" w:type="dxa"/>
            <w:gridSpan w:val="7"/>
            <w:tcBorders>
              <w:top w:val="nil"/>
              <w:left w:val="nil"/>
              <w:bottom w:val="nil"/>
              <w:right w:val="nil"/>
            </w:tcBorders>
            <w:shd w:val="clear" w:color="auto" w:fill="auto"/>
            <w:tcMar>
              <w:top w:w="15" w:type="dxa"/>
              <w:left w:w="15" w:type="dxa"/>
              <w:right w:w="15" w:type="dxa"/>
            </w:tcMar>
            <w:vAlign w:val="center"/>
          </w:tcPr>
          <w:p w:rsidR="00DA1185" w:rsidRDefault="006D574A">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国有资本经营预算财政拨款支出决算表</w:t>
            </w:r>
          </w:p>
        </w:tc>
      </w:tr>
      <w:tr w:rsidR="00DA1185">
        <w:trPr>
          <w:trHeight w:val="255"/>
          <w:jc w:val="center"/>
        </w:trPr>
        <w:tc>
          <w:tcPr>
            <w:tcW w:w="1288"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rsidR="00DA1185" w:rsidRDefault="006D574A">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公开09表</w:t>
            </w:r>
          </w:p>
        </w:tc>
      </w:tr>
      <w:tr w:rsidR="00DA1185">
        <w:trPr>
          <w:trHeight w:val="255"/>
          <w:jc w:val="center"/>
        </w:trPr>
        <w:tc>
          <w:tcPr>
            <w:tcW w:w="1288" w:type="dxa"/>
            <w:tcBorders>
              <w:top w:val="nil"/>
              <w:left w:val="nil"/>
              <w:bottom w:val="nil"/>
              <w:right w:val="nil"/>
            </w:tcBorders>
            <w:shd w:val="clear" w:color="auto" w:fill="auto"/>
            <w:tcMar>
              <w:top w:w="15" w:type="dxa"/>
              <w:left w:w="15" w:type="dxa"/>
              <w:right w:w="15" w:type="dxa"/>
            </w:tcMar>
            <w:vAlign w:val="bottom"/>
          </w:tcPr>
          <w:p w:rsidR="00DA1185" w:rsidRDefault="006D574A">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74"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rsidR="00DA1185" w:rsidRDefault="00DA1185">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rsidR="00DA1185" w:rsidRDefault="006D574A">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DA1185">
        <w:trPr>
          <w:trHeight w:val="308"/>
          <w:jc w:val="center"/>
        </w:trPr>
        <w:tc>
          <w:tcPr>
            <w:tcW w:w="5234"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w:t>
            </w:r>
          </w:p>
        </w:tc>
        <w:tc>
          <w:tcPr>
            <w:tcW w:w="4681"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r>
      <w:tr w:rsidR="00DA1185">
        <w:trPr>
          <w:trHeight w:val="615"/>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r>
      <w:tr w:rsidR="00DA1185">
        <w:trPr>
          <w:trHeight w:val="308"/>
          <w:jc w:val="center"/>
        </w:trPr>
        <w:tc>
          <w:tcPr>
            <w:tcW w:w="5234"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r>
      <w:tr w:rsidR="00DA1185">
        <w:trPr>
          <w:trHeight w:val="308"/>
          <w:jc w:val="center"/>
        </w:trPr>
        <w:tc>
          <w:tcPr>
            <w:tcW w:w="5234"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6D574A">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b/>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b/>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b/>
                <w:color w:val="000000"/>
                <w:sz w:val="22"/>
              </w:rPr>
            </w:pPr>
          </w:p>
        </w:tc>
      </w:tr>
      <w:tr w:rsidR="00DA1185">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r w:rsidR="00DA1185">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1185" w:rsidRDefault="00DA1185">
            <w:pPr>
              <w:jc w:val="right"/>
              <w:rPr>
                <w:rFonts w:ascii="宋体" w:eastAsia="宋体" w:hAnsi="宋体" w:cs="宋体"/>
                <w:color w:val="000000"/>
                <w:sz w:val="22"/>
              </w:rPr>
            </w:pPr>
          </w:p>
        </w:tc>
      </w:tr>
    </w:tbl>
    <w:p w:rsidR="00DA1185" w:rsidRDefault="006D574A">
      <w:r>
        <w:rPr>
          <w:rFonts w:ascii="宋体" w:eastAsia="宋体" w:hAnsi="宋体" w:cs="宋体" w:hint="eastAsia"/>
        </w:rPr>
        <w:t>注：国有资本经营预算财政拨款支出无，09</w:t>
      </w:r>
      <w:proofErr w:type="gramStart"/>
      <w:r>
        <w:rPr>
          <w:rFonts w:ascii="宋体" w:eastAsia="宋体" w:hAnsi="宋体" w:cs="宋体" w:hint="eastAsia"/>
        </w:rPr>
        <w:t>表空表列示</w:t>
      </w:r>
      <w:proofErr w:type="gramEnd"/>
      <w:r>
        <w:rPr>
          <w:rFonts w:ascii="宋体" w:eastAsia="宋体" w:hAnsi="宋体" w:cs="宋体" w:hint="eastAsia"/>
        </w:rPr>
        <w:t>。</w:t>
      </w:r>
      <w:r>
        <w:rPr>
          <w:rFonts w:ascii="宋体" w:eastAsia="宋体" w:hAnsi="宋体" w:cs="宋体" w:hint="eastAsia"/>
        </w:rPr>
        <w:br w:type="page"/>
      </w:r>
      <w:r>
        <w:rPr>
          <w:rFonts w:ascii="仿宋_GB2312" w:eastAsia="仿宋_GB2312" w:hAnsi="Times New Roman" w:cs="DengXian-Regular" w:hint="eastAsia"/>
          <w:sz w:val="32"/>
          <w:szCs w:val="32"/>
        </w:rPr>
        <w:lastRenderedPageBreak/>
        <w:t>国有资本经营预算财政拨款支出无，09</w:t>
      </w:r>
      <w:proofErr w:type="gramStart"/>
      <w:r>
        <w:rPr>
          <w:rFonts w:ascii="仿宋_GB2312" w:eastAsia="仿宋_GB2312" w:hAnsi="Times New Roman" w:cs="DengXian-Regular" w:hint="eastAsia"/>
          <w:sz w:val="32"/>
          <w:szCs w:val="32"/>
        </w:rPr>
        <w:t>表空表列示</w:t>
      </w:r>
      <w:proofErr w:type="gramEnd"/>
      <w:r>
        <w:rPr>
          <w:rFonts w:ascii="仿宋_GB2312" w:eastAsia="仿宋_GB2312" w:hAnsi="Times New Roman" w:cs="DengXian-Regular" w:hint="eastAsia"/>
          <w:sz w:val="32"/>
          <w:szCs w:val="32"/>
        </w:rPr>
        <w:t>。</w:t>
      </w:r>
    </w:p>
    <w:p w:rsidR="00DA1185" w:rsidRDefault="00E81DD1">
      <w:r>
        <w:pict>
          <v:rect id="_x0000_s1027" style="position:absolute;left:0;text-align:left;margin-left:-70.5pt;margin-top:-85.25pt;width:595.1pt;height:841.15pt;z-index:251687936;v-text-anchor:middle"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Agm8tf3QAAAA8BAAAPAAAAAAAAAAEAIAAA&#10;ACIAAABkcnMvZG93bnJldi54bWxQSwECFAAUAAAACACHTuJACmAlp3kCAADaBAAADgAAAAAAAAAB&#10;ACAAAAAsAQAAZHJzL2Uyb0RvYy54bWxQSwUGAAAAAAYABgBZAQAAFwYAAAAA&#10;" fillcolor="#ffc000" stroked="f" strokeweight="1pt"/>
        </w:pict>
      </w:r>
    </w:p>
    <w:sectPr w:rsidR="00DA1185" w:rsidSect="00DA1185">
      <w:headerReference w:type="default" r:id="rId40"/>
      <w:footerReference w:type="default" r:id="rId41"/>
      <w:headerReference w:type="first" r:id="rId42"/>
      <w:pgSz w:w="11906" w:h="16838"/>
      <w:pgMar w:top="1701" w:right="1417" w:bottom="1281" w:left="1417" w:header="851" w:footer="992" w:gutter="0"/>
      <w:pgNumType w:fmt="numberInDash"/>
      <w:cols w:space="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D574A" w:rsidRDefault="006D574A" w:rsidP="00DA1185">
      <w:r>
        <w:separator/>
      </w:r>
    </w:p>
  </w:endnote>
  <w:endnote w:type="continuationSeparator" w:id="0">
    <w:p w:rsidR="006D574A" w:rsidRDefault="006D574A" w:rsidP="00DA11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等线">
    <w:altName w:val="Arial Unicode MS"/>
    <w:charset w:val="86"/>
    <w:family w:val="auto"/>
    <w:pitch w:val="default"/>
    <w:sig w:usb0="00000000" w:usb1="38CF7CFA" w:usb2="00000016" w:usb3="00000000" w:csb0="0004000F" w:csb1="00000000"/>
  </w:font>
  <w:font w:name="仿宋_GB2312">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楷体_GB2312">
    <w:panose1 w:val="02010609030101010101"/>
    <w:charset w:val="86"/>
    <w:family w:val="modern"/>
    <w:pitch w:val="fixed"/>
    <w:sig w:usb0="00000001" w:usb1="080E0000" w:usb2="00000010" w:usb3="00000000" w:csb0="00040000" w:csb1="00000000"/>
  </w:font>
  <w:font w:name="Yu Gothic UI Semibold">
    <w:altName w:val="Arial Unicode MS"/>
    <w:charset w:val="80"/>
    <w:family w:val="swiss"/>
    <w:pitch w:val="default"/>
    <w:sig w:usb0="00000000" w:usb1="2AC7FDFF" w:usb2="00000016" w:usb3="00000000" w:csb0="2002009F" w:csb1="00000000"/>
  </w:font>
  <w:font w:name="思源黑体 HW Bold">
    <w:altName w:val="黑体"/>
    <w:charset w:val="86"/>
    <w:family w:val="swiss"/>
    <w:pitch w:val="default"/>
    <w:sig w:usb0="00000000" w:usb1="00000000" w:usb2="00000016" w:usb3="00000000" w:csb0="002E0107" w:csb1="00000000"/>
  </w:font>
  <w:font w:name="黑体">
    <w:altName w:val="SimHei"/>
    <w:panose1 w:val="02010600030101010101"/>
    <w:charset w:val="86"/>
    <w:family w:val="auto"/>
    <w:pitch w:val="variable"/>
    <w:sig w:usb0="00000001" w:usb1="080E0000" w:usb2="00000010" w:usb3="00000000" w:csb0="00040000" w:csb1="00000000"/>
  </w:font>
  <w:font w:name="ArialUnicodeMS">
    <w:altName w:val="Malgun Gothic"/>
    <w:charset w:val="81"/>
    <w:family w:val="auto"/>
    <w:pitch w:val="default"/>
    <w:sig w:usb0="00000000" w:usb1="00000000" w:usb2="00000010" w:usb3="00000000" w:csb0="00080001"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DengXian-Regular">
    <w:altName w:val="宋体"/>
    <w:charset w:val="86"/>
    <w:family w:val="auto"/>
    <w:pitch w:val="default"/>
    <w:sig w:usb0="00000000" w:usb1="00000000" w:usb2="00000010" w:usb3="00000000" w:csb0="00040001" w:csb1="00000000"/>
  </w:font>
  <w:font w:name="DengXian-Bold">
    <w:altName w:val="宋体"/>
    <w:charset w:val="86"/>
    <w:family w:val="auto"/>
    <w:pitch w:val="default"/>
    <w:sig w:usb0="00000000" w:usb1="00000000" w:usb2="00000010" w:usb3="00000000" w:csb0="00040001" w:csb1="00000000"/>
  </w:font>
  <w:font w:name="TimesNewRomanPSMT">
    <w:altName w:val="Arial"/>
    <w:charset w:val="00"/>
    <w:family w:val="swiss"/>
    <w:pitch w:val="default"/>
    <w:sig w:usb0="00000000" w:usb1="00000000" w:usb2="00000000" w:usb3="00000000" w:csb0="00000001" w:csb1="00000000"/>
  </w:font>
  <w:font w:name="MS-UIGothic,Bold">
    <w:altName w:val="Malgun Gothic"/>
    <w:charset w:val="81"/>
    <w:family w:val="auto"/>
    <w:pitch w:val="default"/>
    <w:sig w:usb0="00000000" w:usb1="00000000" w:usb2="00000010" w:usb3="00000000" w:csb0="00080000" w:csb1="00000000"/>
  </w:font>
  <w:font w:name="Arial">
    <w:panose1 w:val="020B0604020202020204"/>
    <w:charset w:val="00"/>
    <w:family w:val="swiss"/>
    <w:pitch w:val="variable"/>
    <w:sig w:usb0="20002A87" w:usb1="80000000" w:usb2="00000008" w:usb3="00000000" w:csb0="000001FF" w:csb1="00000000"/>
  </w:font>
  <w:font w:name="等线 Light">
    <w:altName w:val="宋体"/>
    <w:panose1 w:val="00000000000000000000"/>
    <w:charset w:val="86"/>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07BA" w:rsidRDefault="00B307BA">
    <w:pPr>
      <w:pStyle w:val="a5"/>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1185" w:rsidRDefault="00E81DD1">
    <w:pPr>
      <w:pStyle w:val="a5"/>
    </w:pPr>
    <w:r>
      <w:pict>
        <v:shapetype id="_x0000_t202" coordsize="21600,21600" o:spt="202" path="m,l,21600r21600,l21600,xe">
          <v:stroke joinstyle="miter"/>
          <v:path gradientshapeok="t" o:connecttype="rect"/>
        </v:shapetype>
        <v:shape id="_x0000_s2072" type="#_x0000_t202" style="position:absolute;margin-left:205.45pt;margin-top:-18.75pt;width:30.15pt;height:31.45pt;z-index:251678720;mso-position-horizontal-relative:margin"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filled="f" stroked="f" strokeweight=".5pt">
          <v:textbox inset="0,0,0,0">
            <w:txbxContent>
              <w:p w:rsidR="00DA1185" w:rsidRDefault="00DA1185">
                <w:pPr>
                  <w:pStyle w:val="a5"/>
                  <w:rPr>
                    <w:rFonts w:ascii="Times New Roman" w:hAnsi="Times New Roman" w:cs="Times New Roman"/>
                    <w:sz w:val="24"/>
                    <w:szCs w:val="24"/>
                  </w:rPr>
                </w:pPr>
                <w:r>
                  <w:rPr>
                    <w:rFonts w:ascii="Times New Roman" w:hAnsi="Times New Roman" w:cs="Times New Roman"/>
                    <w:sz w:val="24"/>
                    <w:szCs w:val="24"/>
                  </w:rPr>
                  <w:fldChar w:fldCharType="begin"/>
                </w:r>
                <w:r w:rsidR="006D574A">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E81DD1">
                  <w:rPr>
                    <w:rFonts w:ascii="Times New Roman" w:hAnsi="Times New Roman" w:cs="Times New Roman"/>
                    <w:noProof/>
                    <w:sz w:val="24"/>
                    <w:szCs w:val="24"/>
                  </w:rPr>
                  <w:t>- 23 -</w:t>
                </w:r>
                <w:r>
                  <w:rPr>
                    <w:rFonts w:ascii="Times New Roman" w:hAnsi="Times New Roman" w:cs="Times New Roman"/>
                    <w:sz w:val="24"/>
                    <w:szCs w:val="24"/>
                  </w:rPr>
                  <w:fldChar w:fldCharType="end"/>
                </w:r>
              </w:p>
            </w:txbxContent>
          </v:textbox>
          <w10:wrap anchorx="margin"/>
        </v:shape>
      </w:pic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1185" w:rsidRDefault="00E81DD1">
    <w:pPr>
      <w:pStyle w:val="a5"/>
    </w:pPr>
    <w:r>
      <w:pict>
        <v:shapetype id="_x0000_t202" coordsize="21600,21600" o:spt="202" path="m,l,21600r21600,l21600,xe">
          <v:stroke joinstyle="miter"/>
          <v:path gradientshapeok="t" o:connecttype="rect"/>
        </v:shapetype>
        <v:shape id="_x0000_s2049" type="#_x0000_t202" style="position:absolute;margin-left:209.15pt;margin-top:-6pt;width:2in;height:18.7pt;z-index:251681792;mso-wrap-style:none;mso-position-horizontal-relative:margin"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filled="f" stroked="f" strokeweight=".5pt">
          <v:textbox inset="0,0,0,0">
            <w:txbxContent>
              <w:p w:rsidR="00DA1185" w:rsidRDefault="00DA1185">
                <w:pPr>
                  <w:pStyle w:val="a5"/>
                  <w:rPr>
                    <w:rFonts w:ascii="Times New Roman" w:hAnsi="Times New Roman" w:cs="Times New Roman"/>
                    <w:sz w:val="24"/>
                    <w:szCs w:val="24"/>
                  </w:rPr>
                </w:pPr>
                <w:r>
                  <w:rPr>
                    <w:rFonts w:ascii="Times New Roman" w:hAnsi="Times New Roman" w:cs="Times New Roman"/>
                    <w:sz w:val="24"/>
                    <w:szCs w:val="24"/>
                  </w:rPr>
                  <w:fldChar w:fldCharType="begin"/>
                </w:r>
                <w:r w:rsidR="006D574A">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E81DD1">
                  <w:rPr>
                    <w:rFonts w:ascii="Times New Roman" w:hAnsi="Times New Roman" w:cs="Times New Roman"/>
                    <w:noProof/>
                    <w:sz w:val="24"/>
                    <w:szCs w:val="24"/>
                  </w:rPr>
                  <w:t>- 41 -</w:t>
                </w:r>
                <w:r>
                  <w:rPr>
                    <w:rFonts w:ascii="Times New Roman" w:hAnsi="Times New Roman" w:cs="Times New Roman"/>
                    <w:sz w:val="24"/>
                    <w:szCs w:val="24"/>
                  </w:rPr>
                  <w:fldChar w:fldCharType="end"/>
                </w:r>
              </w:p>
            </w:txbxContent>
          </v:textbox>
          <w10:wrap anchorx="margin"/>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07BA" w:rsidRDefault="00B307BA">
    <w:pPr>
      <w:pStyle w:val="a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07BA" w:rsidRDefault="00B307BA">
    <w:pPr>
      <w:pStyle w:val="a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1185" w:rsidRDefault="00DA1185">
    <w:pPr>
      <w:pStyle w:val="a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1185" w:rsidRDefault="00DA1185">
    <w:pPr>
      <w:pStyle w:val="a5"/>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1185" w:rsidRDefault="00DA1185">
    <w:pPr>
      <w:pStyle w:val="a5"/>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1185" w:rsidRDefault="00E81DD1">
    <w:pPr>
      <w:pStyle w:val="a5"/>
    </w:pPr>
    <w:r>
      <w:pict>
        <v:shapetype id="_x0000_t202" coordsize="21600,21600" o:spt="202" path="m,l,21600r21600,l21600,xe">
          <v:stroke joinstyle="miter"/>
          <v:path gradientshapeok="t" o:connecttype="rect"/>
        </v:shapetype>
        <v:shape id="_x0000_s2080" type="#_x0000_t202" style="position:absolute;margin-left:209.65pt;margin-top:-12.95pt;width:30.6pt;height:14.3pt;z-index:251675648;mso-position-horizontal-relative:margin"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filled="f" stroked="f" strokeweight=".5pt">
          <v:textbox inset="0,0,0,0">
            <w:txbxContent>
              <w:p w:rsidR="00DA1185" w:rsidRDefault="00DA1185">
                <w:pPr>
                  <w:pStyle w:val="a5"/>
                  <w:jc w:val="center"/>
                  <w:rPr>
                    <w:rFonts w:ascii="Times New Roman" w:hAnsi="Times New Roman" w:cs="Times New Roman"/>
                    <w:sz w:val="24"/>
                    <w:szCs w:val="24"/>
                  </w:rPr>
                </w:pPr>
                <w:r>
                  <w:rPr>
                    <w:rFonts w:ascii="Times New Roman" w:hAnsi="Times New Roman" w:cs="Times New Roman"/>
                    <w:sz w:val="24"/>
                    <w:szCs w:val="24"/>
                  </w:rPr>
                  <w:fldChar w:fldCharType="begin"/>
                </w:r>
                <w:r w:rsidR="006D574A">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E81DD1">
                  <w:rPr>
                    <w:rFonts w:ascii="Times New Roman" w:hAnsi="Times New Roman" w:cs="Times New Roman"/>
                    <w:noProof/>
                    <w:sz w:val="24"/>
                    <w:szCs w:val="24"/>
                  </w:rPr>
                  <w:t>8</w:t>
                </w:r>
                <w:r>
                  <w:rPr>
                    <w:rFonts w:ascii="Times New Roman" w:hAnsi="Times New Roman" w:cs="Times New Roman"/>
                    <w:sz w:val="24"/>
                    <w:szCs w:val="24"/>
                  </w:rPr>
                  <w:fldChar w:fldCharType="end"/>
                </w:r>
              </w:p>
            </w:txbxContent>
          </v:textbox>
          <w10:wrap anchorx="margin"/>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1185" w:rsidRDefault="00E81DD1">
    <w:pPr>
      <w:pStyle w:val="a5"/>
    </w:pPr>
    <w:r>
      <w:pict>
        <v:shapetype id="_x0000_t202" coordsize="21600,21600" o:spt="202" path="m,l,21600r21600,l21600,xe">
          <v:stroke joinstyle="miter"/>
          <v:path gradientshapeok="t" o:connecttype="rect"/>
        </v:shapetype>
        <v:shape id="_x0000_s2088" type="#_x0000_t202" style="position:absolute;margin-left:206.55pt;margin-top:-22.45pt;width:34pt;height:35.15pt;z-index:251676672;mso-position-horizontal-relative:margin"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filled="f" stroked="f" strokeweight=".5pt">
          <v:textbox inset="0,0,0,0">
            <w:txbxContent>
              <w:p w:rsidR="00DA1185" w:rsidRDefault="00DA1185">
                <w:pPr>
                  <w:pStyle w:val="a5"/>
                  <w:jc w:val="center"/>
                  <w:rPr>
                    <w:rFonts w:ascii="Times New Roman" w:hAnsi="Times New Roman" w:cs="Times New Roman"/>
                    <w:sz w:val="24"/>
                    <w:szCs w:val="24"/>
                  </w:rPr>
                </w:pPr>
                <w:r>
                  <w:rPr>
                    <w:rFonts w:ascii="Times New Roman" w:hAnsi="Times New Roman" w:cs="Times New Roman"/>
                    <w:sz w:val="24"/>
                    <w:szCs w:val="24"/>
                  </w:rPr>
                  <w:fldChar w:fldCharType="begin"/>
                </w:r>
                <w:r w:rsidR="006D574A">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4F4A6A">
                  <w:rPr>
                    <w:rFonts w:ascii="Times New Roman" w:hAnsi="Times New Roman" w:cs="Times New Roman"/>
                    <w:noProof/>
                    <w:sz w:val="24"/>
                    <w:szCs w:val="24"/>
                  </w:rPr>
                  <w:t>- 1 -</w:t>
                </w:r>
                <w:r>
                  <w:rPr>
                    <w:rFonts w:ascii="Times New Roman" w:hAnsi="Times New Roman" w:cs="Times New Roman"/>
                    <w:sz w:val="24"/>
                    <w:szCs w:val="24"/>
                  </w:rPr>
                  <w:fldChar w:fldCharType="end"/>
                </w:r>
              </w:p>
            </w:txbxContent>
          </v:textbox>
          <w10:wrap anchorx="margin"/>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1185" w:rsidRDefault="00E81DD1">
    <w:pPr>
      <w:pStyle w:val="a5"/>
    </w:pPr>
    <w:r>
      <w:pict>
        <v:shapetype id="_x0000_t202" coordsize="21600,21600" o:spt="202" path="m,l,21600r21600,l21600,xe">
          <v:stroke joinstyle="miter"/>
          <v:path gradientshapeok="t" o:connecttype="rect"/>
        </v:shapetype>
        <v:shape id="_x0000_s2064" type="#_x0000_t202" style="position:absolute;margin-left:209.15pt;margin-top:-6pt;width:2in;height:18.7pt;z-index:251677696;mso-wrap-style:none;mso-position-horizontal-relative:margin"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filled="f" stroked="f" strokeweight=".5pt">
          <v:textbox inset="0,0,0,0">
            <w:txbxContent>
              <w:p w:rsidR="00DA1185" w:rsidRDefault="00DA1185">
                <w:pPr>
                  <w:pStyle w:val="a5"/>
                  <w:rPr>
                    <w:rFonts w:ascii="Times New Roman" w:hAnsi="Times New Roman" w:cs="Times New Roman"/>
                    <w:sz w:val="24"/>
                    <w:szCs w:val="24"/>
                  </w:rPr>
                </w:pPr>
                <w:r>
                  <w:rPr>
                    <w:rFonts w:ascii="Times New Roman" w:hAnsi="Times New Roman" w:cs="Times New Roman"/>
                    <w:sz w:val="24"/>
                    <w:szCs w:val="24"/>
                  </w:rPr>
                  <w:fldChar w:fldCharType="begin"/>
                </w:r>
                <w:r w:rsidR="006D574A">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E81DD1">
                  <w:rPr>
                    <w:rFonts w:ascii="Times New Roman" w:hAnsi="Times New Roman" w:cs="Times New Roman"/>
                    <w:noProof/>
                    <w:sz w:val="24"/>
                    <w:szCs w:val="24"/>
                  </w:rPr>
                  <w:t>- 27 -</w:t>
                </w:r>
                <w:r>
                  <w:rPr>
                    <w:rFonts w:ascii="Times New Roman" w:hAnsi="Times New Roman" w:cs="Times New Roman"/>
                    <w:sz w:val="24"/>
                    <w:szCs w:val="24"/>
                  </w:rPr>
                  <w:fldChar w:fldCharType="end"/>
                </w:r>
              </w:p>
            </w:txbxContent>
          </v:textbox>
          <w10:wrap anchorx="margin"/>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D574A" w:rsidRDefault="006D574A" w:rsidP="00DA1185">
      <w:r>
        <w:separator/>
      </w:r>
    </w:p>
  </w:footnote>
  <w:footnote w:type="continuationSeparator" w:id="0">
    <w:p w:rsidR="006D574A" w:rsidRDefault="006D574A" w:rsidP="00DA118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07BA" w:rsidRDefault="00B307BA">
    <w:pPr>
      <w:pStyle w:val="a6"/>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1185" w:rsidRDefault="00E81DD1">
    <w:pPr>
      <w:pStyle w:val="a6"/>
    </w:pPr>
    <w:r>
      <w:pict>
        <v:group id="_x0000_s2068" style="position:absolute;left:0;text-align:left;margin-left:0;margin-top:0;width:594.8pt;height:37.85pt;z-index:251670528;mso-position-horizontal-relative:page;mso-position-vertical-relative:page" coordorigin="8,5" coordsize="119,11792"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v:rect id="矩形 2" o:spid="_x0000_s2071" style="position:absolute;left:8;top:15;width:120;height:1;v-text-anchor:middle"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fillcolor="#ffd966 [1943]" stroked="f" strokeweight="1pt"/>
          <v:shape id="任意多边形 3" o:spid="_x0000_s2070" style="position:absolute;left:101;top:6;width:26;height:9;v-text-anchor:middle" coordsize="2619,862" o:spt="100"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adj="0,,0" path="m595,1l2619,r,862l,862,595,1xe" fillcolor="black [3213]" stroked="f" strokeweight="1pt">
            <v:stroke joinstyle="miter"/>
            <v:formulas/>
            <v:path o:connecttype="segments" o:connectlocs="595,1;2619,0;2619,862;0,862;595,1" o:connectangles="0,0,0,0,0"/>
          </v:shape>
          <v:shape id="任意多边形 4" o:spid="_x0000_s2069" style="position:absolute;left:104;top:5;width:24;height:11;v-text-anchor:middle" coordsize="2619,1265" o:spt="100"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598,0;2345,8;2345,1108;0,1108;598,0" o:connectangles="0,0,0,0,0"/>
          </v:shape>
          <w10:wrap anchorx="page" anchory="page"/>
        </v:group>
      </w:pict>
    </w:r>
    <w:r>
      <w:pict>
        <v:group id="_x0000_s2065" style="position:absolute;left:0;text-align:left;margin-left:-2.15pt;margin-top:47.15pt;width:235.7pt;height:32pt;z-index:251671552;mso-position-horizontal-relative:page;mso-position-vertical-relative:page" coordorigin="13,8" coordsize="31,6402"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v:shapetype id="_x0000_t202" coordsize="21600,21600" o:spt="202" path="m,l,21600r21600,l21600,xe">
            <v:stroke joinstyle="miter"/>
            <v:path gradientshapeok="t" o:connecttype="rect"/>
          </v:shapetype>
          <v:shape id="文本框 6" o:spid="_x0000_s2067" type="#_x0000_t202" style="position:absolute;left:14;top:8;width:30;height:7"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filled="f" stroked="f" strokeweight=".5pt">
            <v:textbox>
              <w:txbxContent>
                <w:p w:rsidR="00DA1185" w:rsidRDefault="006D574A">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 xml:space="preserve">第三部分  </w:t>
                  </w:r>
                  <w:r>
                    <w:rPr>
                      <w:rFonts w:ascii="微软雅黑" w:eastAsia="微软雅黑" w:hAnsi="微软雅黑" w:cs="微软雅黑" w:hint="eastAsia"/>
                      <w:b/>
                      <w:bCs/>
                      <w:sz w:val="32"/>
                      <w:szCs w:val="40"/>
                    </w:rPr>
                    <w:t>名词解释</w:t>
                  </w:r>
                </w:p>
              </w:txbxContent>
            </v:textbox>
          </v:shape>
          <v:rect id="矩形 7" o:spid="_x0000_s2066" style="position:absolute;left:13;top:10;width:1;height:3;v-text-anchor:middle"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fillcolor="black [3213]" stroked="f" strokeweight="1pt"/>
          <w10:wrap anchorx="page" anchory="page"/>
        </v:group>
      </w:pic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1185" w:rsidRDefault="00DA1185">
    <w:pPr>
      <w:pStyle w:val="a6"/>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1185" w:rsidRDefault="00DA1185">
    <w:pPr>
      <w:pStyle w:val="a6"/>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1185" w:rsidRDefault="00E81DD1">
    <w:pPr>
      <w:pStyle w:val="a6"/>
    </w:pPr>
    <w:r>
      <w:pict>
        <v:group id="_x0000_s2053" style="position:absolute;left:0;text-align:left;margin-left:2.5pt;margin-top:28.75pt;width:594.8pt;height:35.25pt;z-index:251682816;mso-position-horizontal-relative:page;mso-position-vertical-relative:page" coordorigin="8,5" coordsize="119,11792"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v:rect id="矩形 2" o:spid="_x0000_s2056" style="position:absolute;left:8;top:15;width:120;height:1;v-text-anchor:middle"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fillcolor="#ffd966 [1943]" stroked="f" strokeweight="1pt"/>
          <v:shape id="任意多边形 3" o:spid="_x0000_s2055" style="position:absolute;left:101;top:6;width:26;height:9;v-text-anchor:middle" coordsize="2619,862" o:spt="100"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54" style="position:absolute;left:104;top:5;width:24;height:11;v-text-anchor:middle" coordsize="2619,1265" o:spt="100"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adj="0,,0" path="m668,l2619,10r,1255l,1265,668,xe" fillcolor="#ffd966 [1943]" stroked="f" strokeweight="1pt">
            <v:stroke joinstyle="miter"/>
            <v:formulas/>
            <v:path o:connecttype="segments" o:connectlocs="598,0;2345,8;2345,1108;0,1108;598,0" o:connectangles="0,0,0,0,0"/>
          </v:shape>
          <w10:wrap anchorx="page" anchory="page"/>
        </v:group>
      </w:pict>
    </w:r>
    <w:r>
      <w:pict>
        <v:group id="_x0000_s2050" style="position:absolute;left:0;text-align:left;margin-left:0;margin-top:29.75pt;width:280pt;height:32pt;z-index:251683840;mso-position-horizontal-relative:page;mso-position-vertical-relative:page" coordorigin="13,8" coordsize="31,6402"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v:shapetype id="_x0000_t202" coordsize="21600,21600" o:spt="202" path="m,l,21600r21600,l21600,xe">
            <v:stroke joinstyle="miter"/>
            <v:path gradientshapeok="t" o:connecttype="rect"/>
          </v:shapetype>
          <v:shape id="文本框 6" o:spid="_x0000_s2052" type="#_x0000_t202" style="position:absolute;left:14;top:8;width:30;height:7"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filled="f" stroked="f" strokeweight=".5pt">
            <v:textbox>
              <w:txbxContent>
                <w:p w:rsidR="00DA1185" w:rsidRDefault="006D574A">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第四部分 2019</w:t>
                  </w:r>
                  <w:r>
                    <w:rPr>
                      <w:rFonts w:ascii="微软雅黑" w:eastAsia="微软雅黑" w:hAnsi="微软雅黑" w:cs="微软雅黑" w:hint="eastAsia"/>
                      <w:b/>
                      <w:bCs/>
                      <w:sz w:val="32"/>
                      <w:szCs w:val="40"/>
                    </w:rPr>
                    <w:t>年度部门决算报表</w:t>
                  </w:r>
                </w:p>
                <w:p w:rsidR="00DA1185" w:rsidRDefault="00DA1185"/>
              </w:txbxContent>
            </v:textbox>
          </v:shape>
          <v:rect id="矩形 7" o:spid="_x0000_s2051" style="position:absolute;left:13;top:10;width:1;height:3;v-text-anchor:middle"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fillcolor="black [3213]" stroked="f" strokeweight="1pt"/>
          <w10:wrap anchorx="page" anchory="page"/>
        </v:group>
      </w:pic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1185" w:rsidRDefault="00E81DD1">
    <w:pPr>
      <w:pStyle w:val="a6"/>
    </w:pPr>
    <w:r>
      <w:pict>
        <v:group id="_x0000_s2060" style="position:absolute;left:0;text-align:left;margin-left:0;margin-top:0;width:596.5pt;height:38.05pt;z-index:251679744;mso-width-percent:1000;mso-position-horizontal-relative:page;mso-position-vertical-relative:page;mso-width-percent:1000" coordorigin="8,5" coordsize="119,11792"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v:rect id="矩形 2" o:spid="_x0000_s2063" style="position:absolute;left:8;top:15;width:120;height:1;v-text-anchor:middle"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fillcolor="#ffd966 [1943]" stroked="f" strokeweight="1pt"/>
          <v:shape id="任意多边形 3" o:spid="_x0000_s2062" style="position:absolute;left:101;top:6;width:26;height:9;v-text-anchor:middle" coordsize="2619,862" o:spt="100"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61" style="position:absolute;left:104;top:5;width:24;height:11;v-text-anchor:middle" coordsize="2619,1265" o:spt="100"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598,0;2345,8;2345,1108;0,1108;598,0" o:connectangles="0,0,0,0,0"/>
          </v:shape>
          <w10:wrap anchorx="page" anchory="page"/>
        </v:group>
      </w:pict>
    </w:r>
    <w:r>
      <w:pict>
        <v:group id="_x0000_s2057" style="position:absolute;left:0;text-align:left;margin-left:0;margin-top:29.75pt;width:254.25pt;height:32pt;z-index:251680768;mso-position-horizontal:left;mso-position-horizontal-relative:page;mso-position-vertical-relative:page" coordorigin="13,8" coordsize="31,6402"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v:shapetype id="_x0000_t202" coordsize="21600,21600" o:spt="202" path="m,l,21600r21600,l21600,xe">
            <v:stroke joinstyle="miter"/>
            <v:path gradientshapeok="t" o:connecttype="rect"/>
          </v:shapetype>
          <v:shape id="文本框 6" o:spid="_x0000_s2059" type="#_x0000_t202" style="position:absolute;left:14;top:8;width:30;height:7"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filled="f" stroked="f" strokeweight=".5pt">
            <v:textbox>
              <w:txbxContent>
                <w:p w:rsidR="00DA1185" w:rsidRDefault="006D574A">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第四部分  2019</w:t>
                  </w:r>
                  <w:r>
                    <w:rPr>
                      <w:rFonts w:ascii="微软雅黑" w:eastAsia="微软雅黑" w:hAnsi="微软雅黑" w:cs="微软雅黑" w:hint="eastAsia"/>
                      <w:b/>
                      <w:bCs/>
                      <w:sz w:val="28"/>
                      <w:szCs w:val="36"/>
                    </w:rPr>
                    <w:t>年度部门决算报表</w:t>
                  </w:r>
                </w:p>
              </w:txbxContent>
            </v:textbox>
          </v:shape>
          <v:rect id="矩形 7" o:spid="_x0000_s2058" style="position:absolute;left:13;top:10;width:1;height:3;v-text-anchor:middle"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fillcolor="black [3213]" stroked="f" strokeweight="1pt"/>
          <w10:wrap anchorx="page" anchory="page"/>
        </v:group>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1185" w:rsidRDefault="00E81DD1">
    <w:pPr>
      <w:pStyle w:val="a6"/>
    </w:pPr>
    <w:r>
      <w:pict>
        <v:group id="_x0000_s2093" style="position:absolute;left:0;text-align:left;margin-left:0;margin-top:29.75pt;width:157.5pt;height:32pt;z-index:251660288;mso-position-horizontal:left;mso-position-horizontal-relative:page;mso-position-vertical-relative:page" coordorigin="13,8" coordsize="31,6402"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v:shapetype id="_x0000_t202" coordsize="21600,21600" o:spt="202" path="m,l,21600r21600,l21600,xe">
            <v:stroke joinstyle="miter"/>
            <v:path gradientshapeok="t" o:connecttype="rect"/>
          </v:shapetype>
          <v:shape id="文本框 6" o:spid="_x0000_s2095" type="#_x0000_t202" style="position:absolute;left:14;top:8;width:30;height:7"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filled="f" stroked="f" strokeweight=".5pt">
            <v:textbox>
              <w:txbxContent>
                <w:p w:rsidR="00DA1185" w:rsidRDefault="006D574A">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20XX 企业业务制定</w:t>
                  </w:r>
                </w:p>
              </w:txbxContent>
            </v:textbox>
          </v:shape>
          <v:rect id="矩形 7" o:spid="_x0000_s2094" style="position:absolute;left:13;top:10;width:1;height:3;v-text-anchor:middle"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fillcolor="black [3213]" stroked="f" strokeweight="1pt"/>
          <w10:wrap anchorx="page" anchory="page"/>
        </v:group>
      </w:pict>
    </w:r>
    <w:r>
      <w:pict>
        <v:group id="_x0000_s2089" style="position:absolute;left:0;text-align:left;margin-left:0;margin-top:0;width:596.5pt;height:58.95pt;z-index:251659264;mso-width-percent:1000;mso-position-horizontal-relative:page;mso-position-vertical-relative:page;mso-width-percent:1000" coordorigin="8,5" coordsize="119,11792"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v:rect id="矩形 2" o:spid="_x0000_s2092" style="position:absolute;left:8;top:15;width:120;height:1;v-text-anchor:middle"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fillcolor="#ffd966 [1943]" stroked="f" strokeweight="1pt"/>
          <v:shape id="任意多边形 3" o:spid="_x0000_s2091" style="position:absolute;left:101;top:6;width:26;height:9;v-text-anchor:middle" coordsize="2619,862" o:spt="100"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90" style="position:absolute;left:104;top:5;width:24;height:11;v-text-anchor:middle" coordsize="2619,1265" o:spt="100"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adj="0,,0" path="m668,l2619,10r,1255l,1265,668,xe" fillcolor="#ffd966 [1943]" stroked="f" strokeweight="1pt">
            <v:stroke joinstyle="miter"/>
            <v:formulas/>
            <v:path o:connecttype="segments" o:connectlocs="598,0;2345,8;2345,1108;0,1108;598,0" o:connectangles="0,0,0,0,0"/>
          </v:shape>
          <w10:wrap anchorx="page" anchory="page"/>
        </v:group>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07BA" w:rsidRDefault="00B307BA">
    <w:pPr>
      <w:pStyle w:val="a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1185" w:rsidRDefault="00DA1185">
    <w:pPr>
      <w:pStyle w:val="a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1185" w:rsidRDefault="00DA1185">
    <w:pPr>
      <w:pStyle w:val="a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1185" w:rsidRDefault="00DA1185">
    <w:pPr>
      <w:pStyle w:val="a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1185" w:rsidRDefault="00DA1185">
    <w:pPr>
      <w:pStyle w:val="a6"/>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1185" w:rsidRDefault="00E81DD1">
    <w:pPr>
      <w:pStyle w:val="a6"/>
    </w:pPr>
    <w:r>
      <w:pict>
        <v:group id="_x0000_s2084" style="position:absolute;left:0;text-align:left;margin-left:0;margin-top:53.75pt;width:594.8pt;height:31.5pt;z-index:251673600;mso-position-horizontal-relative:page;mso-position-vertical-relative:page" coordorigin="8,5" coordsize="119,11792"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v:rect id="矩形 2" o:spid="_x0000_s2087" style="position:absolute;left:8;top:15;width:120;height:1;v-text-anchor:middle"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fillcolor="#ffd966 [1943]" stroked="f" strokeweight="1pt"/>
          <v:shape id="任意多边形 3" o:spid="_x0000_s2086" style="position:absolute;left:101;top:6;width:26;height:9;v-text-anchor:middle" coordsize="2619,862" o:spt="100"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85" style="position:absolute;left:104;top:5;width:24;height:11;v-text-anchor:middle" coordsize="2619,1265" o:spt="100"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adj="0,,0" path="m668,l2619,10r,1255l,1265,668,xe" fillcolor="#ffd966 [1943]" stroked="f" strokeweight="1pt">
            <v:stroke joinstyle="miter"/>
            <v:formulas/>
            <v:path o:connecttype="segments" o:connectlocs="598,0;2345,8;2345,1108;0,1108;598,0" o:connectangles="0,0,0,0,0"/>
          </v:shape>
          <w10:wrap anchorx="page" anchory="page"/>
        </v:group>
      </w:pict>
    </w:r>
    <w:r>
      <w:pict>
        <v:group id="_x0000_s2081" style="position:absolute;left:0;text-align:left;margin-left:-2.15pt;margin-top:47.15pt;width:235.7pt;height:32pt;z-index:251674624;mso-position-horizontal-relative:page;mso-position-vertical-relative:page" coordorigin="13,8" coordsize="31,6402"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v:shapetype id="_x0000_t202" coordsize="21600,21600" o:spt="202" path="m,l,21600r21600,l21600,xe">
            <v:stroke joinstyle="miter"/>
            <v:path gradientshapeok="t" o:connecttype="rect"/>
          </v:shapetype>
          <v:shape id="文本框 6" o:spid="_x0000_s2083" type="#_x0000_t202" style="position:absolute;left:14;top:8;width:30;height:7"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filled="f" stroked="f" strokeweight=".5pt">
            <v:textbox>
              <w:txbxContent>
                <w:p w:rsidR="00DA1185" w:rsidRDefault="006D574A">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 xml:space="preserve">第一部分  </w:t>
                  </w:r>
                  <w:r>
                    <w:rPr>
                      <w:rFonts w:ascii="微软雅黑" w:eastAsia="微软雅黑" w:hAnsi="微软雅黑" w:cs="微软雅黑" w:hint="eastAsia"/>
                      <w:b/>
                      <w:bCs/>
                      <w:sz w:val="32"/>
                      <w:szCs w:val="40"/>
                    </w:rPr>
                    <w:t>部门概况</w:t>
                  </w:r>
                </w:p>
              </w:txbxContent>
            </v:textbox>
          </v:shape>
          <v:rect id="矩形 7" o:spid="_x0000_s2082" style="position:absolute;left:13;top:10;width:1;height:3;v-text-anchor:middle"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fillcolor="black [3213]" stroked="f" strokeweight="1pt"/>
          <w10:wrap anchorx="page" anchory="page"/>
        </v:group>
      </w:pic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1185" w:rsidRDefault="00E81DD1">
    <w:pPr>
      <w:pStyle w:val="a6"/>
    </w:pPr>
    <w:r>
      <w:pict>
        <v:group id="_x0000_s2077" style="position:absolute;left:0;text-align:left;margin-left:2.25pt;margin-top:45.75pt;width:239.85pt;height:32.05pt;z-index:251669504;mso-position-horizontal-relative:page;mso-position-vertical-relative:page" coordorigin="13,8" coordsize="32,6412"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v:shapetype id="_x0000_t202" coordsize="21600,21600" o:spt="202" path="m,l,21600r21600,l21600,xe">
            <v:stroke joinstyle="miter"/>
            <v:path gradientshapeok="t" o:connecttype="rect"/>
          </v:shapetype>
          <v:shape id="文本框 6" o:spid="_x0000_s2079" type="#_x0000_t202" style="position:absolute;left:14;top:8;width:31;height:6"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filled="f" stroked="f" strokeweight=".5pt">
            <v:textbox>
              <w:txbxContent>
                <w:p w:rsidR="00DA1185" w:rsidRDefault="006D574A">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 xml:space="preserve">第二部分  </w:t>
                  </w:r>
                  <w:r>
                    <w:rPr>
                      <w:rFonts w:ascii="微软雅黑" w:eastAsia="微软雅黑" w:hAnsi="微软雅黑" w:cs="微软雅黑" w:hint="eastAsia"/>
                      <w:b/>
                      <w:bCs/>
                      <w:sz w:val="32"/>
                      <w:szCs w:val="40"/>
                    </w:rPr>
                    <w:t>部门决算情况说明</w:t>
                  </w:r>
                </w:p>
              </w:txbxContent>
            </v:textbox>
          </v:shape>
          <v:rect id="矩形 7" o:spid="_x0000_s2078" style="position:absolute;left:13;top:10;width:1;height:3;v-text-anchor:middle"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fillcolor="black [3213]" stroked="f" strokeweight="1pt"/>
          <w10:wrap anchorx="page" anchory="page"/>
        </v:group>
      </w:pict>
    </w:r>
    <w:r>
      <w:pict>
        <v:group id="_x0000_s2073" style="position:absolute;left:0;text-align:left;margin-left:2.75pt;margin-top:46.95pt;width:596.85pt;height:32.8pt;z-index:251668480;mso-position-horizontal-relative:page;mso-position-vertical-relative:page" coordorigin="8,5" coordsize="119,11792"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v:rect id="矩形 2" o:spid="_x0000_s2076" style="position:absolute;left:8;top:15;width:120;height:1;v-text-anchor:middle"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fillcolor="#ffd966 [1943]" stroked="f" strokeweight="1pt"/>
          <v:shape id="任意多边形 3" o:spid="_x0000_s2075" style="position:absolute;left:101;top:6;width:26;height:9;v-text-anchor:middle" coordsize="2619,862" o:spt="100"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adj="0,,0" path="m595,1l2619,r,862l,862,595,1xe" fillcolor="black [3213]" stroked="f" strokeweight="1pt">
            <v:stroke joinstyle="miter"/>
            <v:formulas/>
            <v:path o:connecttype="segments" o:connectlocs="595,1;2619,0;2619,862;0,862;595,1" o:connectangles="0,0,0,0,0"/>
          </v:shape>
          <v:shape id="任意多边形 4" o:spid="_x0000_s2074" style="position:absolute;left:104;top:5;width:24;height:11;v-text-anchor:middle" coordsize="2619,1265" o:spt="100"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adj="0,,0" path="m668,l2619,10r,1255l,1265,668,xe" fillcolor="#ffd966 [1943]" stroked="f" strokeweight="1pt">
            <v:stroke joinstyle="miter"/>
            <v:formulas/>
            <v:path o:connecttype="segments" o:connectlocs="608,0;2385,8;2385,1107;0,1107;608,0" o:connectangles="0,0,0,0,0"/>
          </v:shape>
          <w10:wrap anchorx="page" anchory="page"/>
        </v:group>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F222FFA"/>
    <w:multiLevelType w:val="singleLevel"/>
    <w:tmpl w:val="5F222FFA"/>
    <w:lvl w:ilvl="0">
      <w:start w:val="1"/>
      <w:numFmt w:val="decimal"/>
      <w:suff w:val="nothing"/>
      <w:lvlText w:val="（%1）"/>
      <w:lvlJc w:val="left"/>
    </w:lvl>
  </w:abstractNum>
  <w:abstractNum w:abstractNumId="1">
    <w:nsid w:val="5F5B34DF"/>
    <w:multiLevelType w:val="singleLevel"/>
    <w:tmpl w:val="5F5B34DF"/>
    <w:lvl w:ilvl="0">
      <w:start w:val="1"/>
      <w:numFmt w:val="chineseCounting"/>
      <w:suff w:val="nothing"/>
      <w:lvlText w:val="（%1）"/>
      <w:lvlJc w:val="left"/>
    </w:lvl>
  </w:abstractNum>
  <w:abstractNum w:abstractNumId="2">
    <w:nsid w:val="5F5F213A"/>
    <w:multiLevelType w:val="singleLevel"/>
    <w:tmpl w:val="5F5F213A"/>
    <w:lvl w:ilvl="0">
      <w:start w:val="5"/>
      <w:numFmt w:val="decimal"/>
      <w:suff w:val="nothing"/>
      <w:lvlText w:val="（%1）"/>
      <w:lvlJc w:val="left"/>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attachedTemplate r:id="rId1"/>
  <w:defaultTabStop w:val="420"/>
  <w:drawingGridVerticalSpacing w:val="156"/>
  <w:noPunctuationKerning/>
  <w:characterSpacingControl w:val="compressPunctuation"/>
  <w:hdrShapeDefaults>
    <o:shapedefaults v:ext="edit" spidmax="2107" fillcolor="white">
      <v:fill color="white"/>
    </o:shapedefaults>
    <o:shapelayout v:ext="edit">
      <o:idmap v:ext="edit" data="2"/>
    </o:shapelayout>
  </w:hdrShapeDefaults>
  <w:footnotePr>
    <w:footnote w:id="-1"/>
    <w:footnote w:id="0"/>
  </w:footnotePr>
  <w:endnotePr>
    <w:endnote w:id="-1"/>
    <w:endnote w:id="0"/>
  </w:endnotePr>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6AAF1C96"/>
    <w:rsid w:val="00050674"/>
    <w:rsid w:val="000534BB"/>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1F1368"/>
    <w:rsid w:val="00246CB5"/>
    <w:rsid w:val="002650EC"/>
    <w:rsid w:val="002A6C46"/>
    <w:rsid w:val="002C19B5"/>
    <w:rsid w:val="00331AF2"/>
    <w:rsid w:val="003952E2"/>
    <w:rsid w:val="003A4EE8"/>
    <w:rsid w:val="00442CC2"/>
    <w:rsid w:val="00446244"/>
    <w:rsid w:val="00473C20"/>
    <w:rsid w:val="00477EFF"/>
    <w:rsid w:val="00491417"/>
    <w:rsid w:val="004D61CB"/>
    <w:rsid w:val="004F4A6A"/>
    <w:rsid w:val="005011D6"/>
    <w:rsid w:val="00503F2E"/>
    <w:rsid w:val="0053726A"/>
    <w:rsid w:val="00552226"/>
    <w:rsid w:val="005554B2"/>
    <w:rsid w:val="00566120"/>
    <w:rsid w:val="00582E6D"/>
    <w:rsid w:val="005954D5"/>
    <w:rsid w:val="005A53FA"/>
    <w:rsid w:val="005D1293"/>
    <w:rsid w:val="005E24B3"/>
    <w:rsid w:val="005E670E"/>
    <w:rsid w:val="00644D5F"/>
    <w:rsid w:val="006466E7"/>
    <w:rsid w:val="00657F86"/>
    <w:rsid w:val="006727AD"/>
    <w:rsid w:val="00691425"/>
    <w:rsid w:val="006A516E"/>
    <w:rsid w:val="006B0830"/>
    <w:rsid w:val="006D574A"/>
    <w:rsid w:val="00716E2B"/>
    <w:rsid w:val="00757C39"/>
    <w:rsid w:val="00770F18"/>
    <w:rsid w:val="00773B74"/>
    <w:rsid w:val="00775987"/>
    <w:rsid w:val="0078290C"/>
    <w:rsid w:val="007B2246"/>
    <w:rsid w:val="007C06CA"/>
    <w:rsid w:val="008163FB"/>
    <w:rsid w:val="0082605B"/>
    <w:rsid w:val="00831003"/>
    <w:rsid w:val="008346FE"/>
    <w:rsid w:val="00855C36"/>
    <w:rsid w:val="00857DBE"/>
    <w:rsid w:val="008701BC"/>
    <w:rsid w:val="00883D92"/>
    <w:rsid w:val="008A5362"/>
    <w:rsid w:val="008B4966"/>
    <w:rsid w:val="008F21F1"/>
    <w:rsid w:val="008F221B"/>
    <w:rsid w:val="008F5A2D"/>
    <w:rsid w:val="00921602"/>
    <w:rsid w:val="00957EA1"/>
    <w:rsid w:val="00966E5B"/>
    <w:rsid w:val="009B4EF0"/>
    <w:rsid w:val="009D06B1"/>
    <w:rsid w:val="009D271F"/>
    <w:rsid w:val="00A06BFB"/>
    <w:rsid w:val="00A929C2"/>
    <w:rsid w:val="00AB5A3D"/>
    <w:rsid w:val="00AD097F"/>
    <w:rsid w:val="00B307BA"/>
    <w:rsid w:val="00B844F4"/>
    <w:rsid w:val="00BA06A1"/>
    <w:rsid w:val="00BA770A"/>
    <w:rsid w:val="00BB533B"/>
    <w:rsid w:val="00C054DE"/>
    <w:rsid w:val="00C5317E"/>
    <w:rsid w:val="00C679A9"/>
    <w:rsid w:val="00C71E84"/>
    <w:rsid w:val="00C7541C"/>
    <w:rsid w:val="00CC0FAA"/>
    <w:rsid w:val="00CD0736"/>
    <w:rsid w:val="00D1570F"/>
    <w:rsid w:val="00D32830"/>
    <w:rsid w:val="00DA1185"/>
    <w:rsid w:val="00DB17CD"/>
    <w:rsid w:val="00DB6924"/>
    <w:rsid w:val="00DB7153"/>
    <w:rsid w:val="00DB7F05"/>
    <w:rsid w:val="00DE2332"/>
    <w:rsid w:val="00E028C3"/>
    <w:rsid w:val="00E14F77"/>
    <w:rsid w:val="00E3076B"/>
    <w:rsid w:val="00E36978"/>
    <w:rsid w:val="00E81DD1"/>
    <w:rsid w:val="00E82A1E"/>
    <w:rsid w:val="00EA05EC"/>
    <w:rsid w:val="00EC06F4"/>
    <w:rsid w:val="00EE4E36"/>
    <w:rsid w:val="00F665F4"/>
    <w:rsid w:val="00FD225F"/>
    <w:rsid w:val="01055171"/>
    <w:rsid w:val="0124302D"/>
    <w:rsid w:val="013547AC"/>
    <w:rsid w:val="014D1529"/>
    <w:rsid w:val="01580AFE"/>
    <w:rsid w:val="01773497"/>
    <w:rsid w:val="01807CEE"/>
    <w:rsid w:val="019F29EA"/>
    <w:rsid w:val="01D904A6"/>
    <w:rsid w:val="01F0758B"/>
    <w:rsid w:val="020B7870"/>
    <w:rsid w:val="022A1B7F"/>
    <w:rsid w:val="026832DD"/>
    <w:rsid w:val="027372C7"/>
    <w:rsid w:val="02A94C04"/>
    <w:rsid w:val="02C033BA"/>
    <w:rsid w:val="02D27614"/>
    <w:rsid w:val="02F52BBD"/>
    <w:rsid w:val="031660A2"/>
    <w:rsid w:val="031F6269"/>
    <w:rsid w:val="032212AB"/>
    <w:rsid w:val="03381218"/>
    <w:rsid w:val="03650A66"/>
    <w:rsid w:val="036A46C0"/>
    <w:rsid w:val="037B4625"/>
    <w:rsid w:val="03AA50DA"/>
    <w:rsid w:val="03B66C77"/>
    <w:rsid w:val="03C11295"/>
    <w:rsid w:val="03D83890"/>
    <w:rsid w:val="03E80F22"/>
    <w:rsid w:val="03F814F7"/>
    <w:rsid w:val="03FD5E41"/>
    <w:rsid w:val="040552DE"/>
    <w:rsid w:val="0406744A"/>
    <w:rsid w:val="0425252E"/>
    <w:rsid w:val="0432636D"/>
    <w:rsid w:val="043D3407"/>
    <w:rsid w:val="044F0A0D"/>
    <w:rsid w:val="045B5753"/>
    <w:rsid w:val="046A551A"/>
    <w:rsid w:val="04777991"/>
    <w:rsid w:val="047D2770"/>
    <w:rsid w:val="04A0310D"/>
    <w:rsid w:val="04CD6084"/>
    <w:rsid w:val="04FF0AB7"/>
    <w:rsid w:val="052C440F"/>
    <w:rsid w:val="05323875"/>
    <w:rsid w:val="05840138"/>
    <w:rsid w:val="05B00A30"/>
    <w:rsid w:val="05CA091F"/>
    <w:rsid w:val="05D450A6"/>
    <w:rsid w:val="05EF2518"/>
    <w:rsid w:val="05F55DA1"/>
    <w:rsid w:val="05FE798E"/>
    <w:rsid w:val="06027F3D"/>
    <w:rsid w:val="064341D4"/>
    <w:rsid w:val="06443A8E"/>
    <w:rsid w:val="06484B56"/>
    <w:rsid w:val="06570A90"/>
    <w:rsid w:val="0662298A"/>
    <w:rsid w:val="06746244"/>
    <w:rsid w:val="06783F65"/>
    <w:rsid w:val="068D5E10"/>
    <w:rsid w:val="06CF0684"/>
    <w:rsid w:val="06D84CE5"/>
    <w:rsid w:val="06F17205"/>
    <w:rsid w:val="06FD5A60"/>
    <w:rsid w:val="06FE6DBA"/>
    <w:rsid w:val="070859B2"/>
    <w:rsid w:val="07182441"/>
    <w:rsid w:val="078850E7"/>
    <w:rsid w:val="07C655CB"/>
    <w:rsid w:val="07CD711F"/>
    <w:rsid w:val="07EA6EDC"/>
    <w:rsid w:val="07F42831"/>
    <w:rsid w:val="07FE0191"/>
    <w:rsid w:val="08032779"/>
    <w:rsid w:val="08186C91"/>
    <w:rsid w:val="08247C9F"/>
    <w:rsid w:val="085E7257"/>
    <w:rsid w:val="08755DC9"/>
    <w:rsid w:val="08962BE7"/>
    <w:rsid w:val="089927B6"/>
    <w:rsid w:val="08C45C14"/>
    <w:rsid w:val="08DD3EA5"/>
    <w:rsid w:val="09041DBD"/>
    <w:rsid w:val="09083E70"/>
    <w:rsid w:val="09171BF2"/>
    <w:rsid w:val="092E248B"/>
    <w:rsid w:val="09702D5E"/>
    <w:rsid w:val="0997541C"/>
    <w:rsid w:val="09DF114C"/>
    <w:rsid w:val="09E9388C"/>
    <w:rsid w:val="09F4500B"/>
    <w:rsid w:val="0A13737E"/>
    <w:rsid w:val="0A291E5C"/>
    <w:rsid w:val="0A2B4181"/>
    <w:rsid w:val="0A3538E3"/>
    <w:rsid w:val="0A5644F8"/>
    <w:rsid w:val="0A6259FB"/>
    <w:rsid w:val="0A7402A4"/>
    <w:rsid w:val="0A8D01E1"/>
    <w:rsid w:val="0A952091"/>
    <w:rsid w:val="0AA425E4"/>
    <w:rsid w:val="0AB34ED3"/>
    <w:rsid w:val="0AFF205C"/>
    <w:rsid w:val="0B011416"/>
    <w:rsid w:val="0B085F55"/>
    <w:rsid w:val="0B0A5B9A"/>
    <w:rsid w:val="0B161259"/>
    <w:rsid w:val="0B655F58"/>
    <w:rsid w:val="0B7043DB"/>
    <w:rsid w:val="0B996383"/>
    <w:rsid w:val="0BA55FBC"/>
    <w:rsid w:val="0BD53E57"/>
    <w:rsid w:val="0BD844CE"/>
    <w:rsid w:val="0BF30995"/>
    <w:rsid w:val="0BF660FA"/>
    <w:rsid w:val="0C052691"/>
    <w:rsid w:val="0C0A2001"/>
    <w:rsid w:val="0C342845"/>
    <w:rsid w:val="0C593396"/>
    <w:rsid w:val="0CD34703"/>
    <w:rsid w:val="0CE52A83"/>
    <w:rsid w:val="0CE73B23"/>
    <w:rsid w:val="0CE74E3E"/>
    <w:rsid w:val="0CF713B2"/>
    <w:rsid w:val="0CFA6927"/>
    <w:rsid w:val="0D1E3BFF"/>
    <w:rsid w:val="0D473A59"/>
    <w:rsid w:val="0D52787D"/>
    <w:rsid w:val="0D634958"/>
    <w:rsid w:val="0D6B7244"/>
    <w:rsid w:val="0D7B73D0"/>
    <w:rsid w:val="0DAB5E74"/>
    <w:rsid w:val="0DAC5FEA"/>
    <w:rsid w:val="0DB8369A"/>
    <w:rsid w:val="0DC64F39"/>
    <w:rsid w:val="0DF032CB"/>
    <w:rsid w:val="0DFF645B"/>
    <w:rsid w:val="0E5B3D02"/>
    <w:rsid w:val="0E5E2438"/>
    <w:rsid w:val="0E61007A"/>
    <w:rsid w:val="0E657154"/>
    <w:rsid w:val="0E8667B5"/>
    <w:rsid w:val="0E9041B2"/>
    <w:rsid w:val="0E9D74F3"/>
    <w:rsid w:val="0EA13E94"/>
    <w:rsid w:val="0EA21199"/>
    <w:rsid w:val="0EA50267"/>
    <w:rsid w:val="0EB62001"/>
    <w:rsid w:val="0EBB5FA9"/>
    <w:rsid w:val="0EBE673A"/>
    <w:rsid w:val="0EE006DC"/>
    <w:rsid w:val="0EE842C5"/>
    <w:rsid w:val="0EFB30B2"/>
    <w:rsid w:val="0F0E4545"/>
    <w:rsid w:val="0F1D7F8D"/>
    <w:rsid w:val="0F2A0438"/>
    <w:rsid w:val="0F521903"/>
    <w:rsid w:val="0F8E22F6"/>
    <w:rsid w:val="0F906C90"/>
    <w:rsid w:val="0F9B6596"/>
    <w:rsid w:val="0FB20AC9"/>
    <w:rsid w:val="0FBF2EEA"/>
    <w:rsid w:val="0FC77504"/>
    <w:rsid w:val="0FD22EBB"/>
    <w:rsid w:val="0FD47FEE"/>
    <w:rsid w:val="0FEF1582"/>
    <w:rsid w:val="103A6A7D"/>
    <w:rsid w:val="10472670"/>
    <w:rsid w:val="10482BF8"/>
    <w:rsid w:val="106B27E7"/>
    <w:rsid w:val="10CC0821"/>
    <w:rsid w:val="11092903"/>
    <w:rsid w:val="111520B4"/>
    <w:rsid w:val="111543E1"/>
    <w:rsid w:val="111A384E"/>
    <w:rsid w:val="112929EA"/>
    <w:rsid w:val="112E07EE"/>
    <w:rsid w:val="112F191E"/>
    <w:rsid w:val="11315058"/>
    <w:rsid w:val="115E3197"/>
    <w:rsid w:val="11756440"/>
    <w:rsid w:val="1191241D"/>
    <w:rsid w:val="11E90236"/>
    <w:rsid w:val="121139CF"/>
    <w:rsid w:val="122B190F"/>
    <w:rsid w:val="122F5B50"/>
    <w:rsid w:val="127B0C9C"/>
    <w:rsid w:val="12967221"/>
    <w:rsid w:val="12B64D30"/>
    <w:rsid w:val="12E036FE"/>
    <w:rsid w:val="1302000D"/>
    <w:rsid w:val="131706D4"/>
    <w:rsid w:val="132427C5"/>
    <w:rsid w:val="133575C9"/>
    <w:rsid w:val="13492B6A"/>
    <w:rsid w:val="134F2C47"/>
    <w:rsid w:val="135B273D"/>
    <w:rsid w:val="136B33D9"/>
    <w:rsid w:val="13822AC3"/>
    <w:rsid w:val="13987617"/>
    <w:rsid w:val="139E7B3A"/>
    <w:rsid w:val="13C66720"/>
    <w:rsid w:val="13D72F8B"/>
    <w:rsid w:val="13EE14D8"/>
    <w:rsid w:val="13F07333"/>
    <w:rsid w:val="141D4140"/>
    <w:rsid w:val="14337E78"/>
    <w:rsid w:val="143A04D9"/>
    <w:rsid w:val="143A2030"/>
    <w:rsid w:val="14554A5D"/>
    <w:rsid w:val="1457099D"/>
    <w:rsid w:val="147B434A"/>
    <w:rsid w:val="1486777E"/>
    <w:rsid w:val="149134BE"/>
    <w:rsid w:val="149A0D92"/>
    <w:rsid w:val="14AC4501"/>
    <w:rsid w:val="14B85BBB"/>
    <w:rsid w:val="14B96251"/>
    <w:rsid w:val="14C44B49"/>
    <w:rsid w:val="14D1166B"/>
    <w:rsid w:val="14D4643B"/>
    <w:rsid w:val="14F06238"/>
    <w:rsid w:val="14FF35A8"/>
    <w:rsid w:val="150203E0"/>
    <w:rsid w:val="15227C66"/>
    <w:rsid w:val="15333FE6"/>
    <w:rsid w:val="15737328"/>
    <w:rsid w:val="15AE2AC3"/>
    <w:rsid w:val="15B43B8B"/>
    <w:rsid w:val="15CA6B96"/>
    <w:rsid w:val="15F94159"/>
    <w:rsid w:val="15FE3F50"/>
    <w:rsid w:val="163070B4"/>
    <w:rsid w:val="16411CD8"/>
    <w:rsid w:val="168374BA"/>
    <w:rsid w:val="16926473"/>
    <w:rsid w:val="16962635"/>
    <w:rsid w:val="16B2244D"/>
    <w:rsid w:val="16C27FAC"/>
    <w:rsid w:val="16C33A7F"/>
    <w:rsid w:val="16CE5754"/>
    <w:rsid w:val="16D9772B"/>
    <w:rsid w:val="16E30E81"/>
    <w:rsid w:val="16EF2D0C"/>
    <w:rsid w:val="16F67602"/>
    <w:rsid w:val="16F95561"/>
    <w:rsid w:val="1703710E"/>
    <w:rsid w:val="170706B1"/>
    <w:rsid w:val="174F493F"/>
    <w:rsid w:val="1777288B"/>
    <w:rsid w:val="17894146"/>
    <w:rsid w:val="17995A6D"/>
    <w:rsid w:val="17B72522"/>
    <w:rsid w:val="17D42D30"/>
    <w:rsid w:val="18281809"/>
    <w:rsid w:val="18603BC7"/>
    <w:rsid w:val="18605493"/>
    <w:rsid w:val="186605F5"/>
    <w:rsid w:val="186944E4"/>
    <w:rsid w:val="187411E3"/>
    <w:rsid w:val="189A37C7"/>
    <w:rsid w:val="18BA6B1A"/>
    <w:rsid w:val="18CC5CC7"/>
    <w:rsid w:val="18D9149B"/>
    <w:rsid w:val="18E56CAE"/>
    <w:rsid w:val="190E5E66"/>
    <w:rsid w:val="192168AD"/>
    <w:rsid w:val="1926741D"/>
    <w:rsid w:val="192B3FEB"/>
    <w:rsid w:val="1976518A"/>
    <w:rsid w:val="197E0647"/>
    <w:rsid w:val="1990107C"/>
    <w:rsid w:val="19A127FC"/>
    <w:rsid w:val="19AF1FF9"/>
    <w:rsid w:val="19D07CBC"/>
    <w:rsid w:val="19D77B67"/>
    <w:rsid w:val="19EF3318"/>
    <w:rsid w:val="19FA62ED"/>
    <w:rsid w:val="1A0C4CE9"/>
    <w:rsid w:val="1A2173CB"/>
    <w:rsid w:val="1A5A4761"/>
    <w:rsid w:val="1A6A23E5"/>
    <w:rsid w:val="1A6B44B5"/>
    <w:rsid w:val="1A756EEE"/>
    <w:rsid w:val="1A7C18E7"/>
    <w:rsid w:val="1A85576E"/>
    <w:rsid w:val="1AB65645"/>
    <w:rsid w:val="1ABD08D7"/>
    <w:rsid w:val="1AC0688D"/>
    <w:rsid w:val="1AD72315"/>
    <w:rsid w:val="1ADF5EFE"/>
    <w:rsid w:val="1AE90FA7"/>
    <w:rsid w:val="1B146FF1"/>
    <w:rsid w:val="1B171AA1"/>
    <w:rsid w:val="1B59649F"/>
    <w:rsid w:val="1B693D9E"/>
    <w:rsid w:val="1B6F7FFE"/>
    <w:rsid w:val="1B7E1A8D"/>
    <w:rsid w:val="1BEB1202"/>
    <w:rsid w:val="1BEC1F8A"/>
    <w:rsid w:val="1BFD1839"/>
    <w:rsid w:val="1C204F60"/>
    <w:rsid w:val="1C3E3320"/>
    <w:rsid w:val="1C4402F4"/>
    <w:rsid w:val="1C4A3485"/>
    <w:rsid w:val="1C4F2E37"/>
    <w:rsid w:val="1C8F0A0A"/>
    <w:rsid w:val="1C9B13D8"/>
    <w:rsid w:val="1CB153F9"/>
    <w:rsid w:val="1CB870CF"/>
    <w:rsid w:val="1CBE0DA9"/>
    <w:rsid w:val="1CCB5DF8"/>
    <w:rsid w:val="1CCC13E1"/>
    <w:rsid w:val="1CDA661B"/>
    <w:rsid w:val="1D26405C"/>
    <w:rsid w:val="1D2F6845"/>
    <w:rsid w:val="1D5640DA"/>
    <w:rsid w:val="1D5C2800"/>
    <w:rsid w:val="1D8968D7"/>
    <w:rsid w:val="1DA41839"/>
    <w:rsid w:val="1DB730AD"/>
    <w:rsid w:val="1DD74855"/>
    <w:rsid w:val="1DDE4A6D"/>
    <w:rsid w:val="1DE17E04"/>
    <w:rsid w:val="1DEC3F86"/>
    <w:rsid w:val="1DF27F46"/>
    <w:rsid w:val="1DF57D8E"/>
    <w:rsid w:val="1DFA1452"/>
    <w:rsid w:val="1E264985"/>
    <w:rsid w:val="1E504D71"/>
    <w:rsid w:val="1E860FCB"/>
    <w:rsid w:val="1E867512"/>
    <w:rsid w:val="1E896F09"/>
    <w:rsid w:val="1EA66F27"/>
    <w:rsid w:val="1EA67A5A"/>
    <w:rsid w:val="1EB73784"/>
    <w:rsid w:val="1EB90C1C"/>
    <w:rsid w:val="1F220FC0"/>
    <w:rsid w:val="1F4B5EE1"/>
    <w:rsid w:val="1F793CA6"/>
    <w:rsid w:val="1F7E01DF"/>
    <w:rsid w:val="1F8236BA"/>
    <w:rsid w:val="1FAA4DA1"/>
    <w:rsid w:val="1FB071BF"/>
    <w:rsid w:val="1FB86A7D"/>
    <w:rsid w:val="1FC01DFC"/>
    <w:rsid w:val="1FFD08B8"/>
    <w:rsid w:val="201F0D40"/>
    <w:rsid w:val="20606A88"/>
    <w:rsid w:val="20693EE6"/>
    <w:rsid w:val="208E788A"/>
    <w:rsid w:val="20930CE0"/>
    <w:rsid w:val="20AA34EE"/>
    <w:rsid w:val="20B8522A"/>
    <w:rsid w:val="20C02EDC"/>
    <w:rsid w:val="20CB4289"/>
    <w:rsid w:val="20FA2DEE"/>
    <w:rsid w:val="20FF70BB"/>
    <w:rsid w:val="2103033E"/>
    <w:rsid w:val="210E3A33"/>
    <w:rsid w:val="21267390"/>
    <w:rsid w:val="212D7D10"/>
    <w:rsid w:val="21432738"/>
    <w:rsid w:val="214D2696"/>
    <w:rsid w:val="215143DA"/>
    <w:rsid w:val="21542E24"/>
    <w:rsid w:val="21851B4A"/>
    <w:rsid w:val="21877BC2"/>
    <w:rsid w:val="21CF0C66"/>
    <w:rsid w:val="21F17A60"/>
    <w:rsid w:val="21F425B7"/>
    <w:rsid w:val="21FC7FEB"/>
    <w:rsid w:val="220170D3"/>
    <w:rsid w:val="2240559F"/>
    <w:rsid w:val="224E7CA7"/>
    <w:rsid w:val="2254061A"/>
    <w:rsid w:val="227769C3"/>
    <w:rsid w:val="22900DD0"/>
    <w:rsid w:val="22AA264C"/>
    <w:rsid w:val="22AD2106"/>
    <w:rsid w:val="22BD6B5B"/>
    <w:rsid w:val="22CC0C61"/>
    <w:rsid w:val="22E30C19"/>
    <w:rsid w:val="22EC033B"/>
    <w:rsid w:val="22FD2DA9"/>
    <w:rsid w:val="231C484E"/>
    <w:rsid w:val="232823D7"/>
    <w:rsid w:val="232C24DF"/>
    <w:rsid w:val="235E7E22"/>
    <w:rsid w:val="23650B32"/>
    <w:rsid w:val="236752B5"/>
    <w:rsid w:val="236D5762"/>
    <w:rsid w:val="237811D2"/>
    <w:rsid w:val="239A0376"/>
    <w:rsid w:val="23BA1016"/>
    <w:rsid w:val="23C218A4"/>
    <w:rsid w:val="23EF6A6C"/>
    <w:rsid w:val="23FA120C"/>
    <w:rsid w:val="24206E90"/>
    <w:rsid w:val="2428139D"/>
    <w:rsid w:val="24425549"/>
    <w:rsid w:val="24466539"/>
    <w:rsid w:val="244D4315"/>
    <w:rsid w:val="246B2D43"/>
    <w:rsid w:val="24727DB5"/>
    <w:rsid w:val="248D6FF2"/>
    <w:rsid w:val="249D616A"/>
    <w:rsid w:val="24A11BF7"/>
    <w:rsid w:val="24A317EF"/>
    <w:rsid w:val="24B0011B"/>
    <w:rsid w:val="24B8348C"/>
    <w:rsid w:val="24B864B7"/>
    <w:rsid w:val="24BB6BC6"/>
    <w:rsid w:val="24EA4CCC"/>
    <w:rsid w:val="24EF52EF"/>
    <w:rsid w:val="250C1B65"/>
    <w:rsid w:val="25166C57"/>
    <w:rsid w:val="25170A1D"/>
    <w:rsid w:val="251778F1"/>
    <w:rsid w:val="25223C60"/>
    <w:rsid w:val="252273C0"/>
    <w:rsid w:val="25263D2A"/>
    <w:rsid w:val="25683C1F"/>
    <w:rsid w:val="257369CB"/>
    <w:rsid w:val="258846C5"/>
    <w:rsid w:val="259E2309"/>
    <w:rsid w:val="25B77731"/>
    <w:rsid w:val="25D566DB"/>
    <w:rsid w:val="25E26BDB"/>
    <w:rsid w:val="25E3283A"/>
    <w:rsid w:val="25EB2EA1"/>
    <w:rsid w:val="261C6A9F"/>
    <w:rsid w:val="266D2DD1"/>
    <w:rsid w:val="26727833"/>
    <w:rsid w:val="268632EC"/>
    <w:rsid w:val="268F5014"/>
    <w:rsid w:val="26CE555D"/>
    <w:rsid w:val="26D1760A"/>
    <w:rsid w:val="26F72A7A"/>
    <w:rsid w:val="27276A23"/>
    <w:rsid w:val="27362DD5"/>
    <w:rsid w:val="274270F2"/>
    <w:rsid w:val="27525536"/>
    <w:rsid w:val="27547C9C"/>
    <w:rsid w:val="27A52F16"/>
    <w:rsid w:val="27A85915"/>
    <w:rsid w:val="27B43A58"/>
    <w:rsid w:val="27C81E21"/>
    <w:rsid w:val="28181BB4"/>
    <w:rsid w:val="28261994"/>
    <w:rsid w:val="283C46E4"/>
    <w:rsid w:val="28513439"/>
    <w:rsid w:val="288A7C04"/>
    <w:rsid w:val="288C59AA"/>
    <w:rsid w:val="28C25755"/>
    <w:rsid w:val="28C26DF7"/>
    <w:rsid w:val="290E56E2"/>
    <w:rsid w:val="291B6728"/>
    <w:rsid w:val="296A16A6"/>
    <w:rsid w:val="29713E1C"/>
    <w:rsid w:val="29715B86"/>
    <w:rsid w:val="29B54B7F"/>
    <w:rsid w:val="2A377398"/>
    <w:rsid w:val="2A503626"/>
    <w:rsid w:val="2A8C4C28"/>
    <w:rsid w:val="2A9F1C1F"/>
    <w:rsid w:val="2AA42221"/>
    <w:rsid w:val="2AB71AE3"/>
    <w:rsid w:val="2AC145C8"/>
    <w:rsid w:val="2AC229F9"/>
    <w:rsid w:val="2AD05451"/>
    <w:rsid w:val="2AD3619B"/>
    <w:rsid w:val="2AE0315E"/>
    <w:rsid w:val="2B507113"/>
    <w:rsid w:val="2B5D71D3"/>
    <w:rsid w:val="2B603AF5"/>
    <w:rsid w:val="2B647202"/>
    <w:rsid w:val="2BA26BEC"/>
    <w:rsid w:val="2BAE0205"/>
    <w:rsid w:val="2BD9042C"/>
    <w:rsid w:val="2BFA758C"/>
    <w:rsid w:val="2C180DD7"/>
    <w:rsid w:val="2C2659C7"/>
    <w:rsid w:val="2C3A1A88"/>
    <w:rsid w:val="2C5D44FE"/>
    <w:rsid w:val="2C655385"/>
    <w:rsid w:val="2C7B60EF"/>
    <w:rsid w:val="2CA47C69"/>
    <w:rsid w:val="2CB60A3C"/>
    <w:rsid w:val="2CDE1845"/>
    <w:rsid w:val="2D081307"/>
    <w:rsid w:val="2D095DC5"/>
    <w:rsid w:val="2D14792D"/>
    <w:rsid w:val="2D2C5978"/>
    <w:rsid w:val="2D2E34B4"/>
    <w:rsid w:val="2D2F1A66"/>
    <w:rsid w:val="2D4828E7"/>
    <w:rsid w:val="2D5D480C"/>
    <w:rsid w:val="2D8F3A8A"/>
    <w:rsid w:val="2DDB1ACA"/>
    <w:rsid w:val="2DDE5EEE"/>
    <w:rsid w:val="2E280B35"/>
    <w:rsid w:val="2E4847CE"/>
    <w:rsid w:val="2E6D6962"/>
    <w:rsid w:val="2E8B76CA"/>
    <w:rsid w:val="2E8D134C"/>
    <w:rsid w:val="2E987BDF"/>
    <w:rsid w:val="2EAC2D56"/>
    <w:rsid w:val="2EC33715"/>
    <w:rsid w:val="2EC57531"/>
    <w:rsid w:val="2ECF6CF0"/>
    <w:rsid w:val="2EE004A2"/>
    <w:rsid w:val="2F0B3103"/>
    <w:rsid w:val="2F2832B8"/>
    <w:rsid w:val="2F351D11"/>
    <w:rsid w:val="2F391D91"/>
    <w:rsid w:val="2F4B0C25"/>
    <w:rsid w:val="2F4D375B"/>
    <w:rsid w:val="2F56007D"/>
    <w:rsid w:val="2F60674D"/>
    <w:rsid w:val="2F633349"/>
    <w:rsid w:val="2F7B6164"/>
    <w:rsid w:val="2FAE2CFC"/>
    <w:rsid w:val="2FB5749C"/>
    <w:rsid w:val="2FBB6D54"/>
    <w:rsid w:val="2FC560DC"/>
    <w:rsid w:val="2FEA0F9B"/>
    <w:rsid w:val="2FF32FF1"/>
    <w:rsid w:val="30573F20"/>
    <w:rsid w:val="30670517"/>
    <w:rsid w:val="30970DE7"/>
    <w:rsid w:val="30AF2A77"/>
    <w:rsid w:val="30B132A0"/>
    <w:rsid w:val="30D81DC2"/>
    <w:rsid w:val="31186147"/>
    <w:rsid w:val="316E34C4"/>
    <w:rsid w:val="317104FE"/>
    <w:rsid w:val="31871052"/>
    <w:rsid w:val="318D4716"/>
    <w:rsid w:val="31C2036A"/>
    <w:rsid w:val="31E72280"/>
    <w:rsid w:val="31EC4FB7"/>
    <w:rsid w:val="320D02A5"/>
    <w:rsid w:val="32294771"/>
    <w:rsid w:val="322E480A"/>
    <w:rsid w:val="323F03BD"/>
    <w:rsid w:val="326D798F"/>
    <w:rsid w:val="327257A6"/>
    <w:rsid w:val="327B159F"/>
    <w:rsid w:val="327F2554"/>
    <w:rsid w:val="329D67EF"/>
    <w:rsid w:val="32CB36FD"/>
    <w:rsid w:val="3338714C"/>
    <w:rsid w:val="334D4D1A"/>
    <w:rsid w:val="33673486"/>
    <w:rsid w:val="33972A13"/>
    <w:rsid w:val="33C02E55"/>
    <w:rsid w:val="33CD24AA"/>
    <w:rsid w:val="3402169A"/>
    <w:rsid w:val="34191749"/>
    <w:rsid w:val="341D26A0"/>
    <w:rsid w:val="342545A4"/>
    <w:rsid w:val="343F3D89"/>
    <w:rsid w:val="34433122"/>
    <w:rsid w:val="344A14E1"/>
    <w:rsid w:val="348069E8"/>
    <w:rsid w:val="348E566F"/>
    <w:rsid w:val="349571B4"/>
    <w:rsid w:val="34CD3963"/>
    <w:rsid w:val="34D10240"/>
    <w:rsid w:val="35455ED9"/>
    <w:rsid w:val="355B0AB3"/>
    <w:rsid w:val="357E2A54"/>
    <w:rsid w:val="359024B4"/>
    <w:rsid w:val="359E2608"/>
    <w:rsid w:val="35ED0A7D"/>
    <w:rsid w:val="35F60D15"/>
    <w:rsid w:val="36033A42"/>
    <w:rsid w:val="36072E78"/>
    <w:rsid w:val="361518CD"/>
    <w:rsid w:val="361E43B1"/>
    <w:rsid w:val="36443951"/>
    <w:rsid w:val="36455D56"/>
    <w:rsid w:val="365A58BC"/>
    <w:rsid w:val="367D6554"/>
    <w:rsid w:val="36834E00"/>
    <w:rsid w:val="36A61CF3"/>
    <w:rsid w:val="36A77B01"/>
    <w:rsid w:val="36D5543F"/>
    <w:rsid w:val="372624B5"/>
    <w:rsid w:val="37426144"/>
    <w:rsid w:val="377E3267"/>
    <w:rsid w:val="37A91948"/>
    <w:rsid w:val="37C7203C"/>
    <w:rsid w:val="37CF6715"/>
    <w:rsid w:val="37E01108"/>
    <w:rsid w:val="37E53726"/>
    <w:rsid w:val="37E8168F"/>
    <w:rsid w:val="37FF47DA"/>
    <w:rsid w:val="382530B5"/>
    <w:rsid w:val="38372F7D"/>
    <w:rsid w:val="38456CC5"/>
    <w:rsid w:val="385A191A"/>
    <w:rsid w:val="387466A6"/>
    <w:rsid w:val="387837A5"/>
    <w:rsid w:val="38855998"/>
    <w:rsid w:val="388F322D"/>
    <w:rsid w:val="38AE2048"/>
    <w:rsid w:val="38E438E7"/>
    <w:rsid w:val="391D3570"/>
    <w:rsid w:val="39240BAA"/>
    <w:rsid w:val="392C2851"/>
    <w:rsid w:val="39355C95"/>
    <w:rsid w:val="39565186"/>
    <w:rsid w:val="39605088"/>
    <w:rsid w:val="39650C38"/>
    <w:rsid w:val="3967743E"/>
    <w:rsid w:val="39832CC2"/>
    <w:rsid w:val="39912868"/>
    <w:rsid w:val="39981C64"/>
    <w:rsid w:val="39986AC9"/>
    <w:rsid w:val="39C0123F"/>
    <w:rsid w:val="39FE783F"/>
    <w:rsid w:val="3A1A688E"/>
    <w:rsid w:val="3A226944"/>
    <w:rsid w:val="3A270039"/>
    <w:rsid w:val="3A4C0AA0"/>
    <w:rsid w:val="3A51700A"/>
    <w:rsid w:val="3A5F4D89"/>
    <w:rsid w:val="3A6871F0"/>
    <w:rsid w:val="3A770E4E"/>
    <w:rsid w:val="3A773619"/>
    <w:rsid w:val="3A9B2A9D"/>
    <w:rsid w:val="3AA51470"/>
    <w:rsid w:val="3ABA6445"/>
    <w:rsid w:val="3AC12CE6"/>
    <w:rsid w:val="3AC96670"/>
    <w:rsid w:val="3AE40DC3"/>
    <w:rsid w:val="3AEE6A48"/>
    <w:rsid w:val="3B2C0513"/>
    <w:rsid w:val="3B5E30E9"/>
    <w:rsid w:val="3B5F73C2"/>
    <w:rsid w:val="3B6D1A4B"/>
    <w:rsid w:val="3B843A63"/>
    <w:rsid w:val="3BA34A8E"/>
    <w:rsid w:val="3BA808A5"/>
    <w:rsid w:val="3BB63634"/>
    <w:rsid w:val="3BB741F1"/>
    <w:rsid w:val="3C0D38C9"/>
    <w:rsid w:val="3C1047A5"/>
    <w:rsid w:val="3C11707A"/>
    <w:rsid w:val="3C1620AA"/>
    <w:rsid w:val="3C25716D"/>
    <w:rsid w:val="3C2B57F2"/>
    <w:rsid w:val="3C741BAF"/>
    <w:rsid w:val="3CCE6DBF"/>
    <w:rsid w:val="3CD46005"/>
    <w:rsid w:val="3CE2394C"/>
    <w:rsid w:val="3D18677B"/>
    <w:rsid w:val="3D287F3D"/>
    <w:rsid w:val="3D4949FD"/>
    <w:rsid w:val="3D8D5B2D"/>
    <w:rsid w:val="3D8F080F"/>
    <w:rsid w:val="3D941B40"/>
    <w:rsid w:val="3D9B769C"/>
    <w:rsid w:val="3DDE2C11"/>
    <w:rsid w:val="3E1C20D1"/>
    <w:rsid w:val="3E29411B"/>
    <w:rsid w:val="3E304C9F"/>
    <w:rsid w:val="3E582374"/>
    <w:rsid w:val="3E9B3E71"/>
    <w:rsid w:val="3E9C56F7"/>
    <w:rsid w:val="3EB6716D"/>
    <w:rsid w:val="3ECE7E2C"/>
    <w:rsid w:val="3EF04640"/>
    <w:rsid w:val="3EF90D6D"/>
    <w:rsid w:val="3F1029FD"/>
    <w:rsid w:val="3F4B6E7D"/>
    <w:rsid w:val="3F663FB9"/>
    <w:rsid w:val="3F7165BC"/>
    <w:rsid w:val="3F745546"/>
    <w:rsid w:val="3F8471F1"/>
    <w:rsid w:val="3F99027F"/>
    <w:rsid w:val="3F9C4406"/>
    <w:rsid w:val="3FA1748F"/>
    <w:rsid w:val="3FA810D7"/>
    <w:rsid w:val="3FD57FAD"/>
    <w:rsid w:val="40105DFE"/>
    <w:rsid w:val="402A1EA3"/>
    <w:rsid w:val="40694638"/>
    <w:rsid w:val="407F6ECE"/>
    <w:rsid w:val="40A42EA0"/>
    <w:rsid w:val="40B0035F"/>
    <w:rsid w:val="40C77F0D"/>
    <w:rsid w:val="40C80560"/>
    <w:rsid w:val="40FE6DCD"/>
    <w:rsid w:val="4132642E"/>
    <w:rsid w:val="418D44A9"/>
    <w:rsid w:val="418F3ADA"/>
    <w:rsid w:val="41D94F22"/>
    <w:rsid w:val="41E05376"/>
    <w:rsid w:val="41E25C2F"/>
    <w:rsid w:val="42357392"/>
    <w:rsid w:val="42451FE4"/>
    <w:rsid w:val="424D759D"/>
    <w:rsid w:val="42624BA0"/>
    <w:rsid w:val="42664943"/>
    <w:rsid w:val="427B5419"/>
    <w:rsid w:val="42803284"/>
    <w:rsid w:val="428E4D8A"/>
    <w:rsid w:val="42AC5932"/>
    <w:rsid w:val="432D7D55"/>
    <w:rsid w:val="4341143D"/>
    <w:rsid w:val="439958F8"/>
    <w:rsid w:val="439B2498"/>
    <w:rsid w:val="43C30E84"/>
    <w:rsid w:val="43D25A67"/>
    <w:rsid w:val="43D501F4"/>
    <w:rsid w:val="43D503A2"/>
    <w:rsid w:val="441D20F0"/>
    <w:rsid w:val="442144B2"/>
    <w:rsid w:val="44215F04"/>
    <w:rsid w:val="44836A46"/>
    <w:rsid w:val="44BD0E8F"/>
    <w:rsid w:val="44CE1FA4"/>
    <w:rsid w:val="44EA5D66"/>
    <w:rsid w:val="44FD63F5"/>
    <w:rsid w:val="450321CC"/>
    <w:rsid w:val="45107304"/>
    <w:rsid w:val="455B7855"/>
    <w:rsid w:val="456403A1"/>
    <w:rsid w:val="458D1A72"/>
    <w:rsid w:val="45995D18"/>
    <w:rsid w:val="45B1273D"/>
    <w:rsid w:val="45B27E89"/>
    <w:rsid w:val="45B31D79"/>
    <w:rsid w:val="45C20948"/>
    <w:rsid w:val="46010388"/>
    <w:rsid w:val="460B054C"/>
    <w:rsid w:val="462B4C73"/>
    <w:rsid w:val="463A3C08"/>
    <w:rsid w:val="464431E1"/>
    <w:rsid w:val="46457E7F"/>
    <w:rsid w:val="464B6C29"/>
    <w:rsid w:val="46572735"/>
    <w:rsid w:val="468204D1"/>
    <w:rsid w:val="46825934"/>
    <w:rsid w:val="46C07179"/>
    <w:rsid w:val="46CD7187"/>
    <w:rsid w:val="46D85A29"/>
    <w:rsid w:val="46D85F06"/>
    <w:rsid w:val="47275F48"/>
    <w:rsid w:val="47A9518B"/>
    <w:rsid w:val="47AF2C5D"/>
    <w:rsid w:val="47B00A59"/>
    <w:rsid w:val="47B133FD"/>
    <w:rsid w:val="47B831CD"/>
    <w:rsid w:val="47BE782A"/>
    <w:rsid w:val="47D161E8"/>
    <w:rsid w:val="47E2073C"/>
    <w:rsid w:val="47E5570E"/>
    <w:rsid w:val="482138DD"/>
    <w:rsid w:val="48230184"/>
    <w:rsid w:val="48324531"/>
    <w:rsid w:val="483C6C63"/>
    <w:rsid w:val="485D07CA"/>
    <w:rsid w:val="486C4E03"/>
    <w:rsid w:val="486F6A71"/>
    <w:rsid w:val="48700549"/>
    <w:rsid w:val="487F73ED"/>
    <w:rsid w:val="4893639E"/>
    <w:rsid w:val="4896752A"/>
    <w:rsid w:val="48B4692B"/>
    <w:rsid w:val="48DF53D1"/>
    <w:rsid w:val="48FA6DD3"/>
    <w:rsid w:val="48FD7041"/>
    <w:rsid w:val="490D7B67"/>
    <w:rsid w:val="491E5634"/>
    <w:rsid w:val="493233D1"/>
    <w:rsid w:val="49351CCB"/>
    <w:rsid w:val="494A53D6"/>
    <w:rsid w:val="49770038"/>
    <w:rsid w:val="49A168DA"/>
    <w:rsid w:val="49C448DB"/>
    <w:rsid w:val="4A186F45"/>
    <w:rsid w:val="4A347EAE"/>
    <w:rsid w:val="4A363664"/>
    <w:rsid w:val="4A447968"/>
    <w:rsid w:val="4A453CA3"/>
    <w:rsid w:val="4A4F29D8"/>
    <w:rsid w:val="4A7E3C82"/>
    <w:rsid w:val="4AA424B4"/>
    <w:rsid w:val="4ABC4B87"/>
    <w:rsid w:val="4AC37C16"/>
    <w:rsid w:val="4AD211F8"/>
    <w:rsid w:val="4AFF110D"/>
    <w:rsid w:val="4B1D0C21"/>
    <w:rsid w:val="4B377C6B"/>
    <w:rsid w:val="4B443357"/>
    <w:rsid w:val="4B77054C"/>
    <w:rsid w:val="4B776061"/>
    <w:rsid w:val="4B8603DC"/>
    <w:rsid w:val="4BA966A9"/>
    <w:rsid w:val="4BC14C93"/>
    <w:rsid w:val="4BC94661"/>
    <w:rsid w:val="4BF56553"/>
    <w:rsid w:val="4C0F1A13"/>
    <w:rsid w:val="4C124B73"/>
    <w:rsid w:val="4C180FBA"/>
    <w:rsid w:val="4C1B6028"/>
    <w:rsid w:val="4C247B40"/>
    <w:rsid w:val="4C3F6940"/>
    <w:rsid w:val="4C47042A"/>
    <w:rsid w:val="4C54114B"/>
    <w:rsid w:val="4C726C1C"/>
    <w:rsid w:val="4C824787"/>
    <w:rsid w:val="4C9A2467"/>
    <w:rsid w:val="4CA43C5B"/>
    <w:rsid w:val="4CA87778"/>
    <w:rsid w:val="4CA9648B"/>
    <w:rsid w:val="4CAB798E"/>
    <w:rsid w:val="4CED0590"/>
    <w:rsid w:val="4CF565BE"/>
    <w:rsid w:val="4CF67F1A"/>
    <w:rsid w:val="4CFF7940"/>
    <w:rsid w:val="4D085D52"/>
    <w:rsid w:val="4D0B1001"/>
    <w:rsid w:val="4D260D77"/>
    <w:rsid w:val="4D2D5512"/>
    <w:rsid w:val="4D303A5E"/>
    <w:rsid w:val="4D3D24B2"/>
    <w:rsid w:val="4D46359B"/>
    <w:rsid w:val="4D4737B0"/>
    <w:rsid w:val="4DAE6DC8"/>
    <w:rsid w:val="4DB101CA"/>
    <w:rsid w:val="4DE4680E"/>
    <w:rsid w:val="4E025DE2"/>
    <w:rsid w:val="4E133FD9"/>
    <w:rsid w:val="4E1815AC"/>
    <w:rsid w:val="4E1969D8"/>
    <w:rsid w:val="4E2159B8"/>
    <w:rsid w:val="4E255B1D"/>
    <w:rsid w:val="4E2E572B"/>
    <w:rsid w:val="4E2F5388"/>
    <w:rsid w:val="4E31481D"/>
    <w:rsid w:val="4E3331E1"/>
    <w:rsid w:val="4E3B029B"/>
    <w:rsid w:val="4E672BE4"/>
    <w:rsid w:val="4E754D95"/>
    <w:rsid w:val="4EA32914"/>
    <w:rsid w:val="4EAE32D0"/>
    <w:rsid w:val="4F183F46"/>
    <w:rsid w:val="4F481FF7"/>
    <w:rsid w:val="4F6B716B"/>
    <w:rsid w:val="4F75422A"/>
    <w:rsid w:val="4FC25F3D"/>
    <w:rsid w:val="502858AB"/>
    <w:rsid w:val="50601289"/>
    <w:rsid w:val="50A66E14"/>
    <w:rsid w:val="50BC5634"/>
    <w:rsid w:val="50BE43AA"/>
    <w:rsid w:val="50F34100"/>
    <w:rsid w:val="50F611D1"/>
    <w:rsid w:val="512C12EA"/>
    <w:rsid w:val="51346279"/>
    <w:rsid w:val="514847A0"/>
    <w:rsid w:val="514B15D1"/>
    <w:rsid w:val="51701460"/>
    <w:rsid w:val="51704DA7"/>
    <w:rsid w:val="519B67D3"/>
    <w:rsid w:val="51C072D1"/>
    <w:rsid w:val="51DD59BD"/>
    <w:rsid w:val="51E50B35"/>
    <w:rsid w:val="51E530D5"/>
    <w:rsid w:val="51E62116"/>
    <w:rsid w:val="523874A0"/>
    <w:rsid w:val="52497871"/>
    <w:rsid w:val="524B667E"/>
    <w:rsid w:val="52600405"/>
    <w:rsid w:val="52614206"/>
    <w:rsid w:val="52901473"/>
    <w:rsid w:val="52932F7D"/>
    <w:rsid w:val="529B4319"/>
    <w:rsid w:val="52D202EC"/>
    <w:rsid w:val="530D18F5"/>
    <w:rsid w:val="535B1A37"/>
    <w:rsid w:val="537B6A2A"/>
    <w:rsid w:val="53B2366A"/>
    <w:rsid w:val="53BC467D"/>
    <w:rsid w:val="53C06C79"/>
    <w:rsid w:val="53CE4490"/>
    <w:rsid w:val="53D05BC0"/>
    <w:rsid w:val="53E43612"/>
    <w:rsid w:val="53EC29E2"/>
    <w:rsid w:val="53F53A06"/>
    <w:rsid w:val="54084621"/>
    <w:rsid w:val="54324C40"/>
    <w:rsid w:val="5443353B"/>
    <w:rsid w:val="544F2264"/>
    <w:rsid w:val="5492379D"/>
    <w:rsid w:val="54A02940"/>
    <w:rsid w:val="54A070C7"/>
    <w:rsid w:val="54BC7F55"/>
    <w:rsid w:val="54BE49DC"/>
    <w:rsid w:val="54D76F24"/>
    <w:rsid w:val="55023909"/>
    <w:rsid w:val="55167A96"/>
    <w:rsid w:val="55313FDF"/>
    <w:rsid w:val="55416C3D"/>
    <w:rsid w:val="557A0AF0"/>
    <w:rsid w:val="5582399B"/>
    <w:rsid w:val="559918ED"/>
    <w:rsid w:val="559D71BE"/>
    <w:rsid w:val="55AF5FE2"/>
    <w:rsid w:val="55AF661A"/>
    <w:rsid w:val="55D275F7"/>
    <w:rsid w:val="55EA1F85"/>
    <w:rsid w:val="560007F3"/>
    <w:rsid w:val="562623EC"/>
    <w:rsid w:val="56274F8B"/>
    <w:rsid w:val="56354A07"/>
    <w:rsid w:val="564B163D"/>
    <w:rsid w:val="564E3662"/>
    <w:rsid w:val="5650046E"/>
    <w:rsid w:val="56500937"/>
    <w:rsid w:val="56546C75"/>
    <w:rsid w:val="56561DFE"/>
    <w:rsid w:val="567C4AB7"/>
    <w:rsid w:val="569419C8"/>
    <w:rsid w:val="56A636DA"/>
    <w:rsid w:val="56A73D4E"/>
    <w:rsid w:val="56AD148D"/>
    <w:rsid w:val="56AD6C38"/>
    <w:rsid w:val="56AE11EA"/>
    <w:rsid w:val="56C4740D"/>
    <w:rsid w:val="56CD0FD0"/>
    <w:rsid w:val="56DE7D3F"/>
    <w:rsid w:val="56EF6FC3"/>
    <w:rsid w:val="56FA55B0"/>
    <w:rsid w:val="57103AC6"/>
    <w:rsid w:val="571E4D69"/>
    <w:rsid w:val="5760795D"/>
    <w:rsid w:val="57770AB6"/>
    <w:rsid w:val="57773DD6"/>
    <w:rsid w:val="578B79AB"/>
    <w:rsid w:val="578E749D"/>
    <w:rsid w:val="57C557AE"/>
    <w:rsid w:val="57D2556D"/>
    <w:rsid w:val="57E00C46"/>
    <w:rsid w:val="5812749A"/>
    <w:rsid w:val="581B62E9"/>
    <w:rsid w:val="58287A80"/>
    <w:rsid w:val="58420839"/>
    <w:rsid w:val="58541931"/>
    <w:rsid w:val="58941D5E"/>
    <w:rsid w:val="58C57FF2"/>
    <w:rsid w:val="59040120"/>
    <w:rsid w:val="5906475E"/>
    <w:rsid w:val="591B75E6"/>
    <w:rsid w:val="59354E08"/>
    <w:rsid w:val="595C507D"/>
    <w:rsid w:val="595F605F"/>
    <w:rsid w:val="597850C5"/>
    <w:rsid w:val="5990086F"/>
    <w:rsid w:val="59A73B93"/>
    <w:rsid w:val="59B9133A"/>
    <w:rsid w:val="59D83AE8"/>
    <w:rsid w:val="5A0C2D7B"/>
    <w:rsid w:val="5A326EAB"/>
    <w:rsid w:val="5A5B40BE"/>
    <w:rsid w:val="5A7E0246"/>
    <w:rsid w:val="5AB0716D"/>
    <w:rsid w:val="5ADD6FE0"/>
    <w:rsid w:val="5AE72FC2"/>
    <w:rsid w:val="5B051471"/>
    <w:rsid w:val="5B102131"/>
    <w:rsid w:val="5B2A62EA"/>
    <w:rsid w:val="5B5D0A78"/>
    <w:rsid w:val="5B6637A8"/>
    <w:rsid w:val="5B726C7E"/>
    <w:rsid w:val="5B7459CE"/>
    <w:rsid w:val="5BA73708"/>
    <w:rsid w:val="5BC24F89"/>
    <w:rsid w:val="5BD46B67"/>
    <w:rsid w:val="5C4213AA"/>
    <w:rsid w:val="5C666C6F"/>
    <w:rsid w:val="5C6B51F2"/>
    <w:rsid w:val="5C715CFF"/>
    <w:rsid w:val="5C78249A"/>
    <w:rsid w:val="5C7864EB"/>
    <w:rsid w:val="5CBE738F"/>
    <w:rsid w:val="5CCD3FD5"/>
    <w:rsid w:val="5CDD0457"/>
    <w:rsid w:val="5D077710"/>
    <w:rsid w:val="5D09763B"/>
    <w:rsid w:val="5D131CBB"/>
    <w:rsid w:val="5D323E52"/>
    <w:rsid w:val="5D42399E"/>
    <w:rsid w:val="5D4865D7"/>
    <w:rsid w:val="5D61433E"/>
    <w:rsid w:val="5D840DF5"/>
    <w:rsid w:val="5DBD0F99"/>
    <w:rsid w:val="5DC52273"/>
    <w:rsid w:val="5DC94CF3"/>
    <w:rsid w:val="5DE167F1"/>
    <w:rsid w:val="5DE9595A"/>
    <w:rsid w:val="5DFD0D3B"/>
    <w:rsid w:val="5E1647DC"/>
    <w:rsid w:val="5E2F2D4C"/>
    <w:rsid w:val="5E353C7E"/>
    <w:rsid w:val="5E417018"/>
    <w:rsid w:val="5E741DE2"/>
    <w:rsid w:val="5E905C29"/>
    <w:rsid w:val="5E940031"/>
    <w:rsid w:val="5EA06EE9"/>
    <w:rsid w:val="5EB117D2"/>
    <w:rsid w:val="5EB41F22"/>
    <w:rsid w:val="5F064887"/>
    <w:rsid w:val="5F186947"/>
    <w:rsid w:val="5F3509AD"/>
    <w:rsid w:val="5F3542E7"/>
    <w:rsid w:val="5F535DFD"/>
    <w:rsid w:val="5F5536D9"/>
    <w:rsid w:val="5F6204AE"/>
    <w:rsid w:val="5F785FC1"/>
    <w:rsid w:val="5FC16F0E"/>
    <w:rsid w:val="5FDA1D70"/>
    <w:rsid w:val="5FE30744"/>
    <w:rsid w:val="5FF049FE"/>
    <w:rsid w:val="60036678"/>
    <w:rsid w:val="60057D72"/>
    <w:rsid w:val="60475099"/>
    <w:rsid w:val="605857EF"/>
    <w:rsid w:val="606C7843"/>
    <w:rsid w:val="607372E2"/>
    <w:rsid w:val="60964409"/>
    <w:rsid w:val="60AD1EC4"/>
    <w:rsid w:val="60AF1CD9"/>
    <w:rsid w:val="60B5613D"/>
    <w:rsid w:val="60CB3C20"/>
    <w:rsid w:val="60D355C5"/>
    <w:rsid w:val="61003DDD"/>
    <w:rsid w:val="61083F4F"/>
    <w:rsid w:val="6108595B"/>
    <w:rsid w:val="610F32C2"/>
    <w:rsid w:val="611719CC"/>
    <w:rsid w:val="61324281"/>
    <w:rsid w:val="614A67F0"/>
    <w:rsid w:val="614C47A3"/>
    <w:rsid w:val="614C4AF4"/>
    <w:rsid w:val="614E0C51"/>
    <w:rsid w:val="614F3602"/>
    <w:rsid w:val="61551282"/>
    <w:rsid w:val="615D7577"/>
    <w:rsid w:val="61866AC9"/>
    <w:rsid w:val="619A36FA"/>
    <w:rsid w:val="61C04CDA"/>
    <w:rsid w:val="61FA5F9D"/>
    <w:rsid w:val="61FF5FBD"/>
    <w:rsid w:val="622A0D20"/>
    <w:rsid w:val="6238561B"/>
    <w:rsid w:val="626E062E"/>
    <w:rsid w:val="626F08E7"/>
    <w:rsid w:val="6270270D"/>
    <w:rsid w:val="627A2E35"/>
    <w:rsid w:val="62840840"/>
    <w:rsid w:val="629A0B36"/>
    <w:rsid w:val="62B944D5"/>
    <w:rsid w:val="63165379"/>
    <w:rsid w:val="632A0CA0"/>
    <w:rsid w:val="632A616D"/>
    <w:rsid w:val="63305C63"/>
    <w:rsid w:val="637869E8"/>
    <w:rsid w:val="639D6F90"/>
    <w:rsid w:val="63CA60A3"/>
    <w:rsid w:val="63D95239"/>
    <w:rsid w:val="63E966CD"/>
    <w:rsid w:val="6410128C"/>
    <w:rsid w:val="641D51B6"/>
    <w:rsid w:val="64726402"/>
    <w:rsid w:val="647B1F3C"/>
    <w:rsid w:val="648C2187"/>
    <w:rsid w:val="6493430C"/>
    <w:rsid w:val="649C7703"/>
    <w:rsid w:val="64CD6910"/>
    <w:rsid w:val="64E93869"/>
    <w:rsid w:val="652B7C86"/>
    <w:rsid w:val="652C761E"/>
    <w:rsid w:val="65446D3E"/>
    <w:rsid w:val="654B1003"/>
    <w:rsid w:val="65595366"/>
    <w:rsid w:val="65BC63F6"/>
    <w:rsid w:val="65D4015F"/>
    <w:rsid w:val="65E35C66"/>
    <w:rsid w:val="65E42207"/>
    <w:rsid w:val="65FA7038"/>
    <w:rsid w:val="66000B20"/>
    <w:rsid w:val="66061F6C"/>
    <w:rsid w:val="66315C80"/>
    <w:rsid w:val="665F313E"/>
    <w:rsid w:val="66612562"/>
    <w:rsid w:val="66745C58"/>
    <w:rsid w:val="66AD27A9"/>
    <w:rsid w:val="66C0427A"/>
    <w:rsid w:val="67111C5E"/>
    <w:rsid w:val="671F7217"/>
    <w:rsid w:val="67223810"/>
    <w:rsid w:val="67251F31"/>
    <w:rsid w:val="67485717"/>
    <w:rsid w:val="677D3C8D"/>
    <w:rsid w:val="6789158D"/>
    <w:rsid w:val="679D5E06"/>
    <w:rsid w:val="67B34852"/>
    <w:rsid w:val="67C22855"/>
    <w:rsid w:val="67D81BA4"/>
    <w:rsid w:val="67EC5290"/>
    <w:rsid w:val="67FB5A14"/>
    <w:rsid w:val="682B3897"/>
    <w:rsid w:val="68405EC2"/>
    <w:rsid w:val="684715FB"/>
    <w:rsid w:val="688F0160"/>
    <w:rsid w:val="68983C7D"/>
    <w:rsid w:val="68E54C17"/>
    <w:rsid w:val="68E7386F"/>
    <w:rsid w:val="68FF569B"/>
    <w:rsid w:val="6917241C"/>
    <w:rsid w:val="694B4C8F"/>
    <w:rsid w:val="694F2893"/>
    <w:rsid w:val="694F3E3C"/>
    <w:rsid w:val="695B437A"/>
    <w:rsid w:val="69601EFB"/>
    <w:rsid w:val="69915F10"/>
    <w:rsid w:val="69AC11E5"/>
    <w:rsid w:val="69BC6AC4"/>
    <w:rsid w:val="69C23744"/>
    <w:rsid w:val="69EB5AE1"/>
    <w:rsid w:val="69EF53A0"/>
    <w:rsid w:val="69FA5C64"/>
    <w:rsid w:val="6A2A2E6B"/>
    <w:rsid w:val="6A305CCF"/>
    <w:rsid w:val="6A377D33"/>
    <w:rsid w:val="6A3A494E"/>
    <w:rsid w:val="6A3E5223"/>
    <w:rsid w:val="6A56386B"/>
    <w:rsid w:val="6A654607"/>
    <w:rsid w:val="6A657A3E"/>
    <w:rsid w:val="6A667DB5"/>
    <w:rsid w:val="6A874A4C"/>
    <w:rsid w:val="6A8B5527"/>
    <w:rsid w:val="6A8F0037"/>
    <w:rsid w:val="6A9238BD"/>
    <w:rsid w:val="6A944D42"/>
    <w:rsid w:val="6AAF1C96"/>
    <w:rsid w:val="6AD611B0"/>
    <w:rsid w:val="6AE071F8"/>
    <w:rsid w:val="6AE22076"/>
    <w:rsid w:val="6B1E6902"/>
    <w:rsid w:val="6B8A6AEC"/>
    <w:rsid w:val="6B8C2E3B"/>
    <w:rsid w:val="6B92697C"/>
    <w:rsid w:val="6BBD6C5C"/>
    <w:rsid w:val="6BC750F9"/>
    <w:rsid w:val="6BCA3E5B"/>
    <w:rsid w:val="6BE847D3"/>
    <w:rsid w:val="6C252CC4"/>
    <w:rsid w:val="6C2E7E24"/>
    <w:rsid w:val="6C5037CC"/>
    <w:rsid w:val="6C74708C"/>
    <w:rsid w:val="6CA97251"/>
    <w:rsid w:val="6CD877FD"/>
    <w:rsid w:val="6D020A7A"/>
    <w:rsid w:val="6D0670AC"/>
    <w:rsid w:val="6D162802"/>
    <w:rsid w:val="6D1D4BB7"/>
    <w:rsid w:val="6D661F89"/>
    <w:rsid w:val="6DDD667E"/>
    <w:rsid w:val="6DE350A6"/>
    <w:rsid w:val="6DFB2473"/>
    <w:rsid w:val="6E095405"/>
    <w:rsid w:val="6E4D225A"/>
    <w:rsid w:val="6E5520B9"/>
    <w:rsid w:val="6E665027"/>
    <w:rsid w:val="6E6F38F9"/>
    <w:rsid w:val="6E8275B1"/>
    <w:rsid w:val="6E954EDF"/>
    <w:rsid w:val="6E9930C9"/>
    <w:rsid w:val="6E9A1120"/>
    <w:rsid w:val="6EBF6ECB"/>
    <w:rsid w:val="6EC229EC"/>
    <w:rsid w:val="6EC3462F"/>
    <w:rsid w:val="6ECB64E5"/>
    <w:rsid w:val="6ED61498"/>
    <w:rsid w:val="6ED74E1E"/>
    <w:rsid w:val="6F071A1B"/>
    <w:rsid w:val="6F2E41FD"/>
    <w:rsid w:val="6F355AEB"/>
    <w:rsid w:val="6F4A49DA"/>
    <w:rsid w:val="6F523204"/>
    <w:rsid w:val="6F864471"/>
    <w:rsid w:val="6F9528AB"/>
    <w:rsid w:val="6FAC77CC"/>
    <w:rsid w:val="6FCD23A4"/>
    <w:rsid w:val="6FCE7128"/>
    <w:rsid w:val="6FD74664"/>
    <w:rsid w:val="6FE42200"/>
    <w:rsid w:val="6FE53105"/>
    <w:rsid w:val="6FE6433E"/>
    <w:rsid w:val="6FED7448"/>
    <w:rsid w:val="6FF16AA3"/>
    <w:rsid w:val="6FF17F55"/>
    <w:rsid w:val="70013319"/>
    <w:rsid w:val="7003775E"/>
    <w:rsid w:val="700D0DC0"/>
    <w:rsid w:val="702224FA"/>
    <w:rsid w:val="70300D24"/>
    <w:rsid w:val="704266EF"/>
    <w:rsid w:val="70450D64"/>
    <w:rsid w:val="7045513A"/>
    <w:rsid w:val="70C665AF"/>
    <w:rsid w:val="70E16AC5"/>
    <w:rsid w:val="70ED49E3"/>
    <w:rsid w:val="70F07F00"/>
    <w:rsid w:val="70F60CD9"/>
    <w:rsid w:val="7126795E"/>
    <w:rsid w:val="71352356"/>
    <w:rsid w:val="71404F62"/>
    <w:rsid w:val="71516913"/>
    <w:rsid w:val="717C6347"/>
    <w:rsid w:val="718B0B80"/>
    <w:rsid w:val="719A1218"/>
    <w:rsid w:val="719F0B70"/>
    <w:rsid w:val="71A46868"/>
    <w:rsid w:val="71B9647C"/>
    <w:rsid w:val="71D4058F"/>
    <w:rsid w:val="71E9354C"/>
    <w:rsid w:val="72115970"/>
    <w:rsid w:val="72143E89"/>
    <w:rsid w:val="7218424F"/>
    <w:rsid w:val="725278D3"/>
    <w:rsid w:val="72577AA5"/>
    <w:rsid w:val="72662722"/>
    <w:rsid w:val="72733629"/>
    <w:rsid w:val="72991A97"/>
    <w:rsid w:val="72A96B80"/>
    <w:rsid w:val="72D46EF1"/>
    <w:rsid w:val="72EF37AC"/>
    <w:rsid w:val="730C6279"/>
    <w:rsid w:val="73456AA5"/>
    <w:rsid w:val="73B720B0"/>
    <w:rsid w:val="73CC28F7"/>
    <w:rsid w:val="73F7393B"/>
    <w:rsid w:val="74126B4E"/>
    <w:rsid w:val="74292A64"/>
    <w:rsid w:val="74320558"/>
    <w:rsid w:val="743254E7"/>
    <w:rsid w:val="743D767E"/>
    <w:rsid w:val="744B5C20"/>
    <w:rsid w:val="7451792C"/>
    <w:rsid w:val="74545D72"/>
    <w:rsid w:val="747A4A35"/>
    <w:rsid w:val="74884DCF"/>
    <w:rsid w:val="749165FC"/>
    <w:rsid w:val="74A540A2"/>
    <w:rsid w:val="74A742D3"/>
    <w:rsid w:val="74D96526"/>
    <w:rsid w:val="74DE38B8"/>
    <w:rsid w:val="74F116A1"/>
    <w:rsid w:val="74F25222"/>
    <w:rsid w:val="7501777E"/>
    <w:rsid w:val="7510513B"/>
    <w:rsid w:val="752158FE"/>
    <w:rsid w:val="75681757"/>
    <w:rsid w:val="7586454C"/>
    <w:rsid w:val="75936DB1"/>
    <w:rsid w:val="75A346A8"/>
    <w:rsid w:val="75C47F5F"/>
    <w:rsid w:val="75CD41D9"/>
    <w:rsid w:val="75CE3B46"/>
    <w:rsid w:val="75DD7E01"/>
    <w:rsid w:val="75F03095"/>
    <w:rsid w:val="75F74E48"/>
    <w:rsid w:val="75F76CE6"/>
    <w:rsid w:val="76122278"/>
    <w:rsid w:val="76231019"/>
    <w:rsid w:val="764878EC"/>
    <w:rsid w:val="76550451"/>
    <w:rsid w:val="76571D78"/>
    <w:rsid w:val="76640A31"/>
    <w:rsid w:val="76642C80"/>
    <w:rsid w:val="7665506B"/>
    <w:rsid w:val="76720242"/>
    <w:rsid w:val="767545C5"/>
    <w:rsid w:val="76922372"/>
    <w:rsid w:val="769612BC"/>
    <w:rsid w:val="76A215B1"/>
    <w:rsid w:val="76AF3E78"/>
    <w:rsid w:val="76B2195F"/>
    <w:rsid w:val="76C6733C"/>
    <w:rsid w:val="76D558D9"/>
    <w:rsid w:val="76E5121E"/>
    <w:rsid w:val="76FB3DAD"/>
    <w:rsid w:val="77025768"/>
    <w:rsid w:val="771E29BE"/>
    <w:rsid w:val="77205404"/>
    <w:rsid w:val="77277482"/>
    <w:rsid w:val="772B2DC3"/>
    <w:rsid w:val="77575DB8"/>
    <w:rsid w:val="779F74BB"/>
    <w:rsid w:val="77AC64C5"/>
    <w:rsid w:val="77C53F83"/>
    <w:rsid w:val="77D75597"/>
    <w:rsid w:val="780A06E7"/>
    <w:rsid w:val="780C3DB6"/>
    <w:rsid w:val="7811016E"/>
    <w:rsid w:val="781F4CB1"/>
    <w:rsid w:val="78294013"/>
    <w:rsid w:val="786B52BB"/>
    <w:rsid w:val="787E2A9E"/>
    <w:rsid w:val="78B14D7B"/>
    <w:rsid w:val="78D30EE7"/>
    <w:rsid w:val="78D651C0"/>
    <w:rsid w:val="79070D6F"/>
    <w:rsid w:val="790A4EBD"/>
    <w:rsid w:val="7912040B"/>
    <w:rsid w:val="79144AFB"/>
    <w:rsid w:val="791E72B8"/>
    <w:rsid w:val="794D4AB0"/>
    <w:rsid w:val="796A7C85"/>
    <w:rsid w:val="796C3E52"/>
    <w:rsid w:val="797F39F0"/>
    <w:rsid w:val="7997158F"/>
    <w:rsid w:val="799D475E"/>
    <w:rsid w:val="79AC3824"/>
    <w:rsid w:val="79B9382C"/>
    <w:rsid w:val="79C516B7"/>
    <w:rsid w:val="79CC1B4E"/>
    <w:rsid w:val="79D330D3"/>
    <w:rsid w:val="79D946E5"/>
    <w:rsid w:val="79E72A76"/>
    <w:rsid w:val="79ED158A"/>
    <w:rsid w:val="79F61673"/>
    <w:rsid w:val="7A0F3B9E"/>
    <w:rsid w:val="7A166B6D"/>
    <w:rsid w:val="7A2A1676"/>
    <w:rsid w:val="7A373E02"/>
    <w:rsid w:val="7A4B1F7D"/>
    <w:rsid w:val="7A562146"/>
    <w:rsid w:val="7A5A052E"/>
    <w:rsid w:val="7A8822BA"/>
    <w:rsid w:val="7A94428A"/>
    <w:rsid w:val="7A950B48"/>
    <w:rsid w:val="7AFA5F1E"/>
    <w:rsid w:val="7B043B76"/>
    <w:rsid w:val="7B0C5EAD"/>
    <w:rsid w:val="7B55561B"/>
    <w:rsid w:val="7B7879CF"/>
    <w:rsid w:val="7B803CF7"/>
    <w:rsid w:val="7B884458"/>
    <w:rsid w:val="7BAC448A"/>
    <w:rsid w:val="7BCC4E12"/>
    <w:rsid w:val="7BED186A"/>
    <w:rsid w:val="7C006452"/>
    <w:rsid w:val="7C041A6A"/>
    <w:rsid w:val="7C05044A"/>
    <w:rsid w:val="7C0E402F"/>
    <w:rsid w:val="7C140227"/>
    <w:rsid w:val="7C2B28C1"/>
    <w:rsid w:val="7C4353E5"/>
    <w:rsid w:val="7C4A726A"/>
    <w:rsid w:val="7C853EEB"/>
    <w:rsid w:val="7CAB6885"/>
    <w:rsid w:val="7CAD0189"/>
    <w:rsid w:val="7CC93F07"/>
    <w:rsid w:val="7D1955DE"/>
    <w:rsid w:val="7D3A44BB"/>
    <w:rsid w:val="7D533061"/>
    <w:rsid w:val="7D600C36"/>
    <w:rsid w:val="7D9F3278"/>
    <w:rsid w:val="7DA10F7B"/>
    <w:rsid w:val="7DD52E89"/>
    <w:rsid w:val="7DF258DF"/>
    <w:rsid w:val="7E0635CB"/>
    <w:rsid w:val="7E2B49AB"/>
    <w:rsid w:val="7E323B42"/>
    <w:rsid w:val="7E327570"/>
    <w:rsid w:val="7E6D4839"/>
    <w:rsid w:val="7E744300"/>
    <w:rsid w:val="7ECC149C"/>
    <w:rsid w:val="7EF1288B"/>
    <w:rsid w:val="7F031D54"/>
    <w:rsid w:val="7F157990"/>
    <w:rsid w:val="7F880045"/>
    <w:rsid w:val="7F887AFB"/>
    <w:rsid w:val="7FC00505"/>
    <w:rsid w:val="7FE02F43"/>
    <w:rsid w:val="7FFC48F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07"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semiHidden="0" w:uiPriority="1" w:qFormat="1"/>
    <w:lsdException w:name="Body Tex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qFormat="1"/>
    <w:lsdException w:name="Balloon Text" w:semiHidden="0" w:qFormat="1"/>
    <w:lsdException w:name="Table Grid"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A1185"/>
    <w:pPr>
      <w:widowControl w:val="0"/>
      <w:jc w:val="both"/>
    </w:pPr>
    <w:rPr>
      <w:rFonts w:asciiTheme="minorHAnsi" w:eastAsiaTheme="minorEastAsia" w:hAnsiTheme="minorHAnsi" w:cstheme="minorBidi"/>
      <w:kern w:val="2"/>
      <w:sz w:val="21"/>
      <w:szCs w:val="22"/>
    </w:rPr>
  </w:style>
  <w:style w:type="paragraph" w:styleId="1">
    <w:name w:val="heading 1"/>
    <w:basedOn w:val="a"/>
    <w:next w:val="a"/>
    <w:uiPriority w:val="9"/>
    <w:qFormat/>
    <w:rsid w:val="00DA1185"/>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99"/>
    <w:unhideWhenUsed/>
    <w:qFormat/>
    <w:rsid w:val="00DA1185"/>
    <w:rPr>
      <w:rFonts w:ascii="仿宋_GB2312" w:eastAsia="仿宋_GB2312" w:hAnsi="仿宋_GB2312" w:cs="仿宋_GB2312"/>
      <w:sz w:val="32"/>
      <w:szCs w:val="32"/>
      <w:lang w:val="zh-CN" w:bidi="zh-CN"/>
    </w:rPr>
  </w:style>
  <w:style w:type="paragraph" w:styleId="a4">
    <w:name w:val="Balloon Text"/>
    <w:basedOn w:val="a"/>
    <w:link w:val="Char"/>
    <w:uiPriority w:val="99"/>
    <w:unhideWhenUsed/>
    <w:qFormat/>
    <w:rsid w:val="00DA1185"/>
    <w:rPr>
      <w:sz w:val="18"/>
      <w:szCs w:val="18"/>
    </w:rPr>
  </w:style>
  <w:style w:type="paragraph" w:styleId="a5">
    <w:name w:val="footer"/>
    <w:basedOn w:val="a"/>
    <w:link w:val="Char0"/>
    <w:uiPriority w:val="99"/>
    <w:unhideWhenUsed/>
    <w:qFormat/>
    <w:rsid w:val="00DA1185"/>
    <w:pPr>
      <w:tabs>
        <w:tab w:val="center" w:pos="4153"/>
        <w:tab w:val="right" w:pos="8306"/>
      </w:tabs>
      <w:snapToGrid w:val="0"/>
      <w:jc w:val="left"/>
    </w:pPr>
    <w:rPr>
      <w:sz w:val="18"/>
      <w:szCs w:val="18"/>
    </w:rPr>
  </w:style>
  <w:style w:type="paragraph" w:styleId="a6">
    <w:name w:val="header"/>
    <w:basedOn w:val="a"/>
    <w:link w:val="Char1"/>
    <w:uiPriority w:val="99"/>
    <w:unhideWhenUsed/>
    <w:qFormat/>
    <w:rsid w:val="00DA1185"/>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table" w:styleId="a7">
    <w:name w:val="Table Grid"/>
    <w:uiPriority w:val="1"/>
    <w:qFormat/>
    <w:rsid w:val="00DA1185"/>
    <w:rPr>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Char1">
    <w:name w:val="页眉 Char"/>
    <w:basedOn w:val="a0"/>
    <w:link w:val="a6"/>
    <w:uiPriority w:val="99"/>
    <w:qFormat/>
    <w:rsid w:val="00DA1185"/>
    <w:rPr>
      <w:rFonts w:asciiTheme="minorHAnsi" w:eastAsiaTheme="minorEastAsia" w:hAnsiTheme="minorHAnsi"/>
      <w:sz w:val="18"/>
      <w:szCs w:val="18"/>
    </w:rPr>
  </w:style>
  <w:style w:type="character" w:customStyle="1" w:styleId="Char0">
    <w:name w:val="页脚 Char"/>
    <w:basedOn w:val="a0"/>
    <w:link w:val="a5"/>
    <w:uiPriority w:val="99"/>
    <w:qFormat/>
    <w:rsid w:val="00DA1185"/>
    <w:rPr>
      <w:sz w:val="18"/>
      <w:szCs w:val="18"/>
    </w:rPr>
  </w:style>
  <w:style w:type="paragraph" w:customStyle="1" w:styleId="10">
    <w:name w:val="列出段落1"/>
    <w:basedOn w:val="a"/>
    <w:uiPriority w:val="1"/>
    <w:qFormat/>
    <w:rsid w:val="00DA1185"/>
    <w:pPr>
      <w:spacing w:before="2"/>
      <w:ind w:left="119" w:right="434" w:firstLine="643"/>
    </w:pPr>
    <w:rPr>
      <w:rFonts w:ascii="仿宋_GB2312" w:eastAsia="仿宋_GB2312" w:hAnsi="仿宋_GB2312" w:cs="仿宋_GB2312"/>
      <w:lang w:val="zh-CN" w:bidi="zh-CN"/>
    </w:rPr>
  </w:style>
  <w:style w:type="character" w:customStyle="1" w:styleId="Char">
    <w:name w:val="批注框文本 Char"/>
    <w:basedOn w:val="a0"/>
    <w:link w:val="a4"/>
    <w:uiPriority w:val="99"/>
    <w:semiHidden/>
    <w:rsid w:val="00DA1185"/>
    <w:rPr>
      <w:rFonts w:asciiTheme="minorHAnsi" w:eastAsiaTheme="minorEastAsia" w:hAnsiTheme="minorHAnsi" w:cstheme="minorBidi"/>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footer" Target="footer4.xml"/><Relationship Id="rId26" Type="http://schemas.openxmlformats.org/officeDocument/2006/relationships/footer" Target="footer8.xml"/><Relationship Id="rId39" Type="http://schemas.openxmlformats.org/officeDocument/2006/relationships/header" Target="header12.xml"/><Relationship Id="rId3" Type="http://schemas.openxmlformats.org/officeDocument/2006/relationships/numbering" Target="numbering.xml"/><Relationship Id="rId21" Type="http://schemas.openxmlformats.org/officeDocument/2006/relationships/header" Target="header7.xml"/><Relationship Id="rId34" Type="http://schemas.openxmlformats.org/officeDocument/2006/relationships/chart" Target="charts/chart6.xml"/><Relationship Id="rId42" Type="http://schemas.openxmlformats.org/officeDocument/2006/relationships/header" Target="header14.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header" Target="header5.xml"/><Relationship Id="rId25" Type="http://schemas.openxmlformats.org/officeDocument/2006/relationships/footer" Target="footer7.xml"/><Relationship Id="rId33" Type="http://schemas.openxmlformats.org/officeDocument/2006/relationships/chart" Target="charts/chart5.xml"/><Relationship Id="rId38" Type="http://schemas.openxmlformats.org/officeDocument/2006/relationships/footer" Target="footer10.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footer" Target="footer5.xml"/><Relationship Id="rId29" Type="http://schemas.openxmlformats.org/officeDocument/2006/relationships/chart" Target="charts/chart1.xml"/><Relationship Id="rId41" Type="http://schemas.openxmlformats.org/officeDocument/2006/relationships/footer" Target="footer1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24" Type="http://schemas.openxmlformats.org/officeDocument/2006/relationships/header" Target="header8.xml"/><Relationship Id="rId32" Type="http://schemas.openxmlformats.org/officeDocument/2006/relationships/chart" Target="charts/chart4.xml"/><Relationship Id="rId37" Type="http://schemas.openxmlformats.org/officeDocument/2006/relationships/header" Target="header11.xml"/><Relationship Id="rId40" Type="http://schemas.openxmlformats.org/officeDocument/2006/relationships/header" Target="header13.xml"/><Relationship Id="rId5" Type="http://schemas.microsoft.com/office/2007/relationships/stylesWithEffects" Target="stylesWithEffects.xml"/><Relationship Id="rId15" Type="http://schemas.openxmlformats.org/officeDocument/2006/relationships/footer" Target="footer3.xml"/><Relationship Id="rId23" Type="http://schemas.openxmlformats.org/officeDocument/2006/relationships/image" Target="media/image1.gif"/><Relationship Id="rId28" Type="http://schemas.openxmlformats.org/officeDocument/2006/relationships/image" Target="media/image2.png"/><Relationship Id="rId36" Type="http://schemas.openxmlformats.org/officeDocument/2006/relationships/footer" Target="footer9.xml"/><Relationship Id="rId10" Type="http://schemas.openxmlformats.org/officeDocument/2006/relationships/header" Target="header1.xml"/><Relationship Id="rId19" Type="http://schemas.openxmlformats.org/officeDocument/2006/relationships/header" Target="header6.xml"/><Relationship Id="rId31" Type="http://schemas.openxmlformats.org/officeDocument/2006/relationships/chart" Target="charts/chart3.xml"/><Relationship Id="rId44"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 Id="rId22" Type="http://schemas.openxmlformats.org/officeDocument/2006/relationships/footer" Target="footer6.xml"/><Relationship Id="rId27" Type="http://schemas.openxmlformats.org/officeDocument/2006/relationships/header" Target="header9.xml"/><Relationship Id="rId30" Type="http://schemas.openxmlformats.org/officeDocument/2006/relationships/chart" Target="charts/chart2.xml"/><Relationship Id="rId35" Type="http://schemas.openxmlformats.org/officeDocument/2006/relationships/header" Target="header10.xml"/><Relationship Id="rId43"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istrator\Desktop\2019&#20915;&#31639;&#25253;&#21578;&#26448;&#26009;9.11\2019&#37096;&#38376;&#20915;&#31639;%20%20%20%20&#39292;&#22270;.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dministrator\Desktop\2019&#20915;&#31639;&#25253;&#21578;&#26448;&#26009;9.11\2019&#37096;&#38376;&#20915;&#31639;%20%20%20%20&#39292;&#22270;.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dministrator\Desktop\2019&#20915;&#31639;&#25253;&#21578;&#26448;&#26009;9.11\2019&#37096;&#38376;&#20915;&#31639;%20%20%20%20&#39292;&#22270;.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dministrator\Desktop\2019&#20915;&#31639;&#25253;&#21578;&#26448;&#26009;9.11\2019&#37096;&#38376;&#20915;&#31639;%20%20%20%20&#39292;&#22270;.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dministrator\Desktop\2019&#20915;&#31639;&#25253;&#21578;&#26448;&#26009;9.11\2019&#37096;&#38376;&#20915;&#31639;%20%20%20%20&#39292;&#22270;.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Administrator\Desktop\2019&#20915;&#31639;&#25253;&#21578;&#26448;&#26009;9.11\2019&#37096;&#38376;&#20915;&#31639;%20%20%20%20&#39292;&#2227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lgn="ctr">
              <a:defRPr lang="zh-CN" sz="1800" b="1" i="0" u="none" strike="noStrike" kern="1200" baseline="0">
                <a:solidFill>
                  <a:schemeClr val="tx1"/>
                </a:solidFill>
                <a:latin typeface="+mn-lt"/>
                <a:ea typeface="+mn-ea"/>
                <a:cs typeface="+mn-cs"/>
              </a:defRPr>
            </a:pPr>
            <a:r>
              <a:rPr lang="zh-CN"/>
              <a:t>图</a:t>
            </a:r>
            <a:r>
              <a:rPr lang="en-US"/>
              <a:t>1</a:t>
            </a:r>
            <a:r>
              <a:rPr lang="zh-CN"/>
              <a:t>：支出构成情况</a:t>
            </a:r>
          </a:p>
        </c:rich>
      </c:tx>
      <c:layout>
        <c:manualLayout>
          <c:xMode val="edge"/>
          <c:yMode val="edge"/>
          <c:x val="0.36413833146703201"/>
          <c:y val="0.82323232323232176"/>
        </c:manualLayout>
      </c:layout>
      <c:overlay val="0"/>
      <c:spPr>
        <a:noFill/>
        <a:ln>
          <a:noFill/>
        </a:ln>
        <a:effectLst/>
      </c:spPr>
    </c:title>
    <c:autoTitleDeleted val="0"/>
    <c:plotArea>
      <c:layout>
        <c:manualLayout>
          <c:layoutTarget val="inner"/>
          <c:xMode val="edge"/>
          <c:yMode val="edge"/>
          <c:x val="0.101627059597234"/>
          <c:y val="0.10324345820408802"/>
          <c:w val="0.80878500796881325"/>
          <c:h val="0.65515469657202141"/>
        </c:manualLayout>
      </c:layout>
      <c:pieChart>
        <c:varyColors val="1"/>
        <c:ser>
          <c:idx val="0"/>
          <c:order val="0"/>
          <c:spPr>
            <a:effectLst/>
          </c:spPr>
          <c:dPt>
            <c:idx val="0"/>
            <c:bubble3D val="0"/>
            <c:spPr>
              <a:solidFill>
                <a:schemeClr val="accent1"/>
              </a:solidFill>
              <a:ln>
                <a:noFill/>
              </a:ln>
              <a:effectLst/>
            </c:spPr>
          </c:dPt>
          <c:dPt>
            <c:idx val="1"/>
            <c:bubble3D val="0"/>
            <c:spPr>
              <a:solidFill>
                <a:schemeClr val="accent2"/>
              </a:solidFill>
              <a:ln>
                <a:noFill/>
              </a:ln>
              <a:effectLst/>
            </c:spPr>
          </c:dPt>
          <c:dPt>
            <c:idx val="2"/>
            <c:bubble3D val="0"/>
            <c:spPr>
              <a:solidFill>
                <a:schemeClr val="accent3"/>
              </a:solidFill>
              <a:ln>
                <a:noFill/>
              </a:ln>
              <a:effectLst/>
            </c:spPr>
          </c:dPt>
          <c:dLbls>
            <c:numFmt formatCode="0.00%" sourceLinked="0"/>
            <c:spPr>
              <a:noFill/>
              <a:ln>
                <a:noFill/>
              </a:ln>
              <a:effectLst/>
            </c:spPr>
            <c:txPr>
              <a:bodyPr rot="0" spcFirstLastPara="0" vertOverflow="ellipsis" horzOverflow="overflow"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LegendKey val="0"/>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solidFill>
                      <a:prstDash val="solid"/>
                      <a:round/>
                    </a:ln>
                    <a:effectLst/>
                  </c:spPr>
                </c15:leaderLines>
              </c:ext>
            </c:extLst>
          </c:dLbls>
          <c:cat>
            <c:strRef>
              <c:f>'[2019部门决算    饼图.xlsx]支出情况说明'!$A$5:$A$7</c:f>
              <c:strCache>
                <c:ptCount val="3"/>
                <c:pt idx="0">
                  <c:v>基本支出</c:v>
                </c:pt>
                <c:pt idx="1">
                  <c:v>项目支出</c:v>
                </c:pt>
                <c:pt idx="2">
                  <c:v>经营支出</c:v>
                </c:pt>
              </c:strCache>
            </c:strRef>
          </c:cat>
          <c:val>
            <c:numRef>
              <c:f>'[2019部门决算    饼图.xlsx]支出情况说明'!$B$5:$B$7</c:f>
              <c:numCache>
                <c:formatCode>General</c:formatCode>
                <c:ptCount val="3"/>
                <c:pt idx="0">
                  <c:v>505.65000000000009</c:v>
                </c:pt>
                <c:pt idx="1">
                  <c:v>135.33000000000001</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solidFill>
      <a:schemeClr val="bg1"/>
    </a:solidFill>
    <a:ln w="9525" cap="flat" cmpd="sng" algn="ctr">
      <a:noFill/>
      <a:prstDash val="solid"/>
      <a:round/>
    </a:ln>
    <a:effectLst/>
  </c:spPr>
  <c:txPr>
    <a:bodyPr rot="0" spcFirstLastPara="0" vertOverflow="ellipsis" horzOverflow="overflow" vert="horz" wrap="square" anchor="ctr" anchorCtr="1"/>
    <a:lstStyle/>
    <a:p>
      <a:pPr>
        <a:defRPr lang="zh-CN"/>
      </a:pPr>
      <a:endParaRPr lang="zh-CN"/>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lgn="ct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5" charset="-122"/>
                <a:ea typeface="仿宋_GB2312" panose="02010609030101010101" pitchFamily="5" charset="-122"/>
              </a:rPr>
              <a:t>图</a:t>
            </a:r>
            <a:r>
              <a:rPr lang="en-US" altLang="zh-CN" sz="1200" b="0">
                <a:latin typeface="仿宋_GB2312" panose="02010609030101010101" pitchFamily="5" charset="-122"/>
                <a:ea typeface="仿宋_GB2312" panose="02010609030101010101" pitchFamily="5" charset="-122"/>
              </a:rPr>
              <a:t>2</a:t>
            </a:r>
            <a:r>
              <a:rPr lang="zh-CN" altLang="zh-CN" sz="1200" b="0">
                <a:latin typeface="仿宋_GB2312" panose="02010609030101010101" pitchFamily="5" charset="-122"/>
                <a:ea typeface="仿宋_GB2312" panose="02010609030101010101" pitchFamily="5" charset="-122"/>
              </a:rPr>
              <a:t>：</a:t>
            </a:r>
            <a:r>
              <a:rPr lang="en-US" altLang="zh-CN" sz="1200" b="0">
                <a:latin typeface="仿宋_GB2312" panose="02010609030101010101" pitchFamily="5" charset="-122"/>
                <a:ea typeface="仿宋_GB2312" panose="02010609030101010101" pitchFamily="5" charset="-122"/>
              </a:rPr>
              <a:t>2018-2019</a:t>
            </a:r>
            <a:r>
              <a:rPr lang="zh-CN" altLang="zh-CN" sz="1200" b="0">
                <a:latin typeface="仿宋_GB2312" panose="02010609030101010101" pitchFamily="5" charset="-122"/>
                <a:ea typeface="仿宋_GB2312" panose="02010609030101010101" pitchFamily="5" charset="-122"/>
              </a:rPr>
              <a:t>年财政拨款收支对比情况</a:t>
            </a:r>
          </a:p>
        </c:rich>
      </c:tx>
      <c:layout>
        <c:manualLayout>
          <c:xMode val="edge"/>
          <c:yMode val="edge"/>
          <c:x val="0.22222222222222204"/>
          <c:y val="0.86474973375931941"/>
        </c:manualLayout>
      </c:layout>
      <c:overlay val="0"/>
      <c:spPr>
        <a:noFill/>
        <a:ln>
          <a:noFill/>
        </a:ln>
        <a:effectLst/>
      </c:spPr>
    </c:title>
    <c:autoTitleDeleted val="0"/>
    <c:plotArea>
      <c:layout>
        <c:manualLayout>
          <c:layoutTarget val="inner"/>
          <c:xMode val="edge"/>
          <c:yMode val="edge"/>
          <c:x val="0.10015507436570402"/>
          <c:y val="7.0298273418698126E-2"/>
          <c:w val="0.86928937007874119"/>
          <c:h val="0.60199340897084419"/>
        </c:manualLayout>
      </c:layout>
      <c:barChart>
        <c:barDir val="col"/>
        <c:grouping val="clustered"/>
        <c:varyColors val="0"/>
        <c:ser>
          <c:idx val="0"/>
          <c:order val="0"/>
          <c:tx>
            <c:strRef>
              <c:f>'[2019部门决算    饼图.xlsx]收支与决算对比'!$A$5</c:f>
              <c:strCache>
                <c:ptCount val="1"/>
                <c:pt idx="0">
                  <c:v>2019</c:v>
                </c:pt>
              </c:strCache>
            </c:strRef>
          </c:tx>
          <c:spPr>
            <a:solidFill>
              <a:schemeClr val="accent1"/>
            </a:solidFill>
            <a:ln>
              <a:noFill/>
            </a:ln>
            <a:effectLst/>
          </c:spPr>
          <c:invertIfNegative val="0"/>
          <c:dLbls>
            <c:spPr>
              <a:noFill/>
              <a:ln>
                <a:noFill/>
              </a:ln>
              <a:effectLst/>
            </c:spPr>
            <c:txPr>
              <a:bodyPr rot="0" spcFirstLastPara="0" vertOverflow="ellipsis" horzOverflow="overflow"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solidFill>
                      <a:prstDash val="solid"/>
                      <a:round/>
                    </a:ln>
                    <a:effectLst/>
                  </c:spPr>
                </c15:leaderLines>
              </c:ext>
            </c:extLst>
          </c:dLbls>
          <c:cat>
            <c:strRef>
              <c:f>'[2019部门决算    饼图.xlsx]收支与决算对比'!$B$4:$C$4</c:f>
              <c:strCache>
                <c:ptCount val="2"/>
                <c:pt idx="0">
                  <c:v>财政拨款收入</c:v>
                </c:pt>
                <c:pt idx="1">
                  <c:v>财政拨款支出</c:v>
                </c:pt>
              </c:strCache>
            </c:strRef>
          </c:cat>
          <c:val>
            <c:numRef>
              <c:f>'[2019部门决算    饼图.xlsx]收支与决算对比'!$B$5:$C$5</c:f>
              <c:numCache>
                <c:formatCode>General</c:formatCode>
                <c:ptCount val="2"/>
                <c:pt idx="0">
                  <c:v>640.98</c:v>
                </c:pt>
                <c:pt idx="1">
                  <c:v>640.98</c:v>
                </c:pt>
              </c:numCache>
            </c:numRef>
          </c:val>
        </c:ser>
        <c:ser>
          <c:idx val="1"/>
          <c:order val="1"/>
          <c:tx>
            <c:strRef>
              <c:f>'[2019部门决算    饼图.xlsx]收支与决算对比'!$A$6</c:f>
              <c:strCache>
                <c:ptCount val="1"/>
                <c:pt idx="0">
                  <c:v>2018</c:v>
                </c:pt>
              </c:strCache>
            </c:strRef>
          </c:tx>
          <c:spPr>
            <a:solidFill>
              <a:schemeClr val="accent2"/>
            </a:solidFill>
            <a:ln>
              <a:noFill/>
            </a:ln>
            <a:effectLst/>
          </c:spPr>
          <c:invertIfNegative val="0"/>
          <c:dLbls>
            <c:spPr>
              <a:noFill/>
              <a:ln>
                <a:noFill/>
              </a:ln>
              <a:effectLst/>
            </c:spPr>
            <c:txPr>
              <a:bodyPr rot="0" spcFirstLastPara="0" vertOverflow="ellipsis" horzOverflow="overflow"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solidFill>
                      <a:prstDash val="solid"/>
                      <a:round/>
                    </a:ln>
                    <a:effectLst/>
                  </c:spPr>
                </c15:leaderLines>
              </c:ext>
            </c:extLst>
          </c:dLbls>
          <c:cat>
            <c:strRef>
              <c:f>'[2019部门决算    饼图.xlsx]收支与决算对比'!$B$4:$C$4</c:f>
              <c:strCache>
                <c:ptCount val="2"/>
                <c:pt idx="0">
                  <c:v>财政拨款收入</c:v>
                </c:pt>
                <c:pt idx="1">
                  <c:v>财政拨款支出</c:v>
                </c:pt>
              </c:strCache>
            </c:strRef>
          </c:cat>
          <c:val>
            <c:numRef>
              <c:f>'[2019部门决算    饼图.xlsx]收支与决算对比'!$B$6:$C$6</c:f>
              <c:numCache>
                <c:formatCode>General</c:formatCode>
                <c:ptCount val="2"/>
                <c:pt idx="0">
                  <c:v>1142.55</c:v>
                </c:pt>
                <c:pt idx="1">
                  <c:v>1239.07</c:v>
                </c:pt>
              </c:numCache>
            </c:numRef>
          </c:val>
        </c:ser>
        <c:dLbls>
          <c:showLegendKey val="0"/>
          <c:showVal val="1"/>
          <c:showCatName val="0"/>
          <c:showSerName val="0"/>
          <c:showPercent val="0"/>
          <c:showBubbleSize val="0"/>
        </c:dLbls>
        <c:gapWidth val="75"/>
        <c:axId val="198534272"/>
        <c:axId val="198536192"/>
      </c:barChart>
      <c:catAx>
        <c:axId val="198534272"/>
        <c:scaling>
          <c:orientation val="minMax"/>
        </c:scaling>
        <c:delete val="0"/>
        <c:axPos val="b"/>
        <c:numFmt formatCode="General" sourceLinked="1"/>
        <c:majorTickMark val="none"/>
        <c:minorTickMark val="none"/>
        <c:tickLblPos val="nextTo"/>
        <c:spPr>
          <a:noFill/>
          <a:ln w="6350" cap="flat" cmpd="sng" algn="ctr">
            <a:solidFill>
              <a:schemeClr val="tx1">
                <a:lumMod val="50000"/>
                <a:lumOff val="50000"/>
              </a:schemeClr>
            </a:solidFill>
            <a:prstDash val="solid"/>
            <a:round/>
          </a:ln>
          <a:effectLst/>
        </c:spPr>
        <c:txPr>
          <a:bodyPr rot="-60000000" spcFirstLastPara="0" vertOverflow="ellipsis" horzOverflow="overflow" vert="horz" wrap="square" anchor="ctr" anchorCtr="1"/>
          <a:lstStyle/>
          <a:p>
            <a:pPr>
              <a:defRPr lang="zh-CN" sz="1000" b="0" i="0" u="none" strike="noStrike" kern="1200" baseline="0">
                <a:solidFill>
                  <a:schemeClr val="tx1"/>
                </a:solidFill>
                <a:latin typeface="+mn-lt"/>
                <a:ea typeface="+mn-ea"/>
                <a:cs typeface="+mn-cs"/>
              </a:defRPr>
            </a:pPr>
            <a:endParaRPr lang="zh-CN"/>
          </a:p>
        </c:txPr>
        <c:crossAx val="198536192"/>
        <c:crosses val="autoZero"/>
        <c:auto val="1"/>
        <c:lblAlgn val="ctr"/>
        <c:lblOffset val="100"/>
        <c:noMultiLvlLbl val="0"/>
      </c:catAx>
      <c:valAx>
        <c:axId val="198536192"/>
        <c:scaling>
          <c:orientation val="minMax"/>
        </c:scaling>
        <c:delete val="0"/>
        <c:axPos val="l"/>
        <c:numFmt formatCode="General" sourceLinked="1"/>
        <c:majorTickMark val="none"/>
        <c:minorTickMark val="none"/>
        <c:tickLblPos val="nextTo"/>
        <c:spPr>
          <a:noFill/>
          <a:ln w="6350" cap="flat" cmpd="sng" algn="ctr">
            <a:solidFill>
              <a:schemeClr val="tx1">
                <a:lumMod val="50000"/>
                <a:lumOff val="50000"/>
              </a:schemeClr>
            </a:solidFill>
            <a:prstDash val="solid"/>
            <a:round/>
          </a:ln>
          <a:effectLst/>
        </c:spPr>
        <c:txPr>
          <a:bodyPr rot="-60000000" spcFirstLastPara="0" vertOverflow="ellipsis" horzOverflow="overflow" vert="horz" wrap="square" anchor="ctr" anchorCtr="1"/>
          <a:lstStyle/>
          <a:p>
            <a:pPr>
              <a:defRPr lang="zh-CN" sz="1000" b="0" i="0" u="none" strike="noStrike" kern="1200" baseline="0">
                <a:solidFill>
                  <a:schemeClr val="tx1"/>
                </a:solidFill>
                <a:latin typeface="+mn-lt"/>
                <a:ea typeface="+mn-ea"/>
                <a:cs typeface="+mn-cs"/>
              </a:defRPr>
            </a:pPr>
            <a:endParaRPr lang="zh-CN"/>
          </a:p>
        </c:txPr>
        <c:crossAx val="198534272"/>
        <c:crosses val="autoZero"/>
        <c:crossBetween val="between"/>
      </c:valAx>
      <c:spPr>
        <a:solidFill>
          <a:schemeClr val="bg1"/>
        </a:solidFill>
        <a:ln>
          <a:noFill/>
        </a:ln>
        <a:effectLst/>
      </c:spPr>
    </c:plotArea>
    <c:legend>
      <c:legendPos val="b"/>
      <c:layout>
        <c:manualLayout>
          <c:xMode val="edge"/>
          <c:yMode val="edge"/>
          <c:x val="0.42634055118110209"/>
          <c:y val="0.75683529974088826"/>
          <c:w val="0.20842979002624706"/>
          <c:h val="7.7030514955598733E-2"/>
        </c:manualLayout>
      </c:layout>
      <c:overlay val="0"/>
      <c:spPr>
        <a:noFill/>
        <a:ln>
          <a:noFill/>
        </a:ln>
        <a:effectLst/>
      </c:spPr>
      <c:txPr>
        <a:bodyPr rot="0" spcFirstLastPara="0" vertOverflow="ellipsis" horzOverflow="overflow" vert="horz" wrap="square" anchor="ctr" anchorCtr="1"/>
        <a:lstStyle/>
        <a:p>
          <a:pPr>
            <a:defRPr lang="zh-CN" sz="1000" b="0" i="0" u="none" strike="noStrike" kern="1200" baseline="0">
              <a:solidFill>
                <a:schemeClr val="tx1"/>
              </a:solidFill>
              <a:latin typeface="+mn-lt"/>
              <a:ea typeface="+mn-ea"/>
              <a:cs typeface="+mn-cs"/>
            </a:defRPr>
          </a:pPr>
          <a:endParaRPr lang="zh-CN"/>
        </a:p>
      </c:txPr>
    </c:legend>
    <c:plotVisOnly val="1"/>
    <c:dispBlanksAs val="gap"/>
    <c:showDLblsOverMax val="0"/>
  </c:chart>
  <c:spPr>
    <a:solidFill>
      <a:schemeClr val="bg1"/>
    </a:solidFill>
    <a:ln w="9525" cap="flat" cmpd="sng" algn="ctr">
      <a:solidFill>
        <a:sysClr val="window" lastClr="FFFFFF">
          <a:alpha val="0"/>
        </a:sysClr>
      </a:solidFill>
      <a:prstDash val="solid"/>
      <a:round/>
    </a:ln>
    <a:effectLst>
      <a:outerShdw blurRad="50800" dist="50800" dir="5400000" algn="ctr" rotWithShape="0">
        <a:schemeClr val="bg1"/>
      </a:outerShdw>
    </a:effectLst>
  </c:spPr>
  <c:txPr>
    <a:bodyPr rot="0" spcFirstLastPara="0" vertOverflow="ellipsis" horzOverflow="overflow" vert="horz" wrap="square" anchor="ctr" anchorCtr="1"/>
    <a:lstStyle/>
    <a:p>
      <a:pPr>
        <a:defRPr lang="zh-CN"/>
      </a:pPr>
      <a:endParaRPr lang="zh-CN"/>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lgn="ct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5" charset="-122"/>
                <a:ea typeface="仿宋_GB2312" panose="02010609030101010101" pitchFamily="5" charset="-122"/>
              </a:rPr>
              <a:t>图</a:t>
            </a:r>
            <a:r>
              <a:rPr lang="en-US" altLang="zh-CN" sz="1200" b="0">
                <a:latin typeface="仿宋_GB2312" panose="02010609030101010101" pitchFamily="5" charset="-122"/>
                <a:ea typeface="仿宋_GB2312" panose="02010609030101010101" pitchFamily="5" charset="-122"/>
              </a:rPr>
              <a:t>2</a:t>
            </a:r>
            <a:r>
              <a:rPr lang="zh-CN" altLang="zh-CN" sz="1200" b="0">
                <a:latin typeface="仿宋_GB2312" panose="02010609030101010101" pitchFamily="5" charset="-122"/>
                <a:ea typeface="仿宋_GB2312" panose="02010609030101010101" pitchFamily="5" charset="-122"/>
              </a:rPr>
              <a:t>：</a:t>
            </a:r>
            <a:r>
              <a:rPr lang="en-US" altLang="zh-CN" sz="1200" b="0">
                <a:latin typeface="仿宋_GB2312" panose="02010609030101010101" pitchFamily="5" charset="-122"/>
                <a:ea typeface="仿宋_GB2312" panose="02010609030101010101" pitchFamily="5" charset="-122"/>
              </a:rPr>
              <a:t>2018-2019</a:t>
            </a:r>
            <a:r>
              <a:rPr lang="zh-CN" altLang="zh-CN" sz="1200" b="0">
                <a:latin typeface="仿宋_GB2312" panose="02010609030101010101" pitchFamily="5" charset="-122"/>
                <a:ea typeface="仿宋_GB2312" panose="02010609030101010101" pitchFamily="5" charset="-122"/>
              </a:rPr>
              <a:t>年财政拨款收支对比情况</a:t>
            </a:r>
          </a:p>
        </c:rich>
      </c:tx>
      <c:layout>
        <c:manualLayout>
          <c:xMode val="edge"/>
          <c:yMode val="edge"/>
          <c:x val="0.22222222222222204"/>
          <c:y val="0.86474973375931941"/>
        </c:manualLayout>
      </c:layout>
      <c:overlay val="0"/>
      <c:spPr>
        <a:noFill/>
        <a:ln>
          <a:noFill/>
        </a:ln>
        <a:effectLst/>
      </c:spPr>
    </c:title>
    <c:autoTitleDeleted val="0"/>
    <c:plotArea>
      <c:layout>
        <c:manualLayout>
          <c:layoutTarget val="inner"/>
          <c:xMode val="edge"/>
          <c:yMode val="edge"/>
          <c:x val="0.10015507436570402"/>
          <c:y val="7.0298273418698126E-2"/>
          <c:w val="0.86928937007874119"/>
          <c:h val="0.60199340897084419"/>
        </c:manualLayout>
      </c:layout>
      <c:barChart>
        <c:barDir val="col"/>
        <c:grouping val="clustered"/>
        <c:varyColors val="0"/>
        <c:ser>
          <c:idx val="0"/>
          <c:order val="0"/>
          <c:tx>
            <c:strRef>
              <c:f>'[2019部门决算    饼图.xlsx]收支与决算对比'!$A$5</c:f>
              <c:strCache>
                <c:ptCount val="1"/>
                <c:pt idx="0">
                  <c:v>2019</c:v>
                </c:pt>
              </c:strCache>
            </c:strRef>
          </c:tx>
          <c:spPr>
            <a:solidFill>
              <a:schemeClr val="accent1"/>
            </a:solidFill>
            <a:ln>
              <a:noFill/>
            </a:ln>
            <a:effectLst/>
          </c:spPr>
          <c:invertIfNegative val="0"/>
          <c:dLbls>
            <c:spPr>
              <a:noFill/>
              <a:ln>
                <a:noFill/>
              </a:ln>
              <a:effectLst/>
            </c:spPr>
            <c:txPr>
              <a:bodyPr rot="0" spcFirstLastPara="0" vertOverflow="ellipsis" horzOverflow="overflow"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solidFill>
                      <a:prstDash val="solid"/>
                      <a:round/>
                    </a:ln>
                    <a:effectLst/>
                  </c:spPr>
                </c15:leaderLines>
              </c:ext>
            </c:extLst>
          </c:dLbls>
          <c:cat>
            <c:strRef>
              <c:f>'[2019部门决算    饼图.xlsx]收支与决算对比'!$B$4:$C$4</c:f>
              <c:strCache>
                <c:ptCount val="2"/>
                <c:pt idx="0">
                  <c:v>财政拨款收入</c:v>
                </c:pt>
                <c:pt idx="1">
                  <c:v>财政拨款支出</c:v>
                </c:pt>
              </c:strCache>
            </c:strRef>
          </c:cat>
          <c:val>
            <c:numRef>
              <c:f>'[2019部门决算    饼图.xlsx]收支与决算对比'!$B$5:$C$5</c:f>
              <c:numCache>
                <c:formatCode>General</c:formatCode>
                <c:ptCount val="2"/>
                <c:pt idx="0">
                  <c:v>640.98</c:v>
                </c:pt>
                <c:pt idx="1">
                  <c:v>640.98</c:v>
                </c:pt>
              </c:numCache>
            </c:numRef>
          </c:val>
        </c:ser>
        <c:ser>
          <c:idx val="1"/>
          <c:order val="1"/>
          <c:tx>
            <c:strRef>
              <c:f>'[2019部门决算    饼图.xlsx]收支与决算对比'!$A$6</c:f>
              <c:strCache>
                <c:ptCount val="1"/>
                <c:pt idx="0">
                  <c:v>2018</c:v>
                </c:pt>
              </c:strCache>
            </c:strRef>
          </c:tx>
          <c:spPr>
            <a:solidFill>
              <a:schemeClr val="accent2"/>
            </a:solidFill>
            <a:ln>
              <a:noFill/>
            </a:ln>
            <a:effectLst/>
          </c:spPr>
          <c:invertIfNegative val="0"/>
          <c:dLbls>
            <c:spPr>
              <a:noFill/>
              <a:ln>
                <a:noFill/>
              </a:ln>
              <a:effectLst/>
            </c:spPr>
            <c:txPr>
              <a:bodyPr rot="0" spcFirstLastPara="0" vertOverflow="ellipsis" horzOverflow="overflow"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solidFill>
                      <a:prstDash val="solid"/>
                      <a:round/>
                    </a:ln>
                    <a:effectLst/>
                  </c:spPr>
                </c15:leaderLines>
              </c:ext>
            </c:extLst>
          </c:dLbls>
          <c:cat>
            <c:strRef>
              <c:f>'[2019部门决算    饼图.xlsx]收支与决算对比'!$B$4:$C$4</c:f>
              <c:strCache>
                <c:ptCount val="2"/>
                <c:pt idx="0">
                  <c:v>财政拨款收入</c:v>
                </c:pt>
                <c:pt idx="1">
                  <c:v>财政拨款支出</c:v>
                </c:pt>
              </c:strCache>
            </c:strRef>
          </c:cat>
          <c:val>
            <c:numRef>
              <c:f>'[2019部门决算    饼图.xlsx]收支与决算对比'!$B$6:$C$6</c:f>
              <c:numCache>
                <c:formatCode>General</c:formatCode>
                <c:ptCount val="2"/>
                <c:pt idx="0">
                  <c:v>1142.55</c:v>
                </c:pt>
                <c:pt idx="1">
                  <c:v>1239.07</c:v>
                </c:pt>
              </c:numCache>
            </c:numRef>
          </c:val>
        </c:ser>
        <c:dLbls>
          <c:showLegendKey val="0"/>
          <c:showVal val="1"/>
          <c:showCatName val="0"/>
          <c:showSerName val="0"/>
          <c:showPercent val="0"/>
          <c:showBubbleSize val="0"/>
        </c:dLbls>
        <c:gapWidth val="75"/>
        <c:axId val="241918720"/>
        <c:axId val="241920256"/>
      </c:barChart>
      <c:catAx>
        <c:axId val="241918720"/>
        <c:scaling>
          <c:orientation val="minMax"/>
        </c:scaling>
        <c:delete val="0"/>
        <c:axPos val="b"/>
        <c:numFmt formatCode="General" sourceLinked="1"/>
        <c:majorTickMark val="none"/>
        <c:minorTickMark val="none"/>
        <c:tickLblPos val="nextTo"/>
        <c:spPr>
          <a:noFill/>
          <a:ln w="6350" cap="flat" cmpd="sng" algn="ctr">
            <a:solidFill>
              <a:schemeClr val="tx1">
                <a:lumMod val="50000"/>
                <a:lumOff val="50000"/>
              </a:schemeClr>
            </a:solidFill>
            <a:prstDash val="solid"/>
            <a:round/>
          </a:ln>
          <a:effectLst/>
        </c:spPr>
        <c:txPr>
          <a:bodyPr rot="-60000000" spcFirstLastPara="0" vertOverflow="ellipsis" horzOverflow="overflow" vert="horz" wrap="square" anchor="ctr" anchorCtr="1"/>
          <a:lstStyle/>
          <a:p>
            <a:pPr>
              <a:defRPr lang="zh-CN" sz="1000" b="0" i="0" u="none" strike="noStrike" kern="1200" baseline="0">
                <a:solidFill>
                  <a:schemeClr val="tx1"/>
                </a:solidFill>
                <a:latin typeface="+mn-lt"/>
                <a:ea typeface="+mn-ea"/>
                <a:cs typeface="+mn-cs"/>
              </a:defRPr>
            </a:pPr>
            <a:endParaRPr lang="zh-CN"/>
          </a:p>
        </c:txPr>
        <c:crossAx val="241920256"/>
        <c:crosses val="autoZero"/>
        <c:auto val="1"/>
        <c:lblAlgn val="ctr"/>
        <c:lblOffset val="100"/>
        <c:noMultiLvlLbl val="0"/>
      </c:catAx>
      <c:valAx>
        <c:axId val="241920256"/>
        <c:scaling>
          <c:orientation val="minMax"/>
        </c:scaling>
        <c:delete val="0"/>
        <c:axPos val="l"/>
        <c:numFmt formatCode="General" sourceLinked="1"/>
        <c:majorTickMark val="none"/>
        <c:minorTickMark val="none"/>
        <c:tickLblPos val="nextTo"/>
        <c:spPr>
          <a:noFill/>
          <a:ln w="6350" cap="flat" cmpd="sng" algn="ctr">
            <a:solidFill>
              <a:schemeClr val="tx1">
                <a:lumMod val="50000"/>
                <a:lumOff val="50000"/>
              </a:schemeClr>
            </a:solidFill>
            <a:prstDash val="solid"/>
            <a:round/>
          </a:ln>
          <a:effectLst/>
        </c:spPr>
        <c:txPr>
          <a:bodyPr rot="-60000000" spcFirstLastPara="0" vertOverflow="ellipsis" horzOverflow="overflow" vert="horz" wrap="square" anchor="ctr" anchorCtr="1"/>
          <a:lstStyle/>
          <a:p>
            <a:pPr>
              <a:defRPr lang="zh-CN" sz="1000" b="0" i="0" u="none" strike="noStrike" kern="1200" baseline="0">
                <a:solidFill>
                  <a:schemeClr val="tx1"/>
                </a:solidFill>
                <a:latin typeface="+mn-lt"/>
                <a:ea typeface="+mn-ea"/>
                <a:cs typeface="+mn-cs"/>
              </a:defRPr>
            </a:pPr>
            <a:endParaRPr lang="zh-CN"/>
          </a:p>
        </c:txPr>
        <c:crossAx val="241918720"/>
        <c:crosses val="autoZero"/>
        <c:crossBetween val="between"/>
      </c:valAx>
      <c:spPr>
        <a:solidFill>
          <a:schemeClr val="bg1"/>
        </a:solidFill>
        <a:ln>
          <a:noFill/>
        </a:ln>
        <a:effectLst/>
      </c:spPr>
    </c:plotArea>
    <c:legend>
      <c:legendPos val="b"/>
      <c:layout>
        <c:manualLayout>
          <c:xMode val="edge"/>
          <c:yMode val="edge"/>
          <c:x val="0.42634055118110209"/>
          <c:y val="0.75683529974088826"/>
          <c:w val="0.20842979002624706"/>
          <c:h val="7.7030514955598733E-2"/>
        </c:manualLayout>
      </c:layout>
      <c:overlay val="0"/>
      <c:spPr>
        <a:noFill/>
        <a:ln>
          <a:noFill/>
        </a:ln>
        <a:effectLst/>
      </c:spPr>
      <c:txPr>
        <a:bodyPr rot="0" spcFirstLastPara="0" vertOverflow="ellipsis" horzOverflow="overflow" vert="horz" wrap="square" anchor="ctr" anchorCtr="1"/>
        <a:lstStyle/>
        <a:p>
          <a:pPr>
            <a:defRPr lang="zh-CN" sz="1000" b="0" i="0" u="none" strike="noStrike" kern="1200" baseline="0">
              <a:solidFill>
                <a:schemeClr val="tx1"/>
              </a:solidFill>
              <a:latin typeface="+mn-lt"/>
              <a:ea typeface="+mn-ea"/>
              <a:cs typeface="+mn-cs"/>
            </a:defRPr>
          </a:pPr>
          <a:endParaRPr lang="zh-CN"/>
        </a:p>
      </c:txPr>
    </c:legend>
    <c:plotVisOnly val="1"/>
    <c:dispBlanksAs val="gap"/>
    <c:showDLblsOverMax val="0"/>
  </c:chart>
  <c:spPr>
    <a:solidFill>
      <a:schemeClr val="bg1"/>
    </a:solidFill>
    <a:ln w="9525" cap="flat" cmpd="sng" algn="ctr">
      <a:solidFill>
        <a:sysClr val="window" lastClr="FFFFFF">
          <a:alpha val="0"/>
        </a:sysClr>
      </a:solidFill>
      <a:prstDash val="solid"/>
      <a:round/>
    </a:ln>
    <a:effectLst>
      <a:outerShdw blurRad="50800" dist="50800" dir="5400000" algn="ctr" rotWithShape="0">
        <a:schemeClr val="bg1"/>
      </a:outerShdw>
    </a:effectLst>
  </c:spPr>
  <c:txPr>
    <a:bodyPr rot="0" spcFirstLastPara="0" vertOverflow="ellipsis" horzOverflow="overflow" vert="horz" wrap="square" anchor="ctr" anchorCtr="1"/>
    <a:lstStyle/>
    <a:p>
      <a:pPr>
        <a:defRPr lang="zh-CN"/>
      </a:pPr>
      <a:endParaRPr lang="zh-CN"/>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lgn="ct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5" charset="-122"/>
                <a:ea typeface="仿宋_GB2312" panose="02010609030101010101" pitchFamily="5" charset="-122"/>
              </a:rPr>
              <a:t>图</a:t>
            </a:r>
            <a:r>
              <a:rPr lang="en-US" altLang="zh-CN" sz="1200" b="0">
                <a:latin typeface="仿宋_GB2312" panose="02010609030101010101" pitchFamily="5" charset="-122"/>
                <a:ea typeface="仿宋_GB2312" panose="02010609030101010101" pitchFamily="5" charset="-122"/>
              </a:rPr>
              <a:t>2</a:t>
            </a:r>
            <a:r>
              <a:rPr lang="zh-CN" altLang="zh-CN" sz="1200" b="0">
                <a:latin typeface="仿宋_GB2312" panose="02010609030101010101" pitchFamily="5" charset="-122"/>
                <a:ea typeface="仿宋_GB2312" panose="02010609030101010101" pitchFamily="5" charset="-122"/>
              </a:rPr>
              <a:t>：</a:t>
            </a:r>
            <a:r>
              <a:rPr lang="en-US" altLang="zh-CN" sz="1200" b="0">
                <a:latin typeface="仿宋_GB2312" panose="02010609030101010101" pitchFamily="5" charset="-122"/>
                <a:ea typeface="仿宋_GB2312" panose="02010609030101010101" pitchFamily="5" charset="-122"/>
              </a:rPr>
              <a:t>2018-2019</a:t>
            </a:r>
            <a:r>
              <a:rPr lang="zh-CN" altLang="zh-CN" sz="1200" b="0">
                <a:latin typeface="仿宋_GB2312" panose="02010609030101010101" pitchFamily="5" charset="-122"/>
                <a:ea typeface="仿宋_GB2312" panose="02010609030101010101" pitchFamily="5" charset="-122"/>
              </a:rPr>
              <a:t>年财政拨款收支对比情况</a:t>
            </a:r>
          </a:p>
        </c:rich>
      </c:tx>
      <c:layout>
        <c:manualLayout>
          <c:xMode val="edge"/>
          <c:yMode val="edge"/>
          <c:x val="0.22222222222222204"/>
          <c:y val="0.86474973375931941"/>
        </c:manualLayout>
      </c:layout>
      <c:overlay val="0"/>
      <c:spPr>
        <a:noFill/>
        <a:ln>
          <a:noFill/>
        </a:ln>
        <a:effectLst/>
      </c:spPr>
    </c:title>
    <c:autoTitleDeleted val="0"/>
    <c:plotArea>
      <c:layout>
        <c:manualLayout>
          <c:layoutTarget val="inner"/>
          <c:xMode val="edge"/>
          <c:yMode val="edge"/>
          <c:x val="0.10015507436570402"/>
          <c:y val="7.0298273418698126E-2"/>
          <c:w val="0.86928937007874119"/>
          <c:h val="0.60199340897084419"/>
        </c:manualLayout>
      </c:layout>
      <c:barChart>
        <c:barDir val="col"/>
        <c:grouping val="clustered"/>
        <c:varyColors val="0"/>
        <c:ser>
          <c:idx val="0"/>
          <c:order val="0"/>
          <c:tx>
            <c:strRef>
              <c:f>'[2019部门决算    饼图.xlsx]收支与决算对比'!$A$5</c:f>
              <c:strCache>
                <c:ptCount val="1"/>
                <c:pt idx="0">
                  <c:v>2019</c:v>
                </c:pt>
              </c:strCache>
            </c:strRef>
          </c:tx>
          <c:spPr>
            <a:solidFill>
              <a:schemeClr val="accent1"/>
            </a:solidFill>
            <a:ln>
              <a:noFill/>
            </a:ln>
            <a:effectLst/>
          </c:spPr>
          <c:invertIfNegative val="0"/>
          <c:dLbls>
            <c:spPr>
              <a:noFill/>
              <a:ln>
                <a:noFill/>
              </a:ln>
              <a:effectLst/>
            </c:spPr>
            <c:txPr>
              <a:bodyPr rot="0" spcFirstLastPara="0" vertOverflow="ellipsis" horzOverflow="overflow"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solidFill>
                      <a:prstDash val="solid"/>
                      <a:round/>
                    </a:ln>
                    <a:effectLst/>
                  </c:spPr>
                </c15:leaderLines>
              </c:ext>
            </c:extLst>
          </c:dLbls>
          <c:cat>
            <c:strRef>
              <c:f>'[2019部门决算    饼图.xlsx]收支与决算对比'!$B$4:$C$4</c:f>
              <c:strCache>
                <c:ptCount val="2"/>
                <c:pt idx="0">
                  <c:v>财政拨款收入</c:v>
                </c:pt>
                <c:pt idx="1">
                  <c:v>财政拨款支出</c:v>
                </c:pt>
              </c:strCache>
            </c:strRef>
          </c:cat>
          <c:val>
            <c:numRef>
              <c:f>'[2019部门决算    饼图.xlsx]收支与决算对比'!$B$5:$C$5</c:f>
              <c:numCache>
                <c:formatCode>General</c:formatCode>
                <c:ptCount val="2"/>
                <c:pt idx="0">
                  <c:v>640.98</c:v>
                </c:pt>
                <c:pt idx="1">
                  <c:v>640.98</c:v>
                </c:pt>
              </c:numCache>
            </c:numRef>
          </c:val>
        </c:ser>
        <c:ser>
          <c:idx val="1"/>
          <c:order val="1"/>
          <c:tx>
            <c:strRef>
              <c:f>'[2019部门决算    饼图.xlsx]收支与决算对比'!$A$6</c:f>
              <c:strCache>
                <c:ptCount val="1"/>
                <c:pt idx="0">
                  <c:v>2018</c:v>
                </c:pt>
              </c:strCache>
            </c:strRef>
          </c:tx>
          <c:spPr>
            <a:solidFill>
              <a:schemeClr val="accent2"/>
            </a:solidFill>
            <a:ln>
              <a:noFill/>
            </a:ln>
            <a:effectLst/>
          </c:spPr>
          <c:invertIfNegative val="0"/>
          <c:dLbls>
            <c:spPr>
              <a:noFill/>
              <a:ln>
                <a:noFill/>
              </a:ln>
              <a:effectLst/>
            </c:spPr>
            <c:txPr>
              <a:bodyPr rot="0" spcFirstLastPara="0" vertOverflow="ellipsis" horzOverflow="overflow"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solidFill>
                      <a:prstDash val="solid"/>
                      <a:round/>
                    </a:ln>
                    <a:effectLst/>
                  </c:spPr>
                </c15:leaderLines>
              </c:ext>
            </c:extLst>
          </c:dLbls>
          <c:cat>
            <c:strRef>
              <c:f>'[2019部门决算    饼图.xlsx]收支与决算对比'!$B$4:$C$4</c:f>
              <c:strCache>
                <c:ptCount val="2"/>
                <c:pt idx="0">
                  <c:v>财政拨款收入</c:v>
                </c:pt>
                <c:pt idx="1">
                  <c:v>财政拨款支出</c:v>
                </c:pt>
              </c:strCache>
            </c:strRef>
          </c:cat>
          <c:val>
            <c:numRef>
              <c:f>'[2019部门决算    饼图.xlsx]收支与决算对比'!$B$6:$C$6</c:f>
              <c:numCache>
                <c:formatCode>General</c:formatCode>
                <c:ptCount val="2"/>
                <c:pt idx="0">
                  <c:v>1142.55</c:v>
                </c:pt>
                <c:pt idx="1">
                  <c:v>1239.07</c:v>
                </c:pt>
              </c:numCache>
            </c:numRef>
          </c:val>
        </c:ser>
        <c:dLbls>
          <c:showLegendKey val="0"/>
          <c:showVal val="1"/>
          <c:showCatName val="0"/>
          <c:showSerName val="0"/>
          <c:showPercent val="0"/>
          <c:showBubbleSize val="0"/>
        </c:dLbls>
        <c:gapWidth val="75"/>
        <c:axId val="242433024"/>
        <c:axId val="264000256"/>
      </c:barChart>
      <c:catAx>
        <c:axId val="242433024"/>
        <c:scaling>
          <c:orientation val="minMax"/>
        </c:scaling>
        <c:delete val="0"/>
        <c:axPos val="b"/>
        <c:numFmt formatCode="General" sourceLinked="1"/>
        <c:majorTickMark val="none"/>
        <c:minorTickMark val="none"/>
        <c:tickLblPos val="nextTo"/>
        <c:spPr>
          <a:noFill/>
          <a:ln w="6350" cap="flat" cmpd="sng" algn="ctr">
            <a:solidFill>
              <a:schemeClr val="tx1">
                <a:lumMod val="50000"/>
                <a:lumOff val="50000"/>
              </a:schemeClr>
            </a:solidFill>
            <a:prstDash val="solid"/>
            <a:round/>
          </a:ln>
          <a:effectLst/>
        </c:spPr>
        <c:txPr>
          <a:bodyPr rot="-60000000" spcFirstLastPara="0" vertOverflow="ellipsis" horzOverflow="overflow" vert="horz" wrap="square" anchor="ctr" anchorCtr="1"/>
          <a:lstStyle/>
          <a:p>
            <a:pPr>
              <a:defRPr lang="zh-CN" sz="1000" b="0" i="0" u="none" strike="noStrike" kern="1200" baseline="0">
                <a:solidFill>
                  <a:schemeClr val="tx1"/>
                </a:solidFill>
                <a:latin typeface="+mn-lt"/>
                <a:ea typeface="+mn-ea"/>
                <a:cs typeface="+mn-cs"/>
              </a:defRPr>
            </a:pPr>
            <a:endParaRPr lang="zh-CN"/>
          </a:p>
        </c:txPr>
        <c:crossAx val="264000256"/>
        <c:crosses val="autoZero"/>
        <c:auto val="1"/>
        <c:lblAlgn val="ctr"/>
        <c:lblOffset val="100"/>
        <c:noMultiLvlLbl val="0"/>
      </c:catAx>
      <c:valAx>
        <c:axId val="264000256"/>
        <c:scaling>
          <c:orientation val="minMax"/>
        </c:scaling>
        <c:delete val="0"/>
        <c:axPos val="l"/>
        <c:numFmt formatCode="General" sourceLinked="1"/>
        <c:majorTickMark val="none"/>
        <c:minorTickMark val="none"/>
        <c:tickLblPos val="nextTo"/>
        <c:spPr>
          <a:noFill/>
          <a:ln w="6350" cap="flat" cmpd="sng" algn="ctr">
            <a:solidFill>
              <a:schemeClr val="tx1">
                <a:lumMod val="50000"/>
                <a:lumOff val="50000"/>
              </a:schemeClr>
            </a:solidFill>
            <a:prstDash val="solid"/>
            <a:round/>
          </a:ln>
          <a:effectLst/>
        </c:spPr>
        <c:txPr>
          <a:bodyPr rot="-60000000" spcFirstLastPara="0" vertOverflow="ellipsis" horzOverflow="overflow" vert="horz" wrap="square" anchor="ctr" anchorCtr="1"/>
          <a:lstStyle/>
          <a:p>
            <a:pPr>
              <a:defRPr lang="zh-CN" sz="1000" b="0" i="0" u="none" strike="noStrike" kern="1200" baseline="0">
                <a:solidFill>
                  <a:schemeClr val="tx1"/>
                </a:solidFill>
                <a:latin typeface="+mn-lt"/>
                <a:ea typeface="+mn-ea"/>
                <a:cs typeface="+mn-cs"/>
              </a:defRPr>
            </a:pPr>
            <a:endParaRPr lang="zh-CN"/>
          </a:p>
        </c:txPr>
        <c:crossAx val="242433024"/>
        <c:crosses val="autoZero"/>
        <c:crossBetween val="between"/>
      </c:valAx>
      <c:spPr>
        <a:solidFill>
          <a:schemeClr val="bg1"/>
        </a:solidFill>
        <a:ln>
          <a:noFill/>
        </a:ln>
        <a:effectLst/>
      </c:spPr>
    </c:plotArea>
    <c:legend>
      <c:legendPos val="b"/>
      <c:layout>
        <c:manualLayout>
          <c:xMode val="edge"/>
          <c:yMode val="edge"/>
          <c:x val="0.42634055118110209"/>
          <c:y val="0.75683529974088826"/>
          <c:w val="0.20842979002624706"/>
          <c:h val="7.7030514955598733E-2"/>
        </c:manualLayout>
      </c:layout>
      <c:overlay val="0"/>
      <c:spPr>
        <a:noFill/>
        <a:ln>
          <a:noFill/>
        </a:ln>
        <a:effectLst/>
      </c:spPr>
      <c:txPr>
        <a:bodyPr rot="0" spcFirstLastPara="0" vertOverflow="ellipsis" horzOverflow="overflow" vert="horz" wrap="square" anchor="ctr" anchorCtr="1"/>
        <a:lstStyle/>
        <a:p>
          <a:pPr>
            <a:defRPr lang="zh-CN" sz="1000" b="0" i="0" u="none" strike="noStrike" kern="1200" baseline="0">
              <a:solidFill>
                <a:schemeClr val="tx1"/>
              </a:solidFill>
              <a:latin typeface="+mn-lt"/>
              <a:ea typeface="+mn-ea"/>
              <a:cs typeface="+mn-cs"/>
            </a:defRPr>
          </a:pPr>
          <a:endParaRPr lang="zh-CN"/>
        </a:p>
      </c:txPr>
    </c:legend>
    <c:plotVisOnly val="1"/>
    <c:dispBlanksAs val="gap"/>
    <c:showDLblsOverMax val="0"/>
  </c:chart>
  <c:spPr>
    <a:solidFill>
      <a:schemeClr val="bg1"/>
    </a:solidFill>
    <a:ln w="9525" cap="flat" cmpd="sng" algn="ctr">
      <a:solidFill>
        <a:sysClr val="window" lastClr="FFFFFF">
          <a:alpha val="0"/>
        </a:sysClr>
      </a:solidFill>
      <a:prstDash val="solid"/>
      <a:round/>
    </a:ln>
    <a:effectLst>
      <a:outerShdw blurRad="50800" dist="50800" dir="5400000" algn="ctr" rotWithShape="0">
        <a:schemeClr val="bg1"/>
      </a:outerShdw>
    </a:effectLst>
  </c:spPr>
  <c:txPr>
    <a:bodyPr rot="0" spcFirstLastPara="0" vertOverflow="ellipsis" horzOverflow="overflow" vert="horz" wrap="square" anchor="ctr" anchorCtr="1"/>
    <a:lstStyle/>
    <a:p>
      <a:pPr>
        <a:defRPr lang="zh-CN"/>
      </a:pPr>
      <a:endParaRPr lang="zh-CN"/>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lgn="ct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5" charset="-122"/>
                <a:ea typeface="仿宋_GB2312" panose="02010609030101010101" pitchFamily="5" charset="-122"/>
              </a:rPr>
              <a:t>图</a:t>
            </a:r>
            <a:r>
              <a:rPr lang="en-US" altLang="zh-CN" sz="1200" b="0" i="0" u="none" strike="noStrike" baseline="0">
                <a:latin typeface="仿宋_GB2312" panose="02010609030101010101" pitchFamily="5" charset="-122"/>
                <a:ea typeface="仿宋_GB2312" panose="02010609030101010101" pitchFamily="5" charset="-122"/>
              </a:rPr>
              <a:t>3</a:t>
            </a:r>
            <a:r>
              <a:rPr lang="zh-CN" altLang="zh-CN" sz="1200" b="0" i="0" u="none" strike="noStrike" baseline="0">
                <a:latin typeface="仿宋_GB2312" panose="02010609030101010101" pitchFamily="5" charset="-122"/>
                <a:ea typeface="仿宋_GB2312" panose="02010609030101010101" pitchFamily="5" charset="-122"/>
              </a:rPr>
              <a:t>：财政拨款收支预决算对比情况</a:t>
            </a:r>
            <a:endParaRPr lang="zh-CN" altLang="zh-CN" sz="1200" b="0">
              <a:latin typeface="仿宋_GB2312" panose="02010609030101010101" pitchFamily="5" charset="-122"/>
              <a:ea typeface="仿宋_GB2312" panose="02010609030101010101" pitchFamily="5" charset="-122"/>
            </a:endParaRPr>
          </a:p>
        </c:rich>
      </c:tx>
      <c:layout>
        <c:manualLayout>
          <c:xMode val="edge"/>
          <c:yMode val="edge"/>
          <c:x val="0.21944444444444516"/>
          <c:y val="0.9216757741347924"/>
        </c:manualLayout>
      </c:layout>
      <c:overlay val="0"/>
      <c:spPr>
        <a:noFill/>
        <a:ln>
          <a:noFill/>
        </a:ln>
        <a:effectLst/>
      </c:spPr>
    </c:title>
    <c:autoTitleDeleted val="0"/>
    <c:plotArea>
      <c:layout>
        <c:manualLayout>
          <c:layoutTarget val="inner"/>
          <c:xMode val="edge"/>
          <c:yMode val="edge"/>
          <c:x val="0.11083333333333298"/>
          <c:y val="1.0473588342440802E-2"/>
          <c:w val="0.86928937007874119"/>
          <c:h val="0.76881800286328039"/>
        </c:manualLayout>
      </c:layout>
      <c:barChart>
        <c:barDir val="col"/>
        <c:grouping val="clustered"/>
        <c:varyColors val="0"/>
        <c:ser>
          <c:idx val="0"/>
          <c:order val="0"/>
          <c:tx>
            <c:strRef>
              <c:f>'[2019部门决算    饼图.xlsx]收支与预算对比'!$A$5</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horzOverflow="overflow"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solidFill>
                      <a:prstDash val="solid"/>
                      <a:round/>
                    </a:ln>
                    <a:effectLst/>
                  </c:spPr>
                </c15:leaderLines>
              </c:ext>
            </c:extLst>
          </c:dLbls>
          <c:cat>
            <c:strRef>
              <c:f>'[2019部门决算    饼图.xlsx]收支与预算对比'!$B$4:$C$4</c:f>
              <c:strCache>
                <c:ptCount val="2"/>
                <c:pt idx="0">
                  <c:v>财政拨款收入</c:v>
                </c:pt>
                <c:pt idx="1">
                  <c:v>财政拨款支出</c:v>
                </c:pt>
              </c:strCache>
            </c:strRef>
          </c:cat>
          <c:val>
            <c:numRef>
              <c:f>'[2019部门决算    饼图.xlsx]收支与预算对比'!$B$5:$C$5</c:f>
              <c:numCache>
                <c:formatCode>General</c:formatCode>
                <c:ptCount val="2"/>
                <c:pt idx="0">
                  <c:v>2915.11</c:v>
                </c:pt>
                <c:pt idx="1">
                  <c:v>2915.11</c:v>
                </c:pt>
              </c:numCache>
            </c:numRef>
          </c:val>
        </c:ser>
        <c:ser>
          <c:idx val="1"/>
          <c:order val="1"/>
          <c:tx>
            <c:strRef>
              <c:f>'[2019部门决算    饼图.xlsx]收支与预算对比'!$A$6</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horzOverflow="overflow"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solidFill>
                      <a:prstDash val="solid"/>
                      <a:round/>
                    </a:ln>
                    <a:effectLst/>
                  </c:spPr>
                </c15:leaderLines>
              </c:ext>
            </c:extLst>
          </c:dLbls>
          <c:cat>
            <c:strRef>
              <c:f>'[2019部门决算    饼图.xlsx]收支与预算对比'!$B$4:$C$4</c:f>
              <c:strCache>
                <c:ptCount val="2"/>
                <c:pt idx="0">
                  <c:v>财政拨款收入</c:v>
                </c:pt>
                <c:pt idx="1">
                  <c:v>财政拨款支出</c:v>
                </c:pt>
              </c:strCache>
            </c:strRef>
          </c:cat>
          <c:val>
            <c:numRef>
              <c:f>'[2019部门决算    饼图.xlsx]收支与预算对比'!$B$6:$C$6</c:f>
              <c:numCache>
                <c:formatCode>General</c:formatCode>
                <c:ptCount val="2"/>
                <c:pt idx="0">
                  <c:v>640.98</c:v>
                </c:pt>
                <c:pt idx="1">
                  <c:v>640.98</c:v>
                </c:pt>
              </c:numCache>
            </c:numRef>
          </c:val>
        </c:ser>
        <c:dLbls>
          <c:showLegendKey val="0"/>
          <c:showVal val="1"/>
          <c:showCatName val="0"/>
          <c:showSerName val="0"/>
          <c:showPercent val="0"/>
          <c:showBubbleSize val="0"/>
        </c:dLbls>
        <c:gapWidth val="75"/>
        <c:axId val="115586176"/>
        <c:axId val="115587712"/>
      </c:barChart>
      <c:catAx>
        <c:axId val="115586176"/>
        <c:scaling>
          <c:orientation val="minMax"/>
        </c:scaling>
        <c:delete val="0"/>
        <c:axPos val="b"/>
        <c:numFmt formatCode="General" sourceLinked="1"/>
        <c:majorTickMark val="none"/>
        <c:minorTickMark val="none"/>
        <c:tickLblPos val="nextTo"/>
        <c:spPr>
          <a:noFill/>
          <a:ln w="6350" cap="flat" cmpd="sng" algn="ctr">
            <a:solidFill>
              <a:schemeClr val="tx1">
                <a:lumMod val="50000"/>
                <a:lumOff val="50000"/>
              </a:schemeClr>
            </a:solidFill>
            <a:prstDash val="solid"/>
            <a:round/>
          </a:ln>
          <a:effectLst/>
        </c:spPr>
        <c:txPr>
          <a:bodyPr rot="-60000000" spcFirstLastPara="0" vertOverflow="ellipsis" horzOverflow="overflow" vert="horz" wrap="square" anchor="ctr" anchorCtr="1"/>
          <a:lstStyle/>
          <a:p>
            <a:pPr>
              <a:defRPr lang="zh-CN" sz="1000" b="0" i="0" u="none" strike="noStrike" kern="1200" baseline="0">
                <a:solidFill>
                  <a:schemeClr val="tx1"/>
                </a:solidFill>
                <a:latin typeface="+mn-lt"/>
                <a:ea typeface="+mn-ea"/>
                <a:cs typeface="+mn-cs"/>
              </a:defRPr>
            </a:pPr>
            <a:endParaRPr lang="zh-CN"/>
          </a:p>
        </c:txPr>
        <c:crossAx val="115587712"/>
        <c:crosses val="autoZero"/>
        <c:auto val="1"/>
        <c:lblAlgn val="ctr"/>
        <c:lblOffset val="100"/>
        <c:noMultiLvlLbl val="0"/>
      </c:catAx>
      <c:valAx>
        <c:axId val="115587712"/>
        <c:scaling>
          <c:orientation val="minMax"/>
        </c:scaling>
        <c:delete val="0"/>
        <c:axPos val="l"/>
        <c:numFmt formatCode="General" sourceLinked="1"/>
        <c:majorTickMark val="none"/>
        <c:minorTickMark val="none"/>
        <c:tickLblPos val="nextTo"/>
        <c:spPr>
          <a:noFill/>
          <a:ln w="6350" cap="flat" cmpd="sng" algn="ctr">
            <a:solidFill>
              <a:schemeClr val="tx1">
                <a:lumMod val="50000"/>
                <a:lumOff val="50000"/>
              </a:schemeClr>
            </a:solidFill>
            <a:prstDash val="solid"/>
            <a:round/>
          </a:ln>
          <a:effectLst/>
        </c:spPr>
        <c:txPr>
          <a:bodyPr rot="-60000000" spcFirstLastPara="0" vertOverflow="ellipsis" horzOverflow="overflow" vert="horz" wrap="square" anchor="ctr" anchorCtr="1"/>
          <a:lstStyle/>
          <a:p>
            <a:pPr>
              <a:defRPr lang="zh-CN" sz="1000" b="0" i="0" u="none" strike="noStrike" kern="1200" baseline="0">
                <a:solidFill>
                  <a:schemeClr val="tx1"/>
                </a:solidFill>
                <a:latin typeface="+mn-lt"/>
                <a:ea typeface="+mn-ea"/>
                <a:cs typeface="+mn-cs"/>
              </a:defRPr>
            </a:pPr>
            <a:endParaRPr lang="zh-CN"/>
          </a:p>
        </c:txPr>
        <c:crossAx val="115586176"/>
        <c:crosses val="autoZero"/>
        <c:crossBetween val="between"/>
      </c:valAx>
      <c:spPr>
        <a:solidFill>
          <a:schemeClr val="bg1"/>
        </a:solidFill>
        <a:ln>
          <a:noFill/>
        </a:ln>
        <a:effectLst/>
      </c:spPr>
    </c:plotArea>
    <c:legend>
      <c:legendPos val="b"/>
      <c:layout>
        <c:manualLayout>
          <c:xMode val="edge"/>
          <c:yMode val="edge"/>
          <c:x val="0.34671828521434922"/>
          <c:y val="0.84875034063365118"/>
          <c:w val="0.33989654418197812"/>
          <c:h val="6.5875822899186809E-2"/>
        </c:manualLayout>
      </c:layout>
      <c:overlay val="0"/>
      <c:spPr>
        <a:noFill/>
        <a:ln>
          <a:noFill/>
        </a:ln>
        <a:effectLst/>
      </c:spPr>
      <c:txPr>
        <a:bodyPr rot="0" spcFirstLastPara="0" vertOverflow="ellipsis" horzOverflow="overflow" vert="horz" wrap="square" anchor="ctr" anchorCtr="1"/>
        <a:lstStyle/>
        <a:p>
          <a:pPr>
            <a:defRPr lang="zh-CN" sz="1000" b="0" i="0" u="none" strike="noStrike" kern="1200" baseline="0">
              <a:solidFill>
                <a:schemeClr val="tx1"/>
              </a:solidFill>
              <a:latin typeface="+mn-lt"/>
              <a:ea typeface="+mn-ea"/>
              <a:cs typeface="+mn-cs"/>
            </a:defRPr>
          </a:pPr>
          <a:endParaRPr lang="zh-CN"/>
        </a:p>
      </c:txPr>
    </c:legend>
    <c:plotVisOnly val="1"/>
    <c:dispBlanksAs val="gap"/>
    <c:showDLblsOverMax val="0"/>
  </c:chart>
  <c:spPr>
    <a:solidFill>
      <a:schemeClr val="bg1"/>
    </a:solidFill>
    <a:ln w="9525" cap="flat" cmpd="sng" algn="ctr">
      <a:solidFill>
        <a:sysClr val="window" lastClr="FFFFFF">
          <a:alpha val="0"/>
        </a:sysClr>
      </a:solidFill>
      <a:prstDash val="solid"/>
      <a:round/>
    </a:ln>
    <a:effectLst>
      <a:outerShdw blurRad="50800" dist="50800" dir="5400000" algn="ctr" rotWithShape="0">
        <a:schemeClr val="bg1"/>
      </a:outerShdw>
    </a:effectLst>
  </c:spPr>
  <c:txPr>
    <a:bodyPr rot="0" spcFirstLastPara="0" vertOverflow="ellipsis" horzOverflow="overflow" vert="horz" wrap="square" anchor="ctr" anchorCtr="1"/>
    <a:lstStyle/>
    <a:p>
      <a:pPr>
        <a:defRPr lang="zh-CN"/>
      </a:pPr>
      <a:endParaRPr lang="zh-CN"/>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b" anchorCtr="0"/>
          <a:lstStyle/>
          <a:p>
            <a:pPr algn="ctr">
              <a:defRPr lang="zh-CN" sz="1800" b="1" i="0" u="none" strike="noStrike" kern="1200" baseline="0">
                <a:solidFill>
                  <a:schemeClr val="tx1"/>
                </a:solidFill>
                <a:latin typeface="+mn-lt"/>
                <a:ea typeface="+mn-ea"/>
                <a:cs typeface="+mn-cs"/>
              </a:defRPr>
            </a:pPr>
            <a:r>
              <a:rPr lang="zh-CN" altLang="zh-CN" sz="1400" b="0" i="0" u="none" strike="noStrike" baseline="0">
                <a:latin typeface="仿宋_GB2312" panose="02010609030101010101" pitchFamily="5" charset="-122"/>
                <a:ea typeface="仿宋_GB2312" panose="02010609030101010101" pitchFamily="5" charset="-122"/>
              </a:rPr>
              <a:t>图</a:t>
            </a:r>
            <a:r>
              <a:rPr lang="en-US" altLang="zh-CN" sz="1400" b="0" i="0" u="none" strike="noStrike" baseline="0">
                <a:latin typeface="仿宋_GB2312" panose="02010609030101010101" pitchFamily="5" charset="-122"/>
                <a:ea typeface="仿宋_GB2312" panose="02010609030101010101" pitchFamily="5" charset="-122"/>
              </a:rPr>
              <a:t>4</a:t>
            </a:r>
            <a:r>
              <a:rPr lang="zh-CN" altLang="zh-CN" sz="1400" b="0" i="0" u="none" strike="noStrike" baseline="0">
                <a:latin typeface="仿宋_GB2312" panose="02010609030101010101" pitchFamily="5" charset="-122"/>
                <a:ea typeface="仿宋_GB2312" panose="02010609030101010101" pitchFamily="5" charset="-122"/>
              </a:rPr>
              <a:t>：财政拨款支出决算结构（按功能分类）</a:t>
            </a:r>
            <a:endParaRPr lang="zh-CN" altLang="en-US" sz="1400" b="0">
              <a:latin typeface="仿宋_GB2312" panose="02010609030101010101" pitchFamily="5" charset="-122"/>
              <a:ea typeface="仿宋_GB2312" panose="02010609030101010101" pitchFamily="5" charset="-122"/>
            </a:endParaRPr>
          </a:p>
        </c:rich>
      </c:tx>
      <c:layout>
        <c:manualLayout>
          <c:xMode val="edge"/>
          <c:yMode val="edge"/>
          <c:x val="0.12638888888888897"/>
          <c:y val="0.83712096244304424"/>
        </c:manualLayout>
      </c:layout>
      <c:overlay val="0"/>
      <c:spPr>
        <a:noFill/>
        <a:ln>
          <a:noFill/>
        </a:ln>
        <a:effectLst/>
      </c:spPr>
    </c:title>
    <c:autoTitleDeleted val="0"/>
    <c:plotArea>
      <c:layout>
        <c:manualLayout>
          <c:layoutTarget val="inner"/>
          <c:xMode val="edge"/>
          <c:yMode val="edge"/>
          <c:x val="0.24277777777777801"/>
          <c:y val="7.1969675504153105E-2"/>
          <c:w val="0.51444466316710402"/>
          <c:h val="0.70151524054067105"/>
        </c:manualLayout>
      </c:layout>
      <c:pieChart>
        <c:varyColors val="1"/>
        <c:ser>
          <c:idx val="0"/>
          <c:order val="0"/>
          <c:spPr>
            <a:effectLst/>
          </c:spPr>
          <c:dPt>
            <c:idx val="0"/>
            <c:bubble3D val="0"/>
            <c:spPr>
              <a:solidFill>
                <a:schemeClr val="accent1">
                  <a:shade val="58000"/>
                </a:schemeClr>
              </a:solidFill>
              <a:ln>
                <a:noFill/>
              </a:ln>
              <a:effectLst/>
            </c:spPr>
          </c:dPt>
          <c:dPt>
            <c:idx val="1"/>
            <c:bubble3D val="0"/>
            <c:spPr>
              <a:solidFill>
                <a:schemeClr val="accent2">
                  <a:shade val="58000"/>
                </a:schemeClr>
              </a:solidFill>
              <a:ln>
                <a:noFill/>
              </a:ln>
              <a:effectLst/>
            </c:spPr>
          </c:dPt>
          <c:dPt>
            <c:idx val="2"/>
            <c:bubble3D val="0"/>
            <c:spPr>
              <a:solidFill>
                <a:schemeClr val="accent3">
                  <a:shade val="58000"/>
                </a:schemeClr>
              </a:solidFill>
              <a:ln>
                <a:noFill/>
              </a:ln>
              <a:effectLst/>
            </c:spPr>
          </c:dPt>
          <c:dPt>
            <c:idx val="3"/>
            <c:bubble3D val="0"/>
            <c:spPr>
              <a:solidFill>
                <a:schemeClr val="accent4">
                  <a:shade val="58000"/>
                </a:schemeClr>
              </a:solidFill>
              <a:ln>
                <a:noFill/>
              </a:ln>
              <a:effectLst/>
            </c:spPr>
          </c:dPt>
          <c:dPt>
            <c:idx val="4"/>
            <c:bubble3D val="0"/>
            <c:spPr>
              <a:solidFill>
                <a:schemeClr val="accent5">
                  <a:shade val="58000"/>
                </a:schemeClr>
              </a:solidFill>
              <a:ln>
                <a:noFill/>
              </a:ln>
              <a:effectLst/>
            </c:spPr>
          </c:dPt>
          <c:dPt>
            <c:idx val="5"/>
            <c:bubble3D val="0"/>
            <c:spPr>
              <a:solidFill>
                <a:schemeClr val="accent6">
                  <a:shade val="58000"/>
                </a:schemeClr>
              </a:solidFill>
              <a:ln>
                <a:noFill/>
              </a:ln>
              <a:effectLst/>
            </c:spPr>
          </c:dPt>
          <c:dPt>
            <c:idx val="6"/>
            <c:bubble3D val="0"/>
            <c:spPr>
              <a:solidFill>
                <a:schemeClr val="accent1">
                  <a:shade val="86000"/>
                </a:schemeClr>
              </a:solidFill>
              <a:ln>
                <a:noFill/>
              </a:ln>
              <a:effectLst/>
            </c:spPr>
          </c:dPt>
          <c:dPt>
            <c:idx val="7"/>
            <c:bubble3D val="0"/>
            <c:spPr>
              <a:solidFill>
                <a:schemeClr val="accent2">
                  <a:shade val="86000"/>
                </a:schemeClr>
              </a:solidFill>
              <a:ln>
                <a:noFill/>
              </a:ln>
              <a:effectLst/>
            </c:spPr>
          </c:dPt>
          <c:dPt>
            <c:idx val="8"/>
            <c:bubble3D val="0"/>
            <c:spPr>
              <a:solidFill>
                <a:schemeClr val="accent3">
                  <a:shade val="86000"/>
                </a:schemeClr>
              </a:solidFill>
              <a:ln>
                <a:noFill/>
              </a:ln>
              <a:effectLst/>
            </c:spPr>
          </c:dPt>
          <c:dPt>
            <c:idx val="9"/>
            <c:bubble3D val="0"/>
            <c:spPr>
              <a:solidFill>
                <a:schemeClr val="accent4">
                  <a:shade val="86000"/>
                </a:schemeClr>
              </a:solidFill>
              <a:ln>
                <a:noFill/>
              </a:ln>
              <a:effectLst/>
            </c:spPr>
          </c:dPt>
          <c:dPt>
            <c:idx val="10"/>
            <c:bubble3D val="0"/>
            <c:spPr>
              <a:solidFill>
                <a:schemeClr val="accent5">
                  <a:shade val="86000"/>
                </a:schemeClr>
              </a:solidFill>
              <a:ln>
                <a:noFill/>
              </a:ln>
              <a:effectLst/>
            </c:spPr>
          </c:dPt>
          <c:dPt>
            <c:idx val="11"/>
            <c:bubble3D val="0"/>
            <c:spPr>
              <a:solidFill>
                <a:schemeClr val="accent6">
                  <a:shade val="86000"/>
                </a:schemeClr>
              </a:solidFill>
              <a:ln>
                <a:noFill/>
              </a:ln>
              <a:effectLst/>
            </c:spPr>
          </c:dPt>
          <c:dPt>
            <c:idx val="12"/>
            <c:bubble3D val="0"/>
            <c:spPr>
              <a:solidFill>
                <a:schemeClr val="accent1">
                  <a:tint val="86000"/>
                </a:schemeClr>
              </a:solidFill>
              <a:ln>
                <a:noFill/>
              </a:ln>
              <a:effectLst/>
            </c:spPr>
          </c:dPt>
          <c:dPt>
            <c:idx val="13"/>
            <c:bubble3D val="0"/>
            <c:spPr>
              <a:solidFill>
                <a:schemeClr val="accent2">
                  <a:tint val="86000"/>
                </a:schemeClr>
              </a:solidFill>
              <a:ln>
                <a:noFill/>
              </a:ln>
              <a:effectLst/>
            </c:spPr>
          </c:dPt>
          <c:dPt>
            <c:idx val="14"/>
            <c:bubble3D val="0"/>
            <c:spPr>
              <a:solidFill>
                <a:schemeClr val="accent3">
                  <a:tint val="86000"/>
                </a:schemeClr>
              </a:solidFill>
              <a:ln>
                <a:noFill/>
              </a:ln>
              <a:effectLst/>
            </c:spPr>
          </c:dPt>
          <c:dPt>
            <c:idx val="15"/>
            <c:bubble3D val="0"/>
            <c:spPr>
              <a:solidFill>
                <a:schemeClr val="accent4">
                  <a:tint val="86000"/>
                </a:schemeClr>
              </a:solidFill>
              <a:ln>
                <a:noFill/>
              </a:ln>
              <a:effectLst/>
            </c:spPr>
          </c:dPt>
          <c:dPt>
            <c:idx val="16"/>
            <c:bubble3D val="0"/>
            <c:spPr>
              <a:solidFill>
                <a:schemeClr val="accent5">
                  <a:tint val="86000"/>
                </a:schemeClr>
              </a:solidFill>
              <a:ln>
                <a:noFill/>
              </a:ln>
              <a:effectLst/>
            </c:spPr>
          </c:dPt>
          <c:dPt>
            <c:idx val="17"/>
            <c:bubble3D val="0"/>
            <c:spPr>
              <a:solidFill>
                <a:schemeClr val="accent6">
                  <a:tint val="86000"/>
                </a:schemeClr>
              </a:solidFill>
              <a:ln>
                <a:noFill/>
              </a:ln>
              <a:effectLst/>
            </c:spPr>
          </c:dPt>
          <c:dPt>
            <c:idx val="18"/>
            <c:bubble3D val="0"/>
            <c:spPr>
              <a:solidFill>
                <a:schemeClr val="accent1">
                  <a:tint val="58000"/>
                </a:schemeClr>
              </a:solidFill>
              <a:ln>
                <a:noFill/>
              </a:ln>
              <a:effectLst/>
            </c:spPr>
          </c:dPt>
          <c:dLbls>
            <c:dLbl>
              <c:idx val="1"/>
              <c:delete val="1"/>
            </c:dLbl>
            <c:dLbl>
              <c:idx val="2"/>
              <c:delete val="1"/>
            </c:dLbl>
            <c:dLbl>
              <c:idx val="3"/>
              <c:delete val="1"/>
            </c:dLbl>
            <c:dLbl>
              <c:idx val="4"/>
              <c:delete val="1"/>
            </c:dLbl>
            <c:dLbl>
              <c:idx val="5"/>
              <c:layout>
                <c:manualLayout>
                  <c:x val="-2.6567918631954918E-2"/>
                  <c:y val="0.13514591491594743"/>
                </c:manualLayout>
              </c:layout>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6"/>
              <c:layout>
                <c:manualLayout>
                  <c:x val="9.1251085591110934E-2"/>
                  <c:y val="0"/>
                </c:manualLayout>
              </c:layout>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7"/>
              <c:delete val="1"/>
            </c:dLbl>
            <c:dLbl>
              <c:idx val="8"/>
              <c:delete val="1"/>
            </c:dLbl>
            <c:dLbl>
              <c:idx val="9"/>
              <c:delete val="1"/>
            </c:dLbl>
            <c:dLbl>
              <c:idx val="10"/>
              <c:delete val="1"/>
            </c:dLbl>
            <c:dLbl>
              <c:idx val="11"/>
              <c:delete val="1"/>
            </c:dLbl>
            <c:dLbl>
              <c:idx val="12"/>
              <c:delete val="1"/>
            </c:dLbl>
            <c:dLbl>
              <c:idx val="13"/>
              <c:delete val="1"/>
            </c:dLbl>
            <c:dLbl>
              <c:idx val="14"/>
              <c:delete val="1"/>
            </c:dLbl>
            <c:dLbl>
              <c:idx val="15"/>
              <c:delete val="1"/>
            </c:dLbl>
            <c:dLbl>
              <c:idx val="16"/>
              <c:delete val="1"/>
            </c:dLbl>
            <c:dLbl>
              <c:idx val="17"/>
              <c:delete val="1"/>
            </c:dLbl>
            <c:dLbl>
              <c:idx val="18"/>
              <c:delete val="1"/>
            </c:dLbl>
            <c:numFmt formatCode="0.00%" sourceLinked="0"/>
            <c:spPr>
              <a:noFill/>
              <a:ln>
                <a:noFill/>
              </a:ln>
              <a:effectLst/>
            </c:spPr>
            <c:txPr>
              <a:bodyPr rot="0" spcFirstLastPara="0" vertOverflow="ellipsis" horzOverflow="overflow"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LegendKey val="0"/>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solidFill>
                      <a:prstDash val="solid"/>
                      <a:round/>
                    </a:ln>
                    <a:effectLst/>
                  </c:spPr>
                </c15:leaderLines>
              </c:ext>
            </c:extLst>
          </c:dLbls>
          <c:cat>
            <c:strRef>
              <c:f>'[2019部门决算    饼图.xlsx]支出决算结构'!$A$5:$A$23</c:f>
              <c:strCache>
                <c:ptCount val="19"/>
                <c:pt idx="0">
                  <c:v>一般公共服务支出</c:v>
                </c:pt>
                <c:pt idx="1">
                  <c:v>公共安全支出</c:v>
                </c:pt>
                <c:pt idx="2">
                  <c:v>教育支出</c:v>
                </c:pt>
                <c:pt idx="3">
                  <c:v>科学技术支出</c:v>
                </c:pt>
                <c:pt idx="4">
                  <c:v>文化旅游体育与传媒支出</c:v>
                </c:pt>
                <c:pt idx="5">
                  <c:v>社会保障和就业支出</c:v>
                </c:pt>
                <c:pt idx="6">
                  <c:v>卫生健康支出</c:v>
                </c:pt>
                <c:pt idx="7">
                  <c:v>节能环保支出</c:v>
                </c:pt>
                <c:pt idx="8">
                  <c:v>城乡社区支出</c:v>
                </c:pt>
                <c:pt idx="9">
                  <c:v>农林水支出</c:v>
                </c:pt>
                <c:pt idx="10">
                  <c:v>交通运输支出</c:v>
                </c:pt>
                <c:pt idx="11">
                  <c:v>资源勘探信息等支出</c:v>
                </c:pt>
                <c:pt idx="12">
                  <c:v>商业服务业等支出</c:v>
                </c:pt>
                <c:pt idx="13">
                  <c:v>自然资源海洋气象等支出</c:v>
                </c:pt>
                <c:pt idx="14">
                  <c:v>住房保障支出</c:v>
                </c:pt>
                <c:pt idx="15">
                  <c:v>粮油物资储备支出</c:v>
                </c:pt>
                <c:pt idx="16">
                  <c:v>其他支出</c:v>
                </c:pt>
                <c:pt idx="17">
                  <c:v>债务还本支出</c:v>
                </c:pt>
                <c:pt idx="18">
                  <c:v>债务付息支出</c:v>
                </c:pt>
              </c:strCache>
            </c:strRef>
          </c:cat>
          <c:val>
            <c:numRef>
              <c:f>'[2019部门决算    饼图.xlsx]支出决算结构'!$B$5:$B$23</c:f>
              <c:numCache>
                <c:formatCode>General</c:formatCode>
                <c:ptCount val="19"/>
                <c:pt idx="0">
                  <c:v>550.68000000000018</c:v>
                </c:pt>
                <c:pt idx="5">
                  <c:v>74.440000000000026</c:v>
                </c:pt>
                <c:pt idx="6">
                  <c:v>15.850000000000003</c:v>
                </c:pt>
              </c:numCache>
            </c:numRef>
          </c:val>
        </c:ser>
        <c:dLbls>
          <c:showLegendKey val="0"/>
          <c:showVal val="0"/>
          <c:showCatName val="1"/>
          <c:showSerName val="0"/>
          <c:showPercent val="1"/>
          <c:showBubbleSize val="0"/>
          <c:showLeaderLines val="1"/>
        </c:dLbls>
        <c:firstSliceAng val="0"/>
      </c:pieChart>
      <c:spPr>
        <a:solidFill>
          <a:schemeClr val="bg1"/>
        </a:solidFill>
        <a:ln>
          <a:noFill/>
        </a:ln>
        <a:effectLst/>
      </c:spPr>
    </c:plotArea>
    <c:plotVisOnly val="1"/>
    <c:dispBlanksAs val="zero"/>
    <c:showDLblsOverMax val="0"/>
  </c:chart>
  <c:spPr>
    <a:solidFill>
      <a:schemeClr val="bg1"/>
    </a:solidFill>
    <a:ln w="9525" cap="flat" cmpd="sng" algn="ctr">
      <a:solidFill>
        <a:sysClr val="window" lastClr="FFFFFF">
          <a:alpha val="0"/>
        </a:sysClr>
      </a:solidFill>
      <a:prstDash val="solid"/>
      <a:round/>
    </a:ln>
    <a:effectLst>
      <a:outerShdw blurRad="50800" dist="50800" dir="5400000" algn="ctr" rotWithShape="0">
        <a:schemeClr val="bg1"/>
      </a:outerShdw>
    </a:effectLst>
  </c:spPr>
  <c:txPr>
    <a:bodyPr rot="0" spcFirstLastPara="0" vertOverflow="ellipsis" horzOverflow="overflow" vert="horz" wrap="square" anchor="ctr" anchorCtr="1"/>
    <a:lstStyle/>
    <a:p>
      <a:pPr>
        <a:defRPr lang="zh-CN"/>
      </a:pPr>
      <a:endParaRPr lang="zh-CN"/>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F7FCCB8-EE1E-42A6-B9A8-208B26E6DD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简约文档封面模板.docx</Template>
  <TotalTime>22</TotalTime>
  <Pages>44</Pages>
  <Words>11549</Words>
  <Characters>7399</Characters>
  <Application>Microsoft Office Word</Application>
  <DocSecurity>0</DocSecurity>
  <Lines>61</Lines>
  <Paragraphs>37</Paragraphs>
  <ScaleCrop>false</ScaleCrop>
  <Company>Microsoft</Company>
  <LinksUpToDate>false</LinksUpToDate>
  <CharactersWithSpaces>18911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王明新TIAD</dc:creator>
  <cp:lastModifiedBy>微软用户</cp:lastModifiedBy>
  <cp:revision>19</cp:revision>
  <cp:lastPrinted>2020-07-30T02:37:00Z</cp:lastPrinted>
  <dcterms:created xsi:type="dcterms:W3CDTF">2020-07-29T09:42:00Z</dcterms:created>
  <dcterms:modified xsi:type="dcterms:W3CDTF">2021-05-24T06:29:00Z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F9DDDF7ED2D9419BADBA558D497ECD13</vt:lpwstr>
  </property>
</Properties>
</file>