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2B85" w:rsidRDefault="0087363F">
      <w:pPr>
        <w:adjustRightInd w:val="0"/>
        <w:snapToGrid w:val="0"/>
        <w:jc w:val="center"/>
        <w:rPr>
          <w:rFonts w:ascii="方正小标宋_GBK" w:eastAsia="方正小标宋_GBK" w:hAnsi="Times New Roman" w:cs="Times New Roman"/>
          <w:sz w:val="44"/>
          <w:szCs w:val="44"/>
        </w:rPr>
      </w:pPr>
      <w:r>
        <w:rPr>
          <w:rFonts w:ascii="方正小标宋_GBK" w:eastAsia="方正小标宋_GBK" w:hAnsi="Times New Roman" w:cs="方正小标宋_GBK" w:hint="eastAsia"/>
          <w:sz w:val="44"/>
          <w:szCs w:val="44"/>
        </w:rPr>
        <w:t>无极县行政审批局</w:t>
      </w:r>
    </w:p>
    <w:p w:rsidR="00D12B85" w:rsidRDefault="0087363F">
      <w:pPr>
        <w:adjustRightInd w:val="0"/>
        <w:snapToGrid w:val="0"/>
        <w:jc w:val="center"/>
        <w:rPr>
          <w:rFonts w:ascii="方正小标宋_GBK" w:eastAsia="方正小标宋_GBK" w:hAnsi="Times New Roman" w:cs="Times New Roman"/>
          <w:sz w:val="44"/>
          <w:szCs w:val="44"/>
        </w:rPr>
      </w:pPr>
      <w:r>
        <w:rPr>
          <w:rFonts w:ascii="方正小标宋_GBK" w:eastAsia="方正小标宋_GBK" w:hAnsi="Times New Roman" w:cs="方正小标宋_GBK"/>
          <w:sz w:val="44"/>
          <w:szCs w:val="44"/>
        </w:rPr>
        <w:t>2019</w:t>
      </w:r>
      <w:r>
        <w:rPr>
          <w:rFonts w:ascii="方正小标宋_GBK" w:eastAsia="方正小标宋_GBK" w:hAnsi="Times New Roman" w:cs="方正小标宋_GBK" w:hint="eastAsia"/>
          <w:sz w:val="44"/>
          <w:szCs w:val="44"/>
        </w:rPr>
        <w:t>年部门预算信息公开情况说明</w:t>
      </w:r>
    </w:p>
    <w:p w:rsidR="00D12B85" w:rsidRDefault="00D12B85">
      <w:pPr>
        <w:ind w:firstLine="640"/>
        <w:rPr>
          <w:rFonts w:ascii="Times New Roman" w:eastAsia="仿宋" w:hAnsi="Times New Roman" w:cs="Times New Roman"/>
          <w:sz w:val="32"/>
          <w:szCs w:val="32"/>
        </w:rPr>
      </w:pPr>
    </w:p>
    <w:p w:rsidR="00D12B85" w:rsidRDefault="0087363F">
      <w:pPr>
        <w:ind w:firstLine="640"/>
        <w:rPr>
          <w:rFonts w:ascii="仿宋" w:eastAsia="仿宋" w:hAnsi="仿宋" w:cs="Times New Roman"/>
          <w:sz w:val="32"/>
          <w:szCs w:val="32"/>
        </w:rPr>
      </w:pPr>
      <w:r>
        <w:rPr>
          <w:rFonts w:ascii="仿宋" w:eastAsia="仿宋" w:hAnsi="仿宋" w:cs="仿宋" w:hint="eastAsia"/>
          <w:sz w:val="32"/>
          <w:szCs w:val="32"/>
        </w:rPr>
        <w:t>按照《预算法》、《地方预决算公开操作规程》和《河北省省级预算公开办法》规定，现将无极县行政审批局</w:t>
      </w:r>
      <w:r>
        <w:rPr>
          <w:rFonts w:ascii="仿宋" w:eastAsia="仿宋" w:hAnsi="仿宋" w:cs="仿宋"/>
          <w:sz w:val="32"/>
          <w:szCs w:val="32"/>
        </w:rPr>
        <w:t>2019</w:t>
      </w:r>
      <w:r>
        <w:rPr>
          <w:rFonts w:ascii="仿宋" w:eastAsia="仿宋" w:hAnsi="仿宋" w:cs="仿宋" w:hint="eastAsia"/>
          <w:sz w:val="32"/>
          <w:szCs w:val="32"/>
        </w:rPr>
        <w:t>年部门预算公开如下：</w:t>
      </w:r>
    </w:p>
    <w:p w:rsidR="00D12B85" w:rsidRDefault="0087363F">
      <w:pPr>
        <w:ind w:firstLine="640"/>
        <w:rPr>
          <w:rFonts w:ascii="黑体" w:eastAsia="黑体" w:hAnsi="黑体" w:cs="Times New Roman"/>
          <w:sz w:val="32"/>
          <w:szCs w:val="32"/>
        </w:rPr>
      </w:pPr>
      <w:r>
        <w:rPr>
          <w:rFonts w:ascii="黑体" w:eastAsia="黑体" w:hAnsi="黑体" w:cs="黑体" w:hint="eastAsia"/>
          <w:sz w:val="32"/>
          <w:szCs w:val="32"/>
        </w:rPr>
        <w:t>一、部门职责及机构设置情况</w:t>
      </w:r>
    </w:p>
    <w:p w:rsidR="00D12B85" w:rsidRDefault="0087363F">
      <w:pPr>
        <w:spacing w:line="500" w:lineRule="exact"/>
        <w:ind w:firstLineChars="200" w:firstLine="643"/>
        <w:jc w:val="left"/>
        <w:rPr>
          <w:rFonts w:ascii="仿宋" w:eastAsia="仿宋" w:hAnsi="仿宋" w:cs="Times New Roman"/>
          <w:sz w:val="32"/>
          <w:szCs w:val="32"/>
        </w:rPr>
      </w:pPr>
      <w:r>
        <w:rPr>
          <w:rFonts w:ascii="仿宋" w:eastAsia="仿宋" w:hAnsi="仿宋" w:cs="仿宋" w:hint="eastAsia"/>
          <w:b/>
          <w:bCs/>
          <w:sz w:val="32"/>
          <w:szCs w:val="32"/>
        </w:rPr>
        <w:t>部门职责：</w:t>
      </w:r>
      <w:r>
        <w:rPr>
          <w:rFonts w:ascii="仿宋" w:eastAsia="仿宋" w:hAnsi="仿宋" w:cs="仿宋" w:hint="eastAsia"/>
          <w:sz w:val="32"/>
          <w:szCs w:val="32"/>
        </w:rPr>
        <w:t>根据《行政审批局职能配置、内设机构和人员编制规定》，</w:t>
      </w:r>
      <w:r>
        <w:rPr>
          <w:rFonts w:ascii="仿宋" w:eastAsia="仿宋" w:hAnsi="仿宋" w:cs="仿宋"/>
          <w:sz w:val="32"/>
          <w:szCs w:val="32"/>
        </w:rPr>
        <w:t xml:space="preserve"> </w:t>
      </w:r>
      <w:r>
        <w:rPr>
          <w:rFonts w:ascii="仿宋" w:eastAsia="仿宋" w:hAnsi="仿宋" w:cs="仿宋" w:hint="eastAsia"/>
          <w:sz w:val="32"/>
          <w:szCs w:val="32"/>
        </w:rPr>
        <w:t>行政审批局的主要职责是：</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一）贯彻落实党中央、国务院和省委省政府，市委市政府，县委县政府关于推进政府职能转变和“放管服”改革、行政审批制度改革、政务服务管理、公共资源交易管理、社会信用体系建设有关方针政策和法律法规。承担县推进政府职能转变改革协调小组办公室和“放管服”改革日常工作。</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（二）负责规范全县行政审批行为，创新和完善相关工作体制机制。推进简政放权，清理和规范各类行政许可等管理事项；承担县行政审批制度改革领导小组办公室日常工作。</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（三）负责公共资源交易监督管理工作。拟订全县公共资源交易管理制度和规则并组织实施，编制公共资源交</w:t>
      </w:r>
      <w:r>
        <w:rPr>
          <w:rFonts w:ascii="仿宋" w:eastAsia="仿宋" w:hAnsi="仿宋" w:cs="仿宋" w:hint="eastAsia"/>
          <w:sz w:val="32"/>
          <w:szCs w:val="32"/>
        </w:rPr>
        <w:t>易目录，建设、管理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（四）负责投资项目、商事登记、市场服务、文教体卫、社会事务、住建交通、生态环境、安全生产、农林畜水、经贸商务、城市管理等方面行政审批事项的办理及相关行政性收费，并承担相应的法律责任。</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lastRenderedPageBreak/>
        <w:t>（五）负责协调派驻部门行政审批事项的办理工作，规范、管理和监督派驻部门行政审批行为。</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（六）负责对行政</w:t>
      </w:r>
      <w:r>
        <w:rPr>
          <w:rFonts w:ascii="仿宋" w:eastAsia="仿宋" w:hAnsi="仿宋" w:cs="仿宋" w:hint="eastAsia"/>
          <w:sz w:val="32"/>
          <w:szCs w:val="32"/>
        </w:rPr>
        <w:t>审批、政务服务事项流程进行规范和优化，推进审批服务便民化、标准化建设。</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七）会同有关部门，做好行政审批、政务服务、公共资源交易监督、政务服务平台建设，推行政务服务事项网上办理，协同推进政务服务同一事项，同一编码，同一网上技术规范，形成管理机构、实体大厅、网上平台“三位一体”的政务服务管理模式。</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（八）负责对行政审批、政务服务行为进行监督检查、日常管理、教育培训和考评考核，负责对有关单位派驻县政务服务大厅窗口人员的协调服务及后勤保障工作。</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（九）负责已划转行政许可事项涉及的现场勘验、审图、联合验收等工作。</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（十）负责行政审批信息化工作，以及行政审批信息资料的保管、整理、统计、编目和定期检查工作。</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（十一）完成县委县政府交办的其他任务。</w:t>
      </w:r>
    </w:p>
    <w:p w:rsidR="00D12B85" w:rsidRDefault="00D12B85">
      <w:pPr>
        <w:spacing w:line="500" w:lineRule="exact"/>
        <w:ind w:firstLineChars="200" w:firstLine="640"/>
        <w:jc w:val="left"/>
        <w:rPr>
          <w:rFonts w:ascii="仿宋" w:eastAsia="仿宋" w:hAnsi="仿宋" w:cs="Times New Roman"/>
          <w:sz w:val="32"/>
          <w:szCs w:val="32"/>
        </w:rPr>
      </w:pPr>
    </w:p>
    <w:p w:rsidR="00D12B85" w:rsidRDefault="00D12B85">
      <w:pPr>
        <w:spacing w:line="500" w:lineRule="exact"/>
        <w:ind w:firstLineChars="200" w:firstLine="420"/>
        <w:jc w:val="left"/>
        <w:rPr>
          <w:rFonts w:cs="Times New Roman"/>
        </w:rPr>
        <w:sectPr w:rsidR="00D12B85">
          <w:footerReference w:type="default" r:id="rId8"/>
          <w:pgSz w:w="11907" w:h="16839"/>
          <w:pgMar w:top="1531" w:right="1134" w:bottom="1474" w:left="1134" w:header="851" w:footer="992" w:gutter="0"/>
          <w:pgNumType w:start="1"/>
          <w:cols w:space="720"/>
          <w:docGrid w:type="lines" w:linePitch="312"/>
        </w:sectPr>
      </w:pPr>
    </w:p>
    <w:p w:rsidR="00D12B85" w:rsidRDefault="0087363F">
      <w:pPr>
        <w:ind w:firstLineChars="200" w:firstLine="643"/>
        <w:rPr>
          <w:rFonts w:ascii="仿宋" w:eastAsia="仿宋" w:hAnsi="仿宋" w:cs="Times New Roman"/>
          <w:b/>
          <w:bCs/>
          <w:sz w:val="32"/>
          <w:szCs w:val="32"/>
        </w:rPr>
      </w:pPr>
      <w:r>
        <w:rPr>
          <w:rFonts w:ascii="仿宋" w:eastAsia="仿宋" w:hAnsi="仿宋" w:cs="仿宋" w:hint="eastAsia"/>
          <w:b/>
          <w:bCs/>
          <w:sz w:val="32"/>
          <w:szCs w:val="32"/>
        </w:rPr>
        <w:lastRenderedPageBreak/>
        <w:t>机构设置：</w:t>
      </w:r>
    </w:p>
    <w:p w:rsidR="00D12B85" w:rsidRDefault="0087363F">
      <w:pPr>
        <w:jc w:val="center"/>
        <w:outlineLvl w:val="0"/>
        <w:rPr>
          <w:rFonts w:ascii="Times New Roman" w:eastAsia="方正小标宋_GBK" w:hAnsi="Times New Roman" w:cs="Times New Roman"/>
          <w:sz w:val="32"/>
          <w:szCs w:val="32"/>
        </w:rPr>
      </w:pPr>
      <w:r>
        <w:rPr>
          <w:rFonts w:ascii="Times New Roman" w:eastAsia="方正小标宋_GBK" w:hAnsi="Times New Roman" w:cs="方正小标宋_GBK" w:hint="eastAsia"/>
          <w:sz w:val="32"/>
          <w:szCs w:val="32"/>
        </w:rPr>
        <w:t>部门机构设置情况</w:t>
      </w:r>
    </w:p>
    <w:tbl>
      <w:tblPr>
        <w:tblW w:w="97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417"/>
        <w:gridCol w:w="1134"/>
        <w:gridCol w:w="1276"/>
        <w:gridCol w:w="2902"/>
      </w:tblGrid>
      <w:tr w:rsidR="00D12B85">
        <w:trPr>
          <w:trHeight w:val="300"/>
          <w:tblHeader/>
          <w:jc w:val="center"/>
        </w:trPr>
        <w:tc>
          <w:tcPr>
            <w:tcW w:w="4417" w:type="dxa"/>
            <w:vMerge w:val="restart"/>
            <w:vAlign w:val="center"/>
          </w:tcPr>
          <w:p w:rsidR="00D12B85" w:rsidRDefault="0087363F">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单位名称</w:t>
            </w:r>
          </w:p>
        </w:tc>
        <w:tc>
          <w:tcPr>
            <w:tcW w:w="1134" w:type="dxa"/>
            <w:vMerge w:val="restart"/>
            <w:vAlign w:val="center"/>
          </w:tcPr>
          <w:p w:rsidR="00D12B85" w:rsidRDefault="0087363F">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单位性质</w:t>
            </w:r>
          </w:p>
        </w:tc>
        <w:tc>
          <w:tcPr>
            <w:tcW w:w="1276" w:type="dxa"/>
            <w:vMerge w:val="restart"/>
            <w:vAlign w:val="center"/>
          </w:tcPr>
          <w:p w:rsidR="00D12B85" w:rsidRDefault="0087363F">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单位规格</w:t>
            </w:r>
          </w:p>
        </w:tc>
        <w:tc>
          <w:tcPr>
            <w:tcW w:w="2902" w:type="dxa"/>
            <w:vMerge w:val="restart"/>
            <w:vAlign w:val="center"/>
          </w:tcPr>
          <w:p w:rsidR="00D12B85" w:rsidRDefault="0087363F">
            <w:pPr>
              <w:spacing w:line="300" w:lineRule="exact"/>
              <w:jc w:val="center"/>
              <w:rPr>
                <w:rFonts w:ascii="Times New Roman" w:eastAsia="方正书宋_GBK" w:hAnsi="Times New Roman" w:cs="Times New Roman"/>
                <w:b/>
                <w:bCs/>
              </w:rPr>
            </w:pPr>
            <w:r>
              <w:rPr>
                <w:rFonts w:ascii="Times New Roman" w:eastAsia="方正书宋_GBK" w:hAnsi="Times New Roman" w:cs="方正书宋_GBK" w:hint="eastAsia"/>
                <w:b/>
                <w:bCs/>
              </w:rPr>
              <w:t>经费保障形式</w:t>
            </w:r>
          </w:p>
        </w:tc>
      </w:tr>
      <w:tr w:rsidR="00D12B85">
        <w:trPr>
          <w:trHeight w:val="300"/>
          <w:tblHeader/>
          <w:jc w:val="center"/>
        </w:trPr>
        <w:tc>
          <w:tcPr>
            <w:tcW w:w="4417" w:type="dxa"/>
            <w:vMerge/>
            <w:vAlign w:val="center"/>
          </w:tcPr>
          <w:p w:rsidR="00D12B85" w:rsidRDefault="00D12B85">
            <w:pPr>
              <w:spacing w:line="300" w:lineRule="exact"/>
              <w:jc w:val="left"/>
              <w:outlineLvl w:val="0"/>
              <w:rPr>
                <w:rFonts w:ascii="Times New Roman" w:hAnsi="Times New Roman" w:cs="Times New Roman"/>
              </w:rPr>
            </w:pPr>
          </w:p>
        </w:tc>
        <w:tc>
          <w:tcPr>
            <w:tcW w:w="1134" w:type="dxa"/>
            <w:vMerge/>
            <w:vAlign w:val="center"/>
          </w:tcPr>
          <w:p w:rsidR="00D12B85" w:rsidRDefault="00D12B85">
            <w:pPr>
              <w:spacing w:line="300" w:lineRule="exact"/>
              <w:jc w:val="left"/>
              <w:outlineLvl w:val="0"/>
              <w:rPr>
                <w:rFonts w:ascii="Times New Roman" w:hAnsi="Times New Roman" w:cs="Times New Roman"/>
              </w:rPr>
            </w:pPr>
          </w:p>
        </w:tc>
        <w:tc>
          <w:tcPr>
            <w:tcW w:w="1276" w:type="dxa"/>
            <w:vMerge/>
            <w:vAlign w:val="center"/>
          </w:tcPr>
          <w:p w:rsidR="00D12B85" w:rsidRDefault="00D12B85">
            <w:pPr>
              <w:spacing w:line="300" w:lineRule="exact"/>
              <w:jc w:val="left"/>
              <w:outlineLvl w:val="0"/>
              <w:rPr>
                <w:rFonts w:ascii="Times New Roman" w:hAnsi="Times New Roman" w:cs="Times New Roman"/>
              </w:rPr>
            </w:pPr>
          </w:p>
        </w:tc>
        <w:tc>
          <w:tcPr>
            <w:tcW w:w="2902" w:type="dxa"/>
            <w:vMerge/>
            <w:vAlign w:val="center"/>
          </w:tcPr>
          <w:p w:rsidR="00D12B85" w:rsidRDefault="00D12B85">
            <w:pPr>
              <w:spacing w:line="300" w:lineRule="exact"/>
              <w:jc w:val="left"/>
              <w:outlineLvl w:val="0"/>
              <w:rPr>
                <w:rFonts w:ascii="Times New Roman" w:hAnsi="Times New Roman" w:cs="Times New Roman"/>
              </w:rPr>
            </w:pPr>
          </w:p>
        </w:tc>
      </w:tr>
      <w:tr w:rsidR="00D12B85">
        <w:trPr>
          <w:trHeight w:val="227"/>
          <w:jc w:val="center"/>
        </w:trPr>
        <w:tc>
          <w:tcPr>
            <w:tcW w:w="4417" w:type="dxa"/>
            <w:vAlign w:val="center"/>
          </w:tcPr>
          <w:p w:rsidR="00D12B85" w:rsidRDefault="0087363F">
            <w:pPr>
              <w:spacing w:line="300" w:lineRule="exact"/>
              <w:jc w:val="left"/>
              <w:rPr>
                <w:rFonts w:ascii="Times New Roman" w:eastAsia="方正书宋_GBK" w:hAnsi="Times New Roman" w:cs="Times New Roman"/>
              </w:rPr>
            </w:pPr>
            <w:r>
              <w:rPr>
                <w:rFonts w:ascii="Times New Roman" w:eastAsia="方正书宋_GBK" w:hAnsi="Times New Roman" w:cs="方正书宋_GBK" w:hint="eastAsia"/>
              </w:rPr>
              <w:t>无极县行政审批局</w:t>
            </w:r>
          </w:p>
        </w:tc>
        <w:tc>
          <w:tcPr>
            <w:tcW w:w="1134" w:type="dxa"/>
            <w:vAlign w:val="center"/>
          </w:tcPr>
          <w:p w:rsidR="00D12B85" w:rsidRDefault="0087363F">
            <w:pPr>
              <w:spacing w:line="300" w:lineRule="exact"/>
              <w:jc w:val="center"/>
              <w:rPr>
                <w:rFonts w:ascii="Times New Roman" w:eastAsia="方正书宋_GBK" w:hAnsi="Times New Roman" w:cs="Times New Roman"/>
              </w:rPr>
            </w:pPr>
            <w:r>
              <w:rPr>
                <w:rFonts w:ascii="方正书宋_GBK" w:eastAsia="方正书宋_GBK" w:cs="方正书宋_GBK" w:hint="eastAsia"/>
              </w:rPr>
              <w:t>行政</w:t>
            </w:r>
          </w:p>
        </w:tc>
        <w:tc>
          <w:tcPr>
            <w:tcW w:w="1276" w:type="dxa"/>
            <w:vAlign w:val="center"/>
          </w:tcPr>
          <w:p w:rsidR="00D12B85" w:rsidRDefault="0087363F">
            <w:pPr>
              <w:spacing w:line="300" w:lineRule="exact"/>
              <w:jc w:val="center"/>
              <w:rPr>
                <w:rFonts w:ascii="Times New Roman" w:eastAsia="方正书宋_GBK" w:hAnsi="Times New Roman" w:cs="Times New Roman"/>
              </w:rPr>
            </w:pPr>
            <w:r>
              <w:rPr>
                <w:rFonts w:ascii="方正书宋_GBK" w:eastAsia="方正书宋_GBK" w:cs="方正书宋_GBK" w:hint="eastAsia"/>
              </w:rPr>
              <w:t>正科级</w:t>
            </w:r>
          </w:p>
        </w:tc>
        <w:tc>
          <w:tcPr>
            <w:tcW w:w="2902" w:type="dxa"/>
            <w:vAlign w:val="center"/>
          </w:tcPr>
          <w:p w:rsidR="00D12B85" w:rsidRDefault="0087363F">
            <w:pPr>
              <w:spacing w:line="300" w:lineRule="exact"/>
              <w:jc w:val="center"/>
              <w:rPr>
                <w:rFonts w:ascii="Times New Roman" w:eastAsia="方正书宋_GBK" w:hAnsi="Times New Roman" w:cs="Times New Roman"/>
              </w:rPr>
            </w:pPr>
            <w:r>
              <w:rPr>
                <w:rFonts w:ascii="方正书宋_GBK" w:eastAsia="方正书宋_GBK" w:cs="方正书宋_GBK" w:hint="eastAsia"/>
              </w:rPr>
              <w:t>财政拨款</w:t>
            </w:r>
          </w:p>
        </w:tc>
      </w:tr>
      <w:tr w:rsidR="00D12B85">
        <w:trPr>
          <w:trHeight w:val="227"/>
          <w:jc w:val="center"/>
        </w:trPr>
        <w:tc>
          <w:tcPr>
            <w:tcW w:w="4417" w:type="dxa"/>
            <w:vAlign w:val="center"/>
          </w:tcPr>
          <w:p w:rsidR="00D12B85" w:rsidRDefault="0087363F">
            <w:pPr>
              <w:spacing w:line="300" w:lineRule="exact"/>
              <w:jc w:val="left"/>
              <w:rPr>
                <w:rFonts w:ascii="Times New Roman" w:eastAsia="方正书宋_GBK" w:hAnsi="Times New Roman" w:cs="Times New Roman"/>
              </w:rPr>
            </w:pPr>
            <w:r>
              <w:rPr>
                <w:rFonts w:ascii="方正书宋_GBK" w:eastAsia="方正书宋_GBK" w:cs="方正书宋_GBK" w:hint="eastAsia"/>
              </w:rPr>
              <w:t>无极县行政审批服务中心</w:t>
            </w:r>
          </w:p>
        </w:tc>
        <w:tc>
          <w:tcPr>
            <w:tcW w:w="1134" w:type="dxa"/>
            <w:vAlign w:val="center"/>
          </w:tcPr>
          <w:p w:rsidR="00D12B85" w:rsidRDefault="0087363F">
            <w:pPr>
              <w:spacing w:line="300" w:lineRule="exact"/>
              <w:jc w:val="center"/>
              <w:rPr>
                <w:rFonts w:ascii="Times New Roman" w:eastAsia="方正书宋_GBK" w:hAnsi="Times New Roman" w:cs="Times New Roman"/>
              </w:rPr>
            </w:pPr>
            <w:r>
              <w:rPr>
                <w:rFonts w:ascii="方正书宋_GBK" w:eastAsia="方正书宋_GBK" w:cs="方正书宋_GBK" w:hint="eastAsia"/>
              </w:rPr>
              <w:t>事业</w:t>
            </w:r>
          </w:p>
        </w:tc>
        <w:tc>
          <w:tcPr>
            <w:tcW w:w="1276" w:type="dxa"/>
            <w:vAlign w:val="center"/>
          </w:tcPr>
          <w:p w:rsidR="00D12B85" w:rsidRDefault="0087363F">
            <w:pPr>
              <w:spacing w:line="300" w:lineRule="exact"/>
              <w:jc w:val="center"/>
              <w:rPr>
                <w:rFonts w:ascii="Times New Roman" w:eastAsia="方正书宋_GBK" w:hAnsi="Times New Roman" w:cs="Times New Roman"/>
              </w:rPr>
            </w:pPr>
            <w:r>
              <w:rPr>
                <w:rFonts w:ascii="方正书宋_GBK" w:eastAsia="方正书宋_GBK" w:cs="方正书宋_GBK" w:hint="eastAsia"/>
              </w:rPr>
              <w:t>正股级</w:t>
            </w:r>
          </w:p>
        </w:tc>
        <w:tc>
          <w:tcPr>
            <w:tcW w:w="2902" w:type="dxa"/>
            <w:vAlign w:val="center"/>
          </w:tcPr>
          <w:p w:rsidR="00D12B85" w:rsidRDefault="0087363F">
            <w:pPr>
              <w:spacing w:line="300" w:lineRule="exact"/>
              <w:jc w:val="center"/>
              <w:rPr>
                <w:rFonts w:ascii="Times New Roman" w:eastAsia="方正书宋_GBK" w:hAnsi="Times New Roman" w:cs="Times New Roman"/>
              </w:rPr>
            </w:pPr>
            <w:r>
              <w:rPr>
                <w:rFonts w:ascii="方正书宋_GBK" w:eastAsia="方正书宋_GBK" w:cs="方正书宋_GBK" w:hint="eastAsia"/>
              </w:rPr>
              <w:t>财政性资金基本保证</w:t>
            </w:r>
          </w:p>
        </w:tc>
      </w:tr>
      <w:tr w:rsidR="00D12B85">
        <w:trPr>
          <w:trHeight w:val="227"/>
          <w:jc w:val="center"/>
        </w:trPr>
        <w:tc>
          <w:tcPr>
            <w:tcW w:w="4417" w:type="dxa"/>
            <w:vAlign w:val="center"/>
          </w:tcPr>
          <w:p w:rsidR="00D12B85" w:rsidRDefault="0087363F">
            <w:pPr>
              <w:spacing w:line="300" w:lineRule="exact"/>
              <w:jc w:val="left"/>
              <w:rPr>
                <w:rFonts w:ascii="Times New Roman" w:eastAsia="方正书宋_GBK" w:hAnsi="Times New Roman" w:cs="Times New Roman"/>
              </w:rPr>
            </w:pPr>
            <w:r>
              <w:rPr>
                <w:rFonts w:ascii="方正书宋_GBK" w:eastAsia="方正书宋_GBK" w:cs="方正书宋_GBK" w:hint="eastAsia"/>
              </w:rPr>
              <w:t>无极县公共资源交易中心（无极县政府采购中心）</w:t>
            </w:r>
          </w:p>
        </w:tc>
        <w:tc>
          <w:tcPr>
            <w:tcW w:w="1134" w:type="dxa"/>
            <w:vAlign w:val="center"/>
          </w:tcPr>
          <w:p w:rsidR="00D12B85" w:rsidRDefault="0087363F">
            <w:pPr>
              <w:spacing w:line="300" w:lineRule="exact"/>
              <w:jc w:val="center"/>
              <w:rPr>
                <w:rFonts w:ascii="Times New Roman" w:eastAsia="方正书宋_GBK" w:hAnsi="Times New Roman" w:cs="Times New Roman"/>
              </w:rPr>
            </w:pPr>
            <w:r>
              <w:rPr>
                <w:rFonts w:ascii="方正书宋_GBK" w:eastAsia="方正书宋_GBK" w:cs="方正书宋_GBK" w:hint="eastAsia"/>
              </w:rPr>
              <w:t>事业</w:t>
            </w:r>
          </w:p>
        </w:tc>
        <w:tc>
          <w:tcPr>
            <w:tcW w:w="1276" w:type="dxa"/>
            <w:vAlign w:val="center"/>
          </w:tcPr>
          <w:p w:rsidR="00D12B85" w:rsidRDefault="0087363F">
            <w:pPr>
              <w:spacing w:line="300" w:lineRule="exact"/>
              <w:jc w:val="center"/>
              <w:rPr>
                <w:rFonts w:ascii="Times New Roman" w:eastAsia="方正书宋_GBK" w:hAnsi="Times New Roman" w:cs="Times New Roman"/>
              </w:rPr>
            </w:pPr>
            <w:r>
              <w:rPr>
                <w:rFonts w:ascii="方正书宋_GBK" w:eastAsia="方正书宋_GBK" w:cs="方正书宋_GBK" w:hint="eastAsia"/>
              </w:rPr>
              <w:t>副科级</w:t>
            </w:r>
          </w:p>
        </w:tc>
        <w:tc>
          <w:tcPr>
            <w:tcW w:w="2902" w:type="dxa"/>
            <w:vAlign w:val="center"/>
          </w:tcPr>
          <w:p w:rsidR="00D12B85" w:rsidRDefault="0087363F">
            <w:pPr>
              <w:spacing w:line="300" w:lineRule="exact"/>
              <w:jc w:val="center"/>
              <w:rPr>
                <w:rFonts w:ascii="Times New Roman" w:eastAsia="方正书宋_GBK" w:hAnsi="Times New Roman" w:cs="Times New Roman"/>
              </w:rPr>
            </w:pPr>
            <w:r>
              <w:rPr>
                <w:rFonts w:ascii="方正书宋_GBK" w:eastAsia="方正书宋_GBK" w:cs="方正书宋_GBK" w:hint="eastAsia"/>
              </w:rPr>
              <w:t>财政性资金基本保证</w:t>
            </w:r>
          </w:p>
        </w:tc>
      </w:tr>
    </w:tbl>
    <w:p w:rsidR="00D12B85" w:rsidRDefault="00D12B85">
      <w:pPr>
        <w:rPr>
          <w:rFonts w:cs="Times New Roman"/>
        </w:rPr>
      </w:pPr>
    </w:p>
    <w:p w:rsidR="00D12B85" w:rsidRDefault="0087363F">
      <w:pPr>
        <w:ind w:firstLine="640"/>
        <w:rPr>
          <w:rFonts w:ascii="黑体" w:eastAsia="黑体" w:hAnsi="黑体" w:cs="Times New Roman"/>
          <w:sz w:val="32"/>
          <w:szCs w:val="32"/>
        </w:rPr>
      </w:pPr>
      <w:r>
        <w:rPr>
          <w:rFonts w:ascii="黑体" w:eastAsia="黑体" w:hAnsi="黑体" w:cs="黑体" w:hint="eastAsia"/>
          <w:sz w:val="32"/>
          <w:szCs w:val="32"/>
        </w:rPr>
        <w:t>二、部门预算安排的总体情况</w:t>
      </w:r>
    </w:p>
    <w:p w:rsidR="00D12B85" w:rsidRDefault="0087363F">
      <w:pPr>
        <w:ind w:firstLine="640"/>
        <w:rPr>
          <w:rFonts w:ascii="仿宋" w:eastAsia="仿宋" w:hAnsi="仿宋" w:cs="Times New Roman"/>
          <w:sz w:val="32"/>
          <w:szCs w:val="32"/>
        </w:rPr>
      </w:pPr>
      <w:r>
        <w:rPr>
          <w:rFonts w:ascii="仿宋" w:eastAsia="仿宋" w:hAnsi="仿宋" w:cs="仿宋" w:hint="eastAsia"/>
          <w:sz w:val="32"/>
          <w:szCs w:val="32"/>
        </w:rPr>
        <w:t>按照预算管理有关规定，目前我省部门预算的编制实行综合预算管理，即全部收入和支出都反映的预算中。无极县行政审批局及所属事业单位的收支包含在部门预算中。</w:t>
      </w:r>
    </w:p>
    <w:p w:rsidR="00D12B85" w:rsidRDefault="0087363F">
      <w:pPr>
        <w:ind w:firstLine="640"/>
        <w:rPr>
          <w:rFonts w:ascii="仿宋" w:eastAsia="仿宋" w:hAnsi="仿宋" w:cs="Times New Roman"/>
          <w:sz w:val="32"/>
          <w:szCs w:val="32"/>
        </w:rPr>
      </w:pPr>
      <w:r>
        <w:rPr>
          <w:rFonts w:ascii="仿宋" w:eastAsia="仿宋" w:hAnsi="仿宋" w:cs="仿宋"/>
          <w:sz w:val="32"/>
          <w:szCs w:val="32"/>
        </w:rPr>
        <w:t>1</w:t>
      </w:r>
      <w:r>
        <w:rPr>
          <w:rFonts w:ascii="仿宋" w:eastAsia="仿宋" w:hAnsi="仿宋" w:cs="仿宋" w:hint="eastAsia"/>
          <w:sz w:val="32"/>
          <w:szCs w:val="32"/>
        </w:rPr>
        <w:t>、收入说明</w:t>
      </w:r>
    </w:p>
    <w:p w:rsidR="00D12B85" w:rsidRDefault="0087363F">
      <w:pPr>
        <w:ind w:firstLine="640"/>
        <w:rPr>
          <w:rFonts w:ascii="仿宋" w:eastAsia="仿宋" w:hAnsi="仿宋" w:cs="Times New Roman"/>
          <w:sz w:val="32"/>
          <w:szCs w:val="32"/>
        </w:rPr>
      </w:pPr>
      <w:r>
        <w:rPr>
          <w:rFonts w:ascii="仿宋" w:eastAsia="仿宋" w:hAnsi="仿宋" w:cs="仿宋" w:hint="eastAsia"/>
          <w:sz w:val="32"/>
          <w:szCs w:val="32"/>
        </w:rPr>
        <w:t>反映本部门当年全部收入。</w:t>
      </w:r>
      <w:r>
        <w:rPr>
          <w:rFonts w:ascii="仿宋" w:eastAsia="仿宋" w:hAnsi="仿宋" w:cs="仿宋"/>
          <w:sz w:val="32"/>
          <w:szCs w:val="32"/>
        </w:rPr>
        <w:t>2019</w:t>
      </w:r>
      <w:r>
        <w:rPr>
          <w:rFonts w:ascii="仿宋" w:eastAsia="仿宋" w:hAnsi="仿宋" w:cs="仿宋" w:hint="eastAsia"/>
          <w:sz w:val="32"/>
          <w:szCs w:val="32"/>
        </w:rPr>
        <w:t>年预算收入</w:t>
      </w:r>
      <w:r>
        <w:rPr>
          <w:rFonts w:ascii="仿宋" w:eastAsia="仿宋" w:hAnsi="仿宋" w:cs="仿宋"/>
          <w:sz w:val="32"/>
          <w:szCs w:val="32"/>
        </w:rPr>
        <w:t>578.66</w:t>
      </w:r>
      <w:r>
        <w:rPr>
          <w:rFonts w:ascii="仿宋" w:eastAsia="仿宋" w:hAnsi="仿宋" w:cs="仿宋" w:hint="eastAsia"/>
          <w:sz w:val="32"/>
          <w:szCs w:val="32"/>
        </w:rPr>
        <w:t>万元，其中：一般公共预算收入</w:t>
      </w:r>
      <w:r>
        <w:rPr>
          <w:rFonts w:ascii="仿宋" w:eastAsia="仿宋" w:hAnsi="仿宋" w:cs="仿宋"/>
          <w:sz w:val="32"/>
          <w:szCs w:val="32"/>
        </w:rPr>
        <w:t>578.66</w:t>
      </w:r>
      <w:r>
        <w:rPr>
          <w:rFonts w:ascii="仿宋" w:eastAsia="仿宋" w:hAnsi="仿宋" w:cs="仿宋" w:hint="eastAsia"/>
          <w:sz w:val="32"/>
          <w:szCs w:val="32"/>
        </w:rPr>
        <w:t>万元，基金预算收入</w:t>
      </w:r>
      <w:r>
        <w:rPr>
          <w:rFonts w:ascii="仿宋" w:eastAsia="仿宋" w:hAnsi="仿宋" w:cs="仿宋"/>
          <w:sz w:val="32"/>
          <w:szCs w:val="32"/>
        </w:rPr>
        <w:t>0</w:t>
      </w:r>
      <w:r>
        <w:rPr>
          <w:rFonts w:ascii="仿宋" w:eastAsia="仿宋" w:hAnsi="仿宋" w:cs="仿宋" w:hint="eastAsia"/>
          <w:sz w:val="32"/>
          <w:szCs w:val="32"/>
        </w:rPr>
        <w:t>万元，财政专户核拨收入</w:t>
      </w:r>
      <w:r>
        <w:rPr>
          <w:rFonts w:ascii="仿宋" w:eastAsia="仿宋" w:hAnsi="仿宋" w:cs="仿宋"/>
          <w:sz w:val="32"/>
          <w:szCs w:val="32"/>
        </w:rPr>
        <w:t>0</w:t>
      </w:r>
      <w:r>
        <w:rPr>
          <w:rFonts w:ascii="仿宋" w:eastAsia="仿宋" w:hAnsi="仿宋" w:cs="仿宋" w:hint="eastAsia"/>
          <w:sz w:val="32"/>
          <w:szCs w:val="32"/>
        </w:rPr>
        <w:t>万元，其他来源收入</w:t>
      </w:r>
      <w:r>
        <w:rPr>
          <w:rFonts w:ascii="仿宋" w:eastAsia="仿宋" w:hAnsi="仿宋" w:cs="仿宋"/>
          <w:sz w:val="32"/>
          <w:szCs w:val="32"/>
        </w:rPr>
        <w:t>0</w:t>
      </w:r>
      <w:r>
        <w:rPr>
          <w:rFonts w:ascii="仿宋" w:eastAsia="仿宋" w:hAnsi="仿宋" w:cs="仿宋" w:hint="eastAsia"/>
          <w:sz w:val="32"/>
          <w:szCs w:val="32"/>
        </w:rPr>
        <w:t>万元。</w:t>
      </w:r>
    </w:p>
    <w:p w:rsidR="00D12B85" w:rsidRDefault="0087363F">
      <w:pPr>
        <w:ind w:firstLine="640"/>
        <w:rPr>
          <w:rFonts w:ascii="仿宋" w:eastAsia="仿宋" w:hAnsi="仿宋" w:cs="Times New Roman"/>
          <w:sz w:val="32"/>
          <w:szCs w:val="32"/>
        </w:rPr>
      </w:pPr>
      <w:r>
        <w:rPr>
          <w:rFonts w:ascii="仿宋" w:eastAsia="仿宋" w:hAnsi="仿宋" w:cs="仿宋"/>
          <w:sz w:val="32"/>
          <w:szCs w:val="32"/>
        </w:rPr>
        <w:t>2</w:t>
      </w:r>
      <w:r>
        <w:rPr>
          <w:rFonts w:ascii="仿宋" w:eastAsia="仿宋" w:hAnsi="仿宋" w:cs="仿宋" w:hint="eastAsia"/>
          <w:sz w:val="32"/>
          <w:szCs w:val="32"/>
        </w:rPr>
        <w:t>、支出说明</w:t>
      </w:r>
    </w:p>
    <w:p w:rsidR="00D12B85" w:rsidRDefault="0087363F">
      <w:pPr>
        <w:ind w:firstLine="640"/>
        <w:rPr>
          <w:rFonts w:ascii="仿宋" w:eastAsia="仿宋" w:hAnsi="仿宋" w:cs="Times New Roman"/>
          <w:sz w:val="32"/>
          <w:szCs w:val="32"/>
        </w:rPr>
      </w:pPr>
      <w:r>
        <w:rPr>
          <w:rFonts w:ascii="仿宋" w:eastAsia="仿宋" w:hAnsi="仿宋" w:cs="仿宋" w:hint="eastAsia"/>
          <w:sz w:val="32"/>
          <w:szCs w:val="32"/>
        </w:rPr>
        <w:t>收支预算总表支出栏、基本支出表、项目支出表按经济分类和支出功能分类科目编制，反映无极县行政审批局年度部门预算中支出预算的总体情况。</w:t>
      </w:r>
      <w:r>
        <w:rPr>
          <w:rFonts w:ascii="仿宋" w:eastAsia="仿宋" w:hAnsi="仿宋" w:cs="仿宋"/>
          <w:sz w:val="32"/>
          <w:szCs w:val="32"/>
        </w:rPr>
        <w:t>2019</w:t>
      </w:r>
      <w:r>
        <w:rPr>
          <w:rFonts w:ascii="仿宋" w:eastAsia="仿宋" w:hAnsi="仿宋" w:cs="仿宋" w:hint="eastAsia"/>
          <w:sz w:val="32"/>
          <w:szCs w:val="32"/>
        </w:rPr>
        <w:t>年部门支出预算为</w:t>
      </w:r>
      <w:r>
        <w:rPr>
          <w:rFonts w:ascii="仿宋" w:eastAsia="仿宋" w:hAnsi="仿宋" w:cs="仿宋"/>
          <w:sz w:val="32"/>
          <w:szCs w:val="32"/>
        </w:rPr>
        <w:t>578.66</w:t>
      </w:r>
      <w:r>
        <w:rPr>
          <w:rFonts w:ascii="仿宋" w:eastAsia="仿宋" w:hAnsi="仿宋" w:cs="仿宋" w:hint="eastAsia"/>
          <w:sz w:val="32"/>
          <w:szCs w:val="32"/>
        </w:rPr>
        <w:t>万元，其中基本支出</w:t>
      </w:r>
      <w:r>
        <w:rPr>
          <w:rFonts w:ascii="仿宋" w:eastAsia="仿宋" w:hAnsi="仿宋" w:cs="仿宋"/>
          <w:sz w:val="32"/>
          <w:szCs w:val="32"/>
        </w:rPr>
        <w:t>448.94</w:t>
      </w:r>
      <w:r>
        <w:rPr>
          <w:rFonts w:ascii="仿宋" w:eastAsia="仿宋" w:hAnsi="仿宋" w:cs="仿宋" w:hint="eastAsia"/>
          <w:sz w:val="32"/>
          <w:szCs w:val="32"/>
        </w:rPr>
        <w:t>万元，包括人员经费</w:t>
      </w:r>
      <w:r>
        <w:rPr>
          <w:rFonts w:ascii="仿宋" w:eastAsia="仿宋" w:hAnsi="仿宋" w:cs="仿宋"/>
          <w:sz w:val="32"/>
          <w:szCs w:val="32"/>
        </w:rPr>
        <w:t>409.34</w:t>
      </w:r>
      <w:r>
        <w:rPr>
          <w:rFonts w:ascii="仿宋" w:eastAsia="仿宋" w:hAnsi="仿宋" w:cs="仿宋" w:hint="eastAsia"/>
          <w:sz w:val="32"/>
          <w:szCs w:val="32"/>
        </w:rPr>
        <w:t>万元和日常公用经费</w:t>
      </w:r>
      <w:r>
        <w:rPr>
          <w:rFonts w:ascii="仿宋" w:eastAsia="仿宋" w:hAnsi="仿宋" w:cs="仿宋"/>
          <w:sz w:val="32"/>
          <w:szCs w:val="32"/>
        </w:rPr>
        <w:t>39.60</w:t>
      </w:r>
      <w:r>
        <w:rPr>
          <w:rFonts w:ascii="仿宋" w:eastAsia="仿宋" w:hAnsi="仿宋" w:cs="仿宋" w:hint="eastAsia"/>
          <w:sz w:val="32"/>
          <w:szCs w:val="32"/>
        </w:rPr>
        <w:t>万元；项目支出</w:t>
      </w:r>
      <w:r>
        <w:rPr>
          <w:rFonts w:ascii="仿宋" w:eastAsia="仿宋" w:hAnsi="仿宋" w:cs="仿宋"/>
          <w:sz w:val="32"/>
          <w:szCs w:val="32"/>
        </w:rPr>
        <w:t xml:space="preserve"> 129.72</w:t>
      </w:r>
      <w:r>
        <w:rPr>
          <w:rFonts w:ascii="仿宋" w:eastAsia="仿宋" w:hAnsi="仿宋" w:cs="仿宋" w:hint="eastAsia"/>
          <w:sz w:val="32"/>
          <w:szCs w:val="32"/>
        </w:rPr>
        <w:t>万元。</w:t>
      </w:r>
    </w:p>
    <w:p w:rsidR="00D12B85" w:rsidRDefault="0087363F">
      <w:pPr>
        <w:ind w:firstLine="640"/>
        <w:rPr>
          <w:rFonts w:ascii="仿宋" w:eastAsia="仿宋" w:hAnsi="仿宋" w:cs="Times New Roman"/>
          <w:color w:val="0000FF"/>
          <w:sz w:val="32"/>
          <w:szCs w:val="32"/>
        </w:rPr>
      </w:pPr>
      <w:r>
        <w:rPr>
          <w:rFonts w:ascii="仿宋" w:eastAsia="仿宋" w:hAnsi="仿宋" w:cs="仿宋"/>
          <w:sz w:val="32"/>
          <w:szCs w:val="32"/>
        </w:rPr>
        <w:lastRenderedPageBreak/>
        <w:t>3</w:t>
      </w:r>
      <w:r>
        <w:rPr>
          <w:rFonts w:ascii="仿宋" w:eastAsia="仿宋" w:hAnsi="仿宋" w:cs="仿宋" w:hint="eastAsia"/>
          <w:sz w:val="32"/>
          <w:szCs w:val="32"/>
        </w:rPr>
        <w:t>、比上年增加情况</w:t>
      </w:r>
    </w:p>
    <w:p w:rsidR="00D12B85" w:rsidRPr="008D3BD9" w:rsidRDefault="0087363F">
      <w:pPr>
        <w:ind w:firstLine="640"/>
        <w:rPr>
          <w:rFonts w:ascii="仿宋" w:eastAsia="仿宋" w:hAnsi="仿宋" w:cs="Times New Roman"/>
          <w:sz w:val="32"/>
          <w:szCs w:val="32"/>
        </w:rPr>
      </w:pPr>
      <w:r>
        <w:rPr>
          <w:rFonts w:ascii="仿宋" w:eastAsia="仿宋" w:hAnsi="仿宋" w:cs="仿宋"/>
          <w:color w:val="000000"/>
          <w:sz w:val="32"/>
          <w:szCs w:val="32"/>
        </w:rPr>
        <w:t>2019</w:t>
      </w:r>
      <w:r w:rsidRPr="008D3BD9">
        <w:rPr>
          <w:rFonts w:ascii="仿宋" w:eastAsia="仿宋" w:hAnsi="仿宋" w:cs="仿宋" w:hint="eastAsia"/>
          <w:sz w:val="32"/>
          <w:szCs w:val="32"/>
        </w:rPr>
        <w:t>年部门预算收支安排</w:t>
      </w:r>
      <w:r w:rsidRPr="008D3BD9">
        <w:rPr>
          <w:rFonts w:ascii="仿宋" w:eastAsia="仿宋" w:hAnsi="仿宋" w:cs="仿宋"/>
          <w:sz w:val="32"/>
          <w:szCs w:val="32"/>
        </w:rPr>
        <w:t>578.66</w:t>
      </w:r>
      <w:r w:rsidRPr="008D3BD9">
        <w:rPr>
          <w:rFonts w:ascii="仿宋" w:eastAsia="仿宋" w:hAnsi="仿宋" w:cs="仿宋" w:hint="eastAsia"/>
          <w:sz w:val="32"/>
          <w:szCs w:val="32"/>
        </w:rPr>
        <w:t>万元，</w:t>
      </w:r>
      <w:r w:rsidRPr="008D3BD9">
        <w:rPr>
          <w:rFonts w:ascii="仿宋" w:eastAsia="仿宋" w:hAnsi="仿宋" w:cs="仿宋" w:hint="eastAsia"/>
          <w:sz w:val="32"/>
          <w:szCs w:val="32"/>
        </w:rPr>
        <w:t>较</w:t>
      </w:r>
      <w:r w:rsidRPr="008D3BD9">
        <w:rPr>
          <w:rFonts w:ascii="仿宋" w:eastAsia="仿宋" w:hAnsi="仿宋" w:cs="仿宋"/>
          <w:sz w:val="32"/>
          <w:szCs w:val="32"/>
        </w:rPr>
        <w:t>2018</w:t>
      </w:r>
      <w:r w:rsidRPr="008D3BD9">
        <w:rPr>
          <w:rFonts w:ascii="仿宋" w:eastAsia="仿宋" w:hAnsi="仿宋" w:cs="仿宋" w:hint="eastAsia"/>
          <w:sz w:val="32"/>
          <w:szCs w:val="32"/>
        </w:rPr>
        <w:t>年增加</w:t>
      </w:r>
      <w:r w:rsidRPr="008D3BD9">
        <w:rPr>
          <w:rFonts w:ascii="仿宋" w:eastAsia="仿宋" w:hAnsi="仿宋" w:cs="仿宋"/>
          <w:sz w:val="32"/>
          <w:szCs w:val="32"/>
        </w:rPr>
        <w:t>360.16</w:t>
      </w:r>
      <w:r w:rsidRPr="008D3BD9">
        <w:rPr>
          <w:rFonts w:ascii="仿宋" w:eastAsia="仿宋" w:hAnsi="仿宋" w:cs="仿宋" w:hint="eastAsia"/>
          <w:sz w:val="32"/>
          <w:szCs w:val="32"/>
        </w:rPr>
        <w:t>万</w:t>
      </w:r>
      <w:r w:rsidRPr="008D3BD9">
        <w:rPr>
          <w:rFonts w:ascii="仿宋" w:eastAsia="仿宋" w:hAnsi="仿宋" w:cs="仿宋" w:hint="eastAsia"/>
          <w:sz w:val="32"/>
          <w:szCs w:val="32"/>
        </w:rPr>
        <w:t>元，其中：基本支出增加</w:t>
      </w:r>
      <w:r w:rsidRPr="008D3BD9">
        <w:rPr>
          <w:rFonts w:ascii="仿宋" w:eastAsia="仿宋" w:hAnsi="仿宋" w:cs="仿宋"/>
          <w:sz w:val="32"/>
          <w:szCs w:val="32"/>
        </w:rPr>
        <w:t>230.44</w:t>
      </w:r>
      <w:r w:rsidRPr="008D3BD9">
        <w:rPr>
          <w:rFonts w:ascii="仿宋" w:eastAsia="仿宋" w:hAnsi="仿宋" w:cs="仿宋" w:hint="eastAsia"/>
          <w:sz w:val="32"/>
          <w:szCs w:val="32"/>
        </w:rPr>
        <w:t>万元，主要是人员增加，相应增加人员经费和日常公用经费；项目支出增加</w:t>
      </w:r>
      <w:r w:rsidRPr="008D3BD9">
        <w:rPr>
          <w:rFonts w:ascii="仿宋" w:eastAsia="仿宋" w:hAnsi="仿宋" w:cs="仿宋"/>
          <w:sz w:val="32"/>
          <w:szCs w:val="32"/>
        </w:rPr>
        <w:t>129.72</w:t>
      </w:r>
      <w:r w:rsidRPr="008D3BD9">
        <w:rPr>
          <w:rFonts w:ascii="仿宋" w:eastAsia="仿宋" w:hAnsi="仿宋" w:cs="仿宋" w:hint="eastAsia"/>
          <w:sz w:val="32"/>
          <w:szCs w:val="32"/>
        </w:rPr>
        <w:t>万元，主要是增加药房经营、食品生产人员及工作人员的培训、改善办公条件，提升服务环境，监督考、对进驻审批事项的管理、协调各审批事项的论证评审费用等业务费用、公共资源交易电子平台运行维护费用、政府采购评审专家劳务报酬经费、公共资源交易中心的基本支出；其他支出无增减变化。</w:t>
      </w:r>
    </w:p>
    <w:p w:rsidR="00D12B85" w:rsidRDefault="0087363F">
      <w:pPr>
        <w:ind w:firstLine="640"/>
        <w:rPr>
          <w:rFonts w:ascii="黑体" w:eastAsia="黑体" w:hAnsi="黑体" w:cs="Times New Roman"/>
          <w:sz w:val="32"/>
          <w:szCs w:val="32"/>
        </w:rPr>
      </w:pPr>
      <w:r>
        <w:rPr>
          <w:rFonts w:ascii="黑体" w:eastAsia="黑体" w:hAnsi="黑体" w:cs="黑体" w:hint="eastAsia"/>
          <w:sz w:val="32"/>
          <w:szCs w:val="32"/>
        </w:rPr>
        <w:t>三、机关运行经费安排情况</w:t>
      </w:r>
    </w:p>
    <w:p w:rsidR="00D12B85" w:rsidRDefault="0087363F">
      <w:pPr>
        <w:autoSpaceDE w:val="0"/>
        <w:autoSpaceDN w:val="0"/>
        <w:adjustRightInd w:val="0"/>
        <w:ind w:left="198" w:firstLineChars="200" w:firstLine="640"/>
        <w:jc w:val="left"/>
        <w:rPr>
          <w:rFonts w:ascii="仿宋" w:eastAsia="仿宋" w:hAnsi="仿宋" w:cs="Times New Roman"/>
          <w:sz w:val="32"/>
          <w:szCs w:val="32"/>
        </w:rPr>
      </w:pPr>
      <w:r>
        <w:rPr>
          <w:rFonts w:ascii="仿宋" w:eastAsia="仿宋" w:hAnsi="仿宋" w:cs="仿宋"/>
          <w:sz w:val="32"/>
          <w:szCs w:val="32"/>
        </w:rPr>
        <w:t>2019</w:t>
      </w:r>
      <w:r>
        <w:rPr>
          <w:rFonts w:ascii="仿宋" w:eastAsia="仿宋" w:hAnsi="仿宋" w:cs="仿宋" w:hint="eastAsia"/>
          <w:sz w:val="32"/>
          <w:szCs w:val="32"/>
        </w:rPr>
        <w:t>年，我部门机关运行经费共计安排</w:t>
      </w:r>
      <w:r>
        <w:rPr>
          <w:rFonts w:ascii="仿宋" w:eastAsia="仿宋" w:hAnsi="仿宋" w:cs="仿宋"/>
          <w:color w:val="000000"/>
          <w:sz w:val="32"/>
          <w:szCs w:val="32"/>
        </w:rPr>
        <w:t>32.72</w:t>
      </w:r>
      <w:r>
        <w:rPr>
          <w:rFonts w:ascii="仿宋" w:eastAsia="仿宋" w:hAnsi="仿宋" w:cs="仿宋" w:hint="eastAsia"/>
          <w:sz w:val="32"/>
          <w:szCs w:val="32"/>
        </w:rPr>
        <w:t>万元，主要用于保证机关正常运转的办公及印刷费、邮电费、差旅费、会议费、福利费、专用材料及一般设备购置费、办公用房水电费、办公用房取暖费、日常维修费、办公楼物业管理费、公务</w:t>
      </w:r>
      <w:r>
        <w:rPr>
          <w:rFonts w:ascii="仿宋" w:eastAsia="仿宋" w:hAnsi="仿宋" w:cs="仿宋" w:hint="eastAsia"/>
          <w:sz w:val="32"/>
          <w:szCs w:val="32"/>
        </w:rPr>
        <w:t>车运行维护费等支出。</w:t>
      </w:r>
    </w:p>
    <w:p w:rsidR="00D12B85" w:rsidRDefault="0087363F">
      <w:pPr>
        <w:ind w:firstLine="640"/>
        <w:rPr>
          <w:rFonts w:ascii="黑体" w:eastAsia="黑体" w:hAnsi="黑体" w:cs="Times New Roman"/>
          <w:sz w:val="32"/>
          <w:szCs w:val="32"/>
        </w:rPr>
      </w:pPr>
      <w:r>
        <w:rPr>
          <w:rFonts w:ascii="黑体" w:eastAsia="黑体" w:hAnsi="黑体" w:cs="黑体" w:hint="eastAsia"/>
          <w:sz w:val="32"/>
          <w:szCs w:val="32"/>
        </w:rPr>
        <w:t>四、财政拨款“三公”经费预算情况及增减变化原因</w:t>
      </w:r>
    </w:p>
    <w:p w:rsidR="00D12B85" w:rsidRDefault="0087363F">
      <w:pPr>
        <w:ind w:firstLine="640"/>
        <w:rPr>
          <w:rFonts w:ascii="仿宋" w:eastAsia="仿宋" w:hAnsi="仿宋" w:cs="仿宋"/>
          <w:sz w:val="32"/>
          <w:szCs w:val="32"/>
        </w:rPr>
      </w:pPr>
      <w:r>
        <w:rPr>
          <w:rFonts w:ascii="仿宋" w:eastAsia="仿宋" w:hAnsi="仿宋" w:cs="仿宋" w:hint="eastAsia"/>
          <w:sz w:val="32"/>
          <w:szCs w:val="32"/>
        </w:rPr>
        <w:t>2019</w:t>
      </w:r>
      <w:r>
        <w:rPr>
          <w:rFonts w:ascii="仿宋" w:eastAsia="仿宋" w:hAnsi="仿宋" w:cs="仿宋" w:hint="eastAsia"/>
          <w:sz w:val="32"/>
          <w:szCs w:val="32"/>
        </w:rPr>
        <w:t>年，我部门财政拨款“三公”经费预算安排</w:t>
      </w:r>
      <w:r>
        <w:rPr>
          <w:rFonts w:ascii="仿宋" w:eastAsia="仿宋" w:hAnsi="仿宋" w:cs="仿宋" w:hint="eastAsia"/>
          <w:sz w:val="32"/>
          <w:szCs w:val="32"/>
        </w:rPr>
        <w:t>3</w:t>
      </w:r>
      <w:r>
        <w:rPr>
          <w:rFonts w:ascii="仿宋" w:eastAsia="仿宋" w:hAnsi="仿宋" w:cs="仿宋" w:hint="eastAsia"/>
          <w:sz w:val="32"/>
          <w:szCs w:val="32"/>
        </w:rPr>
        <w:t>元，其中：因公出国（境）费</w:t>
      </w:r>
      <w:r>
        <w:rPr>
          <w:rFonts w:ascii="仿宋" w:eastAsia="仿宋" w:hAnsi="仿宋" w:cs="仿宋" w:hint="eastAsia"/>
          <w:sz w:val="32"/>
          <w:szCs w:val="32"/>
        </w:rPr>
        <w:t>0</w:t>
      </w:r>
      <w:r>
        <w:rPr>
          <w:rFonts w:ascii="仿宋" w:eastAsia="仿宋" w:hAnsi="仿宋" w:cs="仿宋" w:hint="eastAsia"/>
          <w:sz w:val="32"/>
          <w:szCs w:val="32"/>
        </w:rPr>
        <w:t>万元；公务用车购置及运维费</w:t>
      </w:r>
      <w:r>
        <w:rPr>
          <w:rFonts w:ascii="仿宋" w:eastAsia="仿宋" w:hAnsi="仿宋" w:cs="仿宋" w:hint="eastAsia"/>
          <w:sz w:val="32"/>
          <w:szCs w:val="32"/>
        </w:rPr>
        <w:t>3</w:t>
      </w:r>
      <w:r>
        <w:rPr>
          <w:rFonts w:ascii="仿宋" w:eastAsia="仿宋" w:hAnsi="仿宋" w:cs="仿宋" w:hint="eastAsia"/>
          <w:sz w:val="32"/>
          <w:szCs w:val="32"/>
        </w:rPr>
        <w:t>万元（其中：公务用车购置费</w:t>
      </w:r>
      <w:r>
        <w:rPr>
          <w:rFonts w:ascii="仿宋" w:eastAsia="仿宋" w:hAnsi="仿宋" w:cs="仿宋" w:hint="eastAsia"/>
          <w:sz w:val="32"/>
          <w:szCs w:val="32"/>
        </w:rPr>
        <w:t>0</w:t>
      </w:r>
      <w:r>
        <w:rPr>
          <w:rFonts w:ascii="仿宋" w:eastAsia="仿宋" w:hAnsi="仿宋" w:cs="仿宋" w:hint="eastAsia"/>
          <w:sz w:val="32"/>
          <w:szCs w:val="32"/>
        </w:rPr>
        <w:t>万元，公务用车运行维护费</w:t>
      </w:r>
      <w:r>
        <w:rPr>
          <w:rFonts w:ascii="仿宋" w:eastAsia="仿宋" w:hAnsi="仿宋" w:cs="仿宋" w:hint="eastAsia"/>
          <w:sz w:val="32"/>
          <w:szCs w:val="32"/>
        </w:rPr>
        <w:t>3</w:t>
      </w:r>
      <w:r>
        <w:rPr>
          <w:rFonts w:ascii="仿宋" w:eastAsia="仿宋" w:hAnsi="仿宋" w:cs="仿宋" w:hint="eastAsia"/>
          <w:sz w:val="32"/>
          <w:szCs w:val="32"/>
        </w:rPr>
        <w:t>万元</w:t>
      </w:r>
      <w:r>
        <w:rPr>
          <w:rFonts w:ascii="仿宋" w:eastAsia="仿宋" w:hAnsi="仿宋" w:cs="仿宋" w:hint="eastAsia"/>
          <w:sz w:val="32"/>
          <w:szCs w:val="32"/>
        </w:rPr>
        <w:t>)</w:t>
      </w:r>
      <w:r>
        <w:rPr>
          <w:rFonts w:ascii="仿宋" w:eastAsia="仿宋" w:hAnsi="仿宋" w:cs="仿宋" w:hint="eastAsia"/>
          <w:sz w:val="32"/>
          <w:szCs w:val="32"/>
        </w:rPr>
        <w:t>；公务接待费</w:t>
      </w:r>
      <w:r>
        <w:rPr>
          <w:rFonts w:ascii="仿宋" w:eastAsia="仿宋" w:hAnsi="仿宋" w:cs="仿宋" w:hint="eastAsia"/>
          <w:sz w:val="32"/>
          <w:szCs w:val="32"/>
        </w:rPr>
        <w:t>0</w:t>
      </w:r>
      <w:r>
        <w:rPr>
          <w:rFonts w:ascii="仿宋" w:eastAsia="仿宋" w:hAnsi="仿宋" w:cs="仿宋" w:hint="eastAsia"/>
          <w:sz w:val="32"/>
          <w:szCs w:val="32"/>
        </w:rPr>
        <w:t>万元。</w:t>
      </w:r>
      <w:r>
        <w:rPr>
          <w:rFonts w:ascii="仿宋" w:eastAsia="仿宋" w:hAnsi="仿宋" w:cs="仿宋" w:hint="eastAsia"/>
          <w:sz w:val="32"/>
          <w:szCs w:val="32"/>
        </w:rPr>
        <w:t>均与上年持平</w:t>
      </w:r>
      <w:r w:rsidR="008D3BD9">
        <w:rPr>
          <w:rFonts w:ascii="仿宋" w:eastAsia="仿宋" w:hAnsi="仿宋" w:cs="仿宋" w:hint="eastAsia"/>
          <w:sz w:val="32"/>
          <w:szCs w:val="32"/>
        </w:rPr>
        <w:t>无增减变化。</w:t>
      </w:r>
    </w:p>
    <w:p w:rsidR="00D12B85" w:rsidRDefault="0087363F">
      <w:pPr>
        <w:ind w:firstLine="640"/>
        <w:rPr>
          <w:rFonts w:ascii="黑体" w:eastAsia="黑体" w:hAnsi="黑体" w:cs="Times New Roman"/>
          <w:sz w:val="32"/>
          <w:szCs w:val="32"/>
        </w:rPr>
      </w:pPr>
      <w:r>
        <w:rPr>
          <w:rFonts w:ascii="黑体" w:eastAsia="黑体" w:hAnsi="黑体" w:cs="黑体" w:hint="eastAsia"/>
          <w:sz w:val="32"/>
          <w:szCs w:val="32"/>
        </w:rPr>
        <w:t>五、预算绩效信息</w:t>
      </w:r>
    </w:p>
    <w:p w:rsidR="00D12B85" w:rsidRDefault="0087363F" w:rsidP="008D3BD9">
      <w:pPr>
        <w:ind w:firstLineChars="200" w:firstLine="640"/>
        <w:jc w:val="left"/>
        <w:rPr>
          <w:rFonts w:ascii="Times New Roman" w:eastAsia="仿宋" w:hAnsi="Times New Roman" w:cs="Times New Roman"/>
          <w:sz w:val="32"/>
          <w:szCs w:val="32"/>
        </w:rPr>
      </w:pPr>
      <w:r>
        <w:rPr>
          <w:rFonts w:ascii="Times New Roman" w:eastAsia="方正仿宋_GBK" w:hAnsi="Times New Roman" w:cs="方正仿宋_GBK" w:hint="eastAsia"/>
          <w:b/>
          <w:bCs/>
          <w:sz w:val="32"/>
          <w:szCs w:val="32"/>
        </w:rPr>
        <w:lastRenderedPageBreak/>
        <w:t>第一部分</w:t>
      </w:r>
      <w:r>
        <w:rPr>
          <w:rFonts w:ascii="Times New Roman" w:eastAsia="方正仿宋_GBK" w:hAnsi="Times New Roman" w:cs="Times New Roman"/>
          <w:b/>
          <w:bCs/>
          <w:sz w:val="32"/>
          <w:szCs w:val="32"/>
        </w:rPr>
        <w:t xml:space="preserve">  </w:t>
      </w:r>
      <w:r>
        <w:rPr>
          <w:rFonts w:ascii="Times New Roman" w:eastAsia="方正仿宋_GBK" w:hAnsi="Times New Roman" w:cs="方正仿宋_GBK" w:hint="eastAsia"/>
          <w:b/>
          <w:bCs/>
          <w:sz w:val="32"/>
          <w:szCs w:val="32"/>
        </w:rPr>
        <w:t>部门整体绩效目标</w:t>
      </w:r>
    </w:p>
    <w:p w:rsidR="00D12B85" w:rsidRDefault="0087363F" w:rsidP="008D3BD9">
      <w:pPr>
        <w:autoSpaceDE w:val="0"/>
        <w:autoSpaceDN w:val="0"/>
        <w:adjustRightInd w:val="0"/>
        <w:ind w:left="198" w:firstLineChars="200" w:firstLine="640"/>
        <w:jc w:val="left"/>
        <w:rPr>
          <w:rFonts w:ascii="Times New Roman" w:eastAsia="方正仿宋_GBK" w:hAnsi="Times New Roman" w:cs="Times New Roman"/>
          <w:b/>
          <w:bCs/>
          <w:sz w:val="32"/>
          <w:szCs w:val="32"/>
        </w:rPr>
      </w:pPr>
      <w:bookmarkStart w:id="0" w:name="_Toc471398463"/>
      <w:r>
        <w:rPr>
          <w:rFonts w:ascii="Times New Roman" w:eastAsia="方正仿宋_GBK" w:hAnsi="Times New Roman" w:cs="Times New Roman"/>
          <w:b/>
          <w:bCs/>
          <w:sz w:val="32"/>
          <w:szCs w:val="32"/>
        </w:rPr>
        <w:t>(</w:t>
      </w:r>
      <w:r>
        <w:rPr>
          <w:rFonts w:ascii="Times New Roman" w:eastAsia="方正仿宋_GBK" w:hAnsi="Times New Roman" w:cs="方正仿宋_GBK" w:hint="eastAsia"/>
          <w:b/>
          <w:bCs/>
          <w:sz w:val="32"/>
          <w:szCs w:val="32"/>
        </w:rPr>
        <w:t>一</w:t>
      </w:r>
      <w:r>
        <w:rPr>
          <w:rFonts w:ascii="Times New Roman" w:eastAsia="方正仿宋_GBK" w:hAnsi="Times New Roman" w:cs="Times New Roman"/>
          <w:b/>
          <w:bCs/>
          <w:sz w:val="32"/>
          <w:szCs w:val="32"/>
        </w:rPr>
        <w:t>)</w:t>
      </w:r>
      <w:r>
        <w:rPr>
          <w:rFonts w:ascii="Times New Roman" w:eastAsia="方正仿宋_GBK" w:hAnsi="Times New Roman" w:cs="方正仿宋_GBK" w:hint="eastAsia"/>
          <w:b/>
          <w:bCs/>
          <w:sz w:val="32"/>
          <w:szCs w:val="32"/>
        </w:rPr>
        <w:t>总体绩效目标</w:t>
      </w:r>
      <w:r>
        <w:rPr>
          <w:rFonts w:ascii="Times New Roman" w:eastAsia="方正仿宋_GBK" w:hAnsi="Times New Roman" w:cs="方正仿宋_GBK"/>
          <w:b/>
          <w:bCs/>
          <w:sz w:val="32"/>
          <w:szCs w:val="32"/>
        </w:rPr>
        <w:fldChar w:fldCharType="begin"/>
      </w:r>
      <w:r>
        <w:rPr>
          <w:rFonts w:ascii="Times New Roman" w:eastAsia="方正仿宋_GBK" w:hAnsi="Times New Roman" w:cs="Times New Roman"/>
          <w:b/>
          <w:bCs/>
          <w:sz w:val="32"/>
          <w:szCs w:val="32"/>
        </w:rPr>
        <w:instrText>tc "</w:instrText>
      </w:r>
      <w:bookmarkStart w:id="1" w:name="_Toc34958350"/>
      <w:r>
        <w:rPr>
          <w:rFonts w:ascii="Times New Roman" w:eastAsia="方正仿宋_GBK" w:hAnsi="Times New Roman" w:cs="方正仿宋_GBK" w:hint="eastAsia"/>
          <w:b/>
          <w:bCs/>
          <w:sz w:val="32"/>
          <w:szCs w:val="32"/>
        </w:rPr>
        <w:instrText>总体绩效目标</w:instrText>
      </w:r>
      <w:bookmarkEnd w:id="1"/>
      <w:r>
        <w:rPr>
          <w:rFonts w:ascii="Times New Roman" w:eastAsia="方正仿宋_GBK" w:hAnsi="Times New Roman" w:cs="Times New Roman"/>
          <w:b/>
          <w:bCs/>
          <w:sz w:val="32"/>
          <w:szCs w:val="32"/>
        </w:rPr>
        <w:instrText>" \f A \l 0001</w:instrText>
      </w:r>
      <w:r>
        <w:rPr>
          <w:rFonts w:ascii="Times New Roman" w:eastAsia="方正仿宋_GBK" w:hAnsi="Times New Roman" w:cs="方正仿宋_GBK"/>
          <w:b/>
          <w:bCs/>
          <w:sz w:val="32"/>
          <w:szCs w:val="32"/>
        </w:rPr>
        <w:fldChar w:fldCharType="end"/>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按照“一门受理、转告相关</w:t>
      </w:r>
      <w:r>
        <w:rPr>
          <w:rFonts w:ascii="仿宋" w:eastAsia="仿宋" w:hAnsi="仿宋" w:cs="仿宋"/>
          <w:sz w:val="32"/>
          <w:szCs w:val="32"/>
        </w:rPr>
        <w:t xml:space="preserve"> </w:t>
      </w:r>
      <w:r>
        <w:rPr>
          <w:rFonts w:ascii="仿宋" w:eastAsia="仿宋" w:hAnsi="仿宋" w:cs="仿宋" w:hint="eastAsia"/>
          <w:sz w:val="32"/>
          <w:szCs w:val="32"/>
        </w:rPr>
        <w:t>、互联审批、统一收费、限时办结、集中管理、分业行政、效能监督”的服务模式，努力打造成为县委、县政府便民利民的平台，依法行政的抓手，密切党群干群关系的载体，努力打造“高效无极”服务窗口。</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对行政审批、政务服务行为进行监督检查，对窗口工作人员进行日常管理、教育培训和检查考核；规范行政审批行为，创新和完善相关工作体制；对行政审批、政务服务事项流程进行规范和优化，推进审批服务便民化、标准化建设；公共资源交易监督管理，建设公共资源交易电子平台，推进公共资源交易领域信用体系建设；推动政务服务事项网上办理，推进在线政务服</w:t>
      </w:r>
      <w:r>
        <w:rPr>
          <w:rFonts w:ascii="仿宋" w:eastAsia="仿宋" w:hAnsi="仿宋" w:cs="仿宋" w:hint="eastAsia"/>
          <w:sz w:val="32"/>
          <w:szCs w:val="32"/>
        </w:rPr>
        <w:t>务平台规范化、标准化、集约化建设，实现政务数据、公共数据的互联互通，为提升政府治理水平、促进保障和改善民生提供数据资源保障服务。</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致力于深化行政审批制度改革，不断推出创新举措，努力提升政务服务质量，着力营造良好的营商环境，使人民群众满意度和获得感不断提升。</w:t>
      </w:r>
    </w:p>
    <w:p w:rsidR="00D12B85" w:rsidRDefault="00D12B85">
      <w:pPr>
        <w:spacing w:line="500" w:lineRule="exact"/>
        <w:ind w:firstLineChars="200" w:firstLine="640"/>
        <w:jc w:val="left"/>
        <w:rPr>
          <w:rFonts w:ascii="仿宋" w:eastAsia="仿宋" w:hAnsi="仿宋" w:cs="Times New Roman"/>
          <w:sz w:val="32"/>
          <w:szCs w:val="32"/>
        </w:rPr>
      </w:pPr>
    </w:p>
    <w:p w:rsidR="00D12B85" w:rsidRDefault="0087363F" w:rsidP="008D3BD9">
      <w:pPr>
        <w:autoSpaceDE w:val="0"/>
        <w:autoSpaceDN w:val="0"/>
        <w:adjustRightInd w:val="0"/>
        <w:ind w:left="198" w:firstLineChars="200" w:firstLine="640"/>
        <w:jc w:val="left"/>
        <w:rPr>
          <w:rFonts w:ascii="Times New Roman" w:eastAsia="方正仿宋_GBK" w:hAnsi="Times New Roman" w:cs="Times New Roman"/>
          <w:b/>
          <w:bCs/>
          <w:sz w:val="32"/>
          <w:szCs w:val="32"/>
        </w:rPr>
      </w:pPr>
      <w:r>
        <w:rPr>
          <w:rFonts w:ascii="Times New Roman" w:eastAsia="方正仿宋_GBK" w:hAnsi="Times New Roman" w:cs="Times New Roman"/>
          <w:b/>
          <w:bCs/>
          <w:sz w:val="32"/>
          <w:szCs w:val="32"/>
        </w:rPr>
        <w:t>(</w:t>
      </w:r>
      <w:r>
        <w:rPr>
          <w:rFonts w:ascii="Times New Roman" w:eastAsia="方正仿宋_GBK" w:hAnsi="Times New Roman" w:cs="方正仿宋_GBK" w:hint="eastAsia"/>
          <w:b/>
          <w:bCs/>
          <w:sz w:val="32"/>
          <w:szCs w:val="32"/>
        </w:rPr>
        <w:t>二</w:t>
      </w:r>
      <w:r>
        <w:rPr>
          <w:rFonts w:ascii="Times New Roman" w:eastAsia="方正仿宋_GBK" w:hAnsi="Times New Roman" w:cs="Times New Roman"/>
          <w:b/>
          <w:bCs/>
          <w:sz w:val="32"/>
          <w:szCs w:val="32"/>
        </w:rPr>
        <w:t>)</w:t>
      </w:r>
      <w:r>
        <w:rPr>
          <w:rFonts w:ascii="Times New Roman" w:eastAsia="方正仿宋_GBK" w:hAnsi="Times New Roman" w:cs="方正仿宋_GBK" w:hint="eastAsia"/>
          <w:b/>
          <w:bCs/>
          <w:sz w:val="32"/>
          <w:szCs w:val="32"/>
        </w:rPr>
        <w:t>分项绩效目标</w:t>
      </w:r>
      <w:r>
        <w:rPr>
          <w:rFonts w:ascii="Times New Roman" w:eastAsia="方正仿宋_GBK" w:hAnsi="Times New Roman" w:cs="方正仿宋_GBK"/>
          <w:b/>
          <w:bCs/>
          <w:sz w:val="32"/>
          <w:szCs w:val="32"/>
        </w:rPr>
        <w:fldChar w:fldCharType="begin"/>
      </w:r>
      <w:r>
        <w:rPr>
          <w:rFonts w:ascii="Times New Roman" w:eastAsia="方正仿宋_GBK" w:hAnsi="Times New Roman" w:cs="Times New Roman"/>
          <w:b/>
          <w:bCs/>
          <w:sz w:val="32"/>
          <w:szCs w:val="32"/>
        </w:rPr>
        <w:instrText>tc "</w:instrText>
      </w:r>
      <w:bookmarkStart w:id="2" w:name="_Toc34958351"/>
      <w:r>
        <w:rPr>
          <w:rFonts w:ascii="Times New Roman" w:eastAsia="方正仿宋_GBK" w:hAnsi="Times New Roman" w:cs="方正仿宋_GBK" w:hint="eastAsia"/>
          <w:b/>
          <w:bCs/>
          <w:sz w:val="32"/>
          <w:szCs w:val="32"/>
        </w:rPr>
        <w:instrText>分项绩效目标</w:instrText>
      </w:r>
      <w:bookmarkEnd w:id="2"/>
      <w:r>
        <w:rPr>
          <w:rFonts w:ascii="Times New Roman" w:eastAsia="方正仿宋_GBK" w:hAnsi="Times New Roman" w:cs="Times New Roman"/>
          <w:b/>
          <w:bCs/>
          <w:sz w:val="32"/>
          <w:szCs w:val="32"/>
        </w:rPr>
        <w:instrText>" \f A \l 0001</w:instrText>
      </w:r>
      <w:r>
        <w:rPr>
          <w:rFonts w:ascii="Times New Roman" w:eastAsia="方正仿宋_GBK" w:hAnsi="Times New Roman" w:cs="方正仿宋_GBK"/>
          <w:b/>
          <w:bCs/>
          <w:sz w:val="32"/>
          <w:szCs w:val="32"/>
        </w:rPr>
        <w:fldChar w:fldCharType="end"/>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为群众提供一个功能齐全、行为规范、工作透明、廉洁高效和政务服务平台，不断提高办事质量，办事效率；为群众提供更加快捷高效的一站式服务，让办事群众只进一扇门，办齐所有事。</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t>1</w:t>
      </w:r>
      <w:r>
        <w:rPr>
          <w:rFonts w:ascii="仿宋" w:eastAsia="仿宋" w:hAnsi="仿宋" w:cs="仿宋" w:hint="eastAsia"/>
          <w:sz w:val="32"/>
          <w:szCs w:val="32"/>
        </w:rPr>
        <w:t>、审批、服务事项受理</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lastRenderedPageBreak/>
        <w:t>绩效目标：受理企业和群众申请办理的各类批准、核准、备案等服务事项。</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绩效指标：规范完善行政审批工作，创造宽松的经济发展环境，打造高效、公正的服务平台，提高行政效能。</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t>2</w:t>
      </w:r>
      <w:r>
        <w:rPr>
          <w:rFonts w:ascii="仿宋" w:eastAsia="仿宋" w:hAnsi="仿宋" w:cs="仿宋" w:hint="eastAsia"/>
          <w:sz w:val="32"/>
          <w:szCs w:val="32"/>
        </w:rPr>
        <w:t>、信息化工作</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绩效目标：推行网上审批自动化和办公自动化。</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绩效指标：中心网络的维护管理和技术指导，操作系统、安全系统的日常检测、维护及数据更新和网络建设。</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t>3</w:t>
      </w:r>
      <w:r>
        <w:rPr>
          <w:rFonts w:ascii="仿宋" w:eastAsia="仿宋" w:hAnsi="仿宋" w:cs="仿宋" w:hint="eastAsia"/>
          <w:sz w:val="32"/>
          <w:szCs w:val="32"/>
        </w:rPr>
        <w:t>、驻派人员的管理与考核</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绩效目标：对县政府有关单位驻派人员的考核与管理。</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绩效指标：对县政府有关单位驻派人员的考核与管理，管理有制度、考核有依据。</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t>4</w:t>
      </w:r>
      <w:r>
        <w:rPr>
          <w:rFonts w:ascii="仿宋" w:eastAsia="仿宋" w:hAnsi="仿宋" w:cs="仿宋" w:hint="eastAsia"/>
          <w:sz w:val="32"/>
          <w:szCs w:val="32"/>
        </w:rPr>
        <w:t>、中心综合事务和我县政府交办的其他事宜</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绩效目标：中心设备与人员正常运转的水电保障和办理县政府交办的其他事宜。</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绩效指标：中心的办公环境、办公设备以及生活设施进行维护和修缮，保障中心功能以及基本设施正常运转。</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t>5</w:t>
      </w:r>
      <w:r>
        <w:rPr>
          <w:rFonts w:ascii="仿宋" w:eastAsia="仿宋" w:hAnsi="仿宋" w:cs="仿宋" w:hint="eastAsia"/>
          <w:sz w:val="32"/>
          <w:szCs w:val="32"/>
        </w:rPr>
        <w:t>、公共资源交易监督管理工作</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绩效目标：拟定全县公共资源交易管理制度和规则并组织实施，建设公共资源交易电子平台，推进公共资源交易领域信用体系建设。</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绩效指标：监督公共资源交易项目进场交易，并对场内交易活动进行监督，协调开展公共资源交易活动的联动执法。</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lastRenderedPageBreak/>
        <w:t>6</w:t>
      </w:r>
      <w:r>
        <w:rPr>
          <w:rFonts w:ascii="仿宋" w:eastAsia="仿宋" w:hAnsi="仿宋" w:cs="仿宋" w:hint="eastAsia"/>
          <w:sz w:val="32"/>
          <w:szCs w:val="32"/>
        </w:rPr>
        <w:t>、政务服务管理工作</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绩效目标：贯彻落实党中央、省</w:t>
      </w:r>
      <w:r>
        <w:rPr>
          <w:rFonts w:ascii="仿宋" w:eastAsia="仿宋" w:hAnsi="仿宋" w:cs="仿宋" w:hint="eastAsia"/>
          <w:sz w:val="32"/>
          <w:szCs w:val="32"/>
        </w:rPr>
        <w:t>、县关于政务服务管理工作的方针政策和决策部署，坚持和加强党对政务服务管理工作的集中统一领导。</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hint="eastAsia"/>
          <w:sz w:val="32"/>
          <w:szCs w:val="32"/>
        </w:rPr>
        <w:t>绩效指标：全县政务服务体系建设，推动政务服务事项网上办理，协调推进政务服务同一事项、统一编码、统一网上技术规范；推进审批服务便民化；提供规范、高效、优质的政务服务。</w:t>
      </w:r>
    </w:p>
    <w:p w:rsidR="00D12B85" w:rsidRDefault="0087363F" w:rsidP="008D3BD9">
      <w:pPr>
        <w:autoSpaceDE w:val="0"/>
        <w:autoSpaceDN w:val="0"/>
        <w:adjustRightInd w:val="0"/>
        <w:ind w:left="198" w:firstLineChars="200" w:firstLine="640"/>
        <w:jc w:val="left"/>
        <w:rPr>
          <w:rFonts w:ascii="Times New Roman" w:eastAsia="方正仿宋_GBK" w:hAnsi="Times New Roman" w:cs="Times New Roman"/>
          <w:b/>
          <w:bCs/>
          <w:sz w:val="32"/>
          <w:szCs w:val="32"/>
        </w:rPr>
      </w:pPr>
      <w:r>
        <w:rPr>
          <w:rFonts w:ascii="Times New Roman" w:eastAsia="方正仿宋_GBK" w:hAnsi="Times New Roman" w:cs="方正仿宋_GBK" w:hint="eastAsia"/>
          <w:b/>
          <w:bCs/>
          <w:sz w:val="32"/>
          <w:szCs w:val="32"/>
        </w:rPr>
        <w:t>（三）工作保障措施</w:t>
      </w:r>
      <w:r>
        <w:rPr>
          <w:rFonts w:ascii="Times New Roman" w:eastAsia="方正仿宋_GBK" w:hAnsi="Times New Roman" w:cs="方正仿宋_GBK"/>
          <w:b/>
          <w:bCs/>
          <w:sz w:val="32"/>
          <w:szCs w:val="32"/>
        </w:rPr>
        <w:fldChar w:fldCharType="begin"/>
      </w:r>
      <w:r>
        <w:rPr>
          <w:rFonts w:ascii="Times New Roman" w:eastAsia="方正仿宋_GBK" w:hAnsi="Times New Roman" w:cs="Times New Roman"/>
          <w:b/>
          <w:bCs/>
          <w:sz w:val="32"/>
          <w:szCs w:val="32"/>
        </w:rPr>
        <w:instrText>tc "</w:instrText>
      </w:r>
      <w:bookmarkStart w:id="3" w:name="_Toc34958352"/>
      <w:r>
        <w:rPr>
          <w:rFonts w:ascii="Times New Roman" w:eastAsia="方正仿宋_GBK" w:hAnsi="Times New Roman" w:cs="方正仿宋_GBK" w:hint="eastAsia"/>
          <w:b/>
          <w:bCs/>
          <w:sz w:val="32"/>
          <w:szCs w:val="32"/>
        </w:rPr>
        <w:instrText>工作保障措施</w:instrText>
      </w:r>
      <w:bookmarkEnd w:id="3"/>
      <w:r>
        <w:rPr>
          <w:rFonts w:ascii="Times New Roman" w:eastAsia="方正仿宋_GBK" w:hAnsi="Times New Roman" w:cs="Times New Roman"/>
          <w:b/>
          <w:bCs/>
          <w:sz w:val="32"/>
          <w:szCs w:val="32"/>
        </w:rPr>
        <w:instrText>" \f A \l 0001</w:instrText>
      </w:r>
      <w:r>
        <w:rPr>
          <w:rFonts w:ascii="Times New Roman" w:eastAsia="方正仿宋_GBK" w:hAnsi="Times New Roman" w:cs="方正仿宋_GBK"/>
          <w:b/>
          <w:bCs/>
          <w:sz w:val="32"/>
          <w:szCs w:val="32"/>
        </w:rPr>
        <w:fldChar w:fldCharType="end"/>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t>1</w:t>
      </w:r>
      <w:r>
        <w:rPr>
          <w:rFonts w:ascii="仿宋" w:eastAsia="仿宋" w:hAnsi="仿宋" w:cs="仿宋" w:hint="eastAsia"/>
          <w:sz w:val="32"/>
          <w:szCs w:val="32"/>
        </w:rPr>
        <w:t>、完善制度建设：加强机关制度建设，切实做部门预算资金的使用、管理、监督等工作，确保不发生违法、违规、违纪等现象。</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t>2</w:t>
      </w:r>
      <w:r>
        <w:rPr>
          <w:rFonts w:ascii="仿宋" w:eastAsia="仿宋" w:hAnsi="仿宋" w:cs="仿宋" w:hint="eastAsia"/>
          <w:sz w:val="32"/>
          <w:szCs w:val="32"/>
        </w:rPr>
        <w:t>、加强支出管理：坚持从发展大局出发，进一步优化支出结构，在预算执行中坚持统筹兼顾，严控一般性支出，加大项目支出清理整合力度，提高预算执行效率。</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t>3</w:t>
      </w:r>
      <w:r>
        <w:rPr>
          <w:rFonts w:ascii="仿宋" w:eastAsia="仿宋" w:hAnsi="仿宋" w:cs="仿宋" w:hint="eastAsia"/>
          <w:sz w:val="32"/>
          <w:szCs w:val="32"/>
        </w:rPr>
        <w:t>、加强绩效运行监控：建立健全支出绩效管理机制，按照要求开展绩效运行监控，发现问题及时采取措施，确保绩效目标如期保质实现。</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t>4</w:t>
      </w:r>
      <w:r>
        <w:rPr>
          <w:rFonts w:ascii="仿宋" w:eastAsia="仿宋" w:hAnsi="仿宋" w:cs="仿宋" w:hint="eastAsia"/>
          <w:sz w:val="32"/>
          <w:szCs w:val="32"/>
        </w:rPr>
        <w:t>、做好绩效自评：按要求开展上年度部门预算绩效自评和重大评价工作，对评价中发现的问题及时整改，调整优化支出结构，提高财政资金使用效益。</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t>5</w:t>
      </w:r>
      <w:r>
        <w:rPr>
          <w:rFonts w:ascii="仿宋" w:eastAsia="仿宋" w:hAnsi="仿宋" w:cs="仿宋" w:hint="eastAsia"/>
          <w:sz w:val="32"/>
          <w:szCs w:val="32"/>
        </w:rPr>
        <w:t>、规范财务资产管理：完善机关财务管理制度，严格审批程序，加强固定资产登记、使用和报废处置管理，做到支出合理</w:t>
      </w:r>
      <w:r>
        <w:rPr>
          <w:rFonts w:ascii="仿宋" w:eastAsia="仿宋" w:hAnsi="仿宋" w:cs="仿宋" w:hint="eastAsia"/>
          <w:sz w:val="32"/>
          <w:szCs w:val="32"/>
        </w:rPr>
        <w:t>，物尽其用。</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t>6</w:t>
      </w:r>
      <w:r>
        <w:rPr>
          <w:rFonts w:ascii="仿宋" w:eastAsia="仿宋" w:hAnsi="仿宋" w:cs="仿宋" w:hint="eastAsia"/>
          <w:sz w:val="32"/>
          <w:szCs w:val="32"/>
        </w:rPr>
        <w:t>、加强内部监督：强化监督管理，提高资金使用效益。加强机关内部监督制度建设，对绩效运行情况、重大支出决策、资产处置及其他重要经济业务事项的决策和执行进行监督，对会计资料定期进行内部审计，并配合做好审计、财政监督等外部监督工作，确保财政资金安全有效。</w:t>
      </w:r>
    </w:p>
    <w:p w:rsidR="00D12B85" w:rsidRDefault="0087363F">
      <w:pPr>
        <w:spacing w:line="500" w:lineRule="exact"/>
        <w:ind w:firstLineChars="200" w:firstLine="640"/>
        <w:jc w:val="left"/>
        <w:rPr>
          <w:rFonts w:ascii="仿宋" w:eastAsia="仿宋" w:hAnsi="仿宋" w:cs="Times New Roman"/>
          <w:sz w:val="32"/>
          <w:szCs w:val="32"/>
        </w:rPr>
      </w:pPr>
      <w:r>
        <w:rPr>
          <w:rFonts w:ascii="仿宋" w:eastAsia="仿宋" w:hAnsi="仿宋" w:cs="仿宋"/>
          <w:sz w:val="32"/>
          <w:szCs w:val="32"/>
        </w:rPr>
        <w:lastRenderedPageBreak/>
        <w:t>7</w:t>
      </w:r>
      <w:r>
        <w:rPr>
          <w:rFonts w:ascii="仿宋" w:eastAsia="仿宋" w:hAnsi="仿宋" w:cs="仿宋" w:hint="eastAsia"/>
          <w:sz w:val="32"/>
          <w:szCs w:val="32"/>
        </w:rPr>
        <w:t>、加强宣传培训调研：积极开展财经法律法规的宣传教育，提高本单位员工的业务素质，加大宣传力度，强化预算绩效管理意识，促进预算绩效管理水平进一步提升</w:t>
      </w:r>
    </w:p>
    <w:p w:rsidR="00D12B85" w:rsidRDefault="0087363F" w:rsidP="008D3BD9">
      <w:pPr>
        <w:spacing w:line="500" w:lineRule="exact"/>
        <w:ind w:firstLineChars="200" w:firstLine="640"/>
        <w:jc w:val="left"/>
        <w:rPr>
          <w:rFonts w:ascii="仿宋" w:eastAsia="仿宋" w:hAnsi="仿宋" w:cs="Times New Roman"/>
          <w:sz w:val="32"/>
          <w:szCs w:val="32"/>
        </w:rPr>
      </w:pPr>
      <w:r>
        <w:rPr>
          <w:rFonts w:ascii="Times New Roman" w:eastAsia="方正仿宋_GBK" w:hAnsi="Times New Roman" w:cs="方正仿宋_GBK" w:hint="eastAsia"/>
          <w:b/>
          <w:bCs/>
          <w:sz w:val="32"/>
          <w:szCs w:val="32"/>
        </w:rPr>
        <w:t>第二部分</w:t>
      </w:r>
      <w:r>
        <w:rPr>
          <w:rFonts w:ascii="Times New Roman" w:eastAsia="方正仿宋_GBK" w:hAnsi="Times New Roman" w:cs="Times New Roman"/>
          <w:b/>
          <w:bCs/>
          <w:sz w:val="32"/>
          <w:szCs w:val="32"/>
        </w:rPr>
        <w:t xml:space="preserve">  </w:t>
      </w:r>
      <w:bookmarkStart w:id="4" w:name="_Toc2356048"/>
      <w:r>
        <w:rPr>
          <w:rFonts w:ascii="仿宋_GB2312" w:eastAsia="仿宋_GB2312" w:hAnsi="仿宋_GB2312" w:cs="仿宋_GB2312" w:hint="eastAsia"/>
          <w:sz w:val="32"/>
          <w:szCs w:val="32"/>
        </w:rPr>
        <w:t>部门职责</w:t>
      </w:r>
      <w:r>
        <w:rPr>
          <w:rFonts w:ascii="仿宋_GB2312" w:eastAsia="仿宋_GB2312" w:hAnsi="仿宋_GB2312" w:cs="仿宋_GB2312"/>
          <w:sz w:val="32"/>
          <w:szCs w:val="32"/>
        </w:rPr>
        <w:t>-</w:t>
      </w:r>
      <w:r>
        <w:rPr>
          <w:rFonts w:ascii="仿宋_GB2312" w:eastAsia="仿宋_GB2312" w:hAnsi="仿宋_GB2312" w:cs="仿宋_GB2312" w:hint="eastAsia"/>
          <w:sz w:val="32"/>
          <w:szCs w:val="32"/>
        </w:rPr>
        <w:t>工作活动绩效目标</w:t>
      </w:r>
    </w:p>
    <w:p w:rsidR="00D12B85" w:rsidRDefault="0087363F">
      <w:pPr>
        <w:autoSpaceDE w:val="0"/>
        <w:autoSpaceDN w:val="0"/>
        <w:adjustRightInd w:val="0"/>
        <w:ind w:leftChars="94" w:left="197" w:firstLineChars="1300" w:firstLine="4160"/>
        <w:jc w:val="left"/>
        <w:rPr>
          <w:rFonts w:ascii="方正小标宋_GBK" w:eastAsia="方正小标宋_GBK" w:cs="Times New Roman"/>
          <w:color w:val="FFFFFF"/>
          <w:sz w:val="32"/>
          <w:szCs w:val="32"/>
        </w:rPr>
      </w:pPr>
      <w:r>
        <w:rPr>
          <w:rFonts w:ascii="方正小标宋_GBK" w:eastAsia="方正小标宋_GBK" w:cs="方正小标宋_GBK" w:hint="eastAsia"/>
          <w:sz w:val="32"/>
          <w:szCs w:val="32"/>
        </w:rPr>
        <w:t>部门职责</w:t>
      </w:r>
      <w:r>
        <w:rPr>
          <w:rFonts w:ascii="方正小标宋_GBK" w:eastAsia="方正小标宋_GBK" w:cs="方正小标宋_GBK"/>
          <w:sz w:val="32"/>
          <w:szCs w:val="32"/>
        </w:rPr>
        <w:t>-</w:t>
      </w:r>
      <w:r>
        <w:rPr>
          <w:rFonts w:ascii="方正小标宋_GBK" w:eastAsia="方正小标宋_GBK" w:cs="方正小标宋_GBK" w:hint="eastAsia"/>
          <w:sz w:val="32"/>
          <w:szCs w:val="32"/>
        </w:rPr>
        <w:t>工作活动绩效目标</w:t>
      </w:r>
      <w:r>
        <w:rPr>
          <w:rStyle w:val="a6"/>
          <w:rFonts w:ascii="方正小标宋_GBK" w:eastAsia="方正小标宋_GBK" w:hAnsi="Symbol" w:cs="Times New Roman" w:hint="eastAsia"/>
          <w:color w:val="FFFFFF"/>
          <w:sz w:val="32"/>
          <w:szCs w:val="32"/>
        </w:rPr>
        <w:footnoteReference w:customMarkFollows="1" w:id="1"/>
        <w:sym w:font="Symbol" w:char="F020"/>
      </w:r>
      <w:bookmarkEnd w:id="4"/>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D12B85">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D12B85" w:rsidRDefault="0087363F">
            <w:pPr>
              <w:spacing w:line="300" w:lineRule="exact"/>
              <w:jc w:val="left"/>
              <w:rPr>
                <w:rFonts w:ascii="方正小标宋_GBK" w:eastAsia="方正小标宋_GBK" w:cs="Times New Roman"/>
                <w:sz w:val="24"/>
                <w:szCs w:val="24"/>
              </w:rPr>
            </w:pPr>
            <w:r>
              <w:rPr>
                <w:rFonts w:ascii="方正小标宋_GBK" w:eastAsia="方正小标宋_GBK" w:cs="方正小标宋_GBK"/>
                <w:sz w:val="24"/>
                <w:szCs w:val="24"/>
              </w:rPr>
              <w:t>431</w:t>
            </w:r>
            <w:r>
              <w:rPr>
                <w:rFonts w:ascii="方正小标宋_GBK" w:eastAsia="方正小标宋_GBK" w:cs="方正小标宋_GBK" w:hint="eastAsia"/>
                <w:sz w:val="24"/>
                <w:szCs w:val="24"/>
              </w:rPr>
              <w:t>行政审批局</w:t>
            </w:r>
          </w:p>
        </w:tc>
        <w:tc>
          <w:tcPr>
            <w:tcW w:w="2948" w:type="dxa"/>
            <w:gridSpan w:val="4"/>
            <w:tcBorders>
              <w:top w:val="single" w:sz="6" w:space="0" w:color="FFFFFF"/>
              <w:left w:val="single" w:sz="6" w:space="0" w:color="FFFFFF"/>
              <w:right w:val="single" w:sz="6" w:space="0" w:color="FFFFFF"/>
            </w:tcBorders>
            <w:vAlign w:val="center"/>
          </w:tcPr>
          <w:p w:rsidR="00D12B85" w:rsidRDefault="0087363F">
            <w:pPr>
              <w:spacing w:line="300" w:lineRule="exact"/>
              <w:jc w:val="right"/>
              <w:rPr>
                <w:rFonts w:ascii="方正书宋_GBK" w:eastAsia="方正书宋_GBK" w:cs="Times New Roman"/>
                <w:sz w:val="24"/>
                <w:szCs w:val="24"/>
              </w:rPr>
            </w:pPr>
            <w:r>
              <w:rPr>
                <w:rFonts w:ascii="方正书宋_GBK" w:eastAsia="方正书宋_GBK" w:cs="方正书宋_GBK" w:hint="eastAsia"/>
                <w:sz w:val="24"/>
                <w:szCs w:val="24"/>
              </w:rPr>
              <w:t>单位：万元</w:t>
            </w:r>
          </w:p>
        </w:tc>
      </w:tr>
      <w:tr w:rsidR="00D12B85">
        <w:trPr>
          <w:trHeight w:val="227"/>
          <w:tblHeader/>
          <w:jc w:val="center"/>
        </w:trPr>
        <w:tc>
          <w:tcPr>
            <w:tcW w:w="2341" w:type="dxa"/>
            <w:vMerge w:val="restart"/>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职责活动</w:t>
            </w:r>
          </w:p>
        </w:tc>
        <w:tc>
          <w:tcPr>
            <w:tcW w:w="1276" w:type="dxa"/>
            <w:vMerge w:val="restart"/>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年度预算数</w:t>
            </w:r>
          </w:p>
        </w:tc>
        <w:tc>
          <w:tcPr>
            <w:tcW w:w="2976" w:type="dxa"/>
            <w:vMerge w:val="restart"/>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内容描述</w:t>
            </w:r>
          </w:p>
        </w:tc>
        <w:tc>
          <w:tcPr>
            <w:tcW w:w="2976" w:type="dxa"/>
            <w:vMerge w:val="restart"/>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绩效目标</w:t>
            </w:r>
          </w:p>
        </w:tc>
        <w:tc>
          <w:tcPr>
            <w:tcW w:w="1417" w:type="dxa"/>
            <w:vMerge w:val="restart"/>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绩效指标</w:t>
            </w:r>
          </w:p>
        </w:tc>
        <w:tc>
          <w:tcPr>
            <w:tcW w:w="2948" w:type="dxa"/>
            <w:gridSpan w:val="4"/>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评价标准</w:t>
            </w:r>
          </w:p>
        </w:tc>
      </w:tr>
      <w:tr w:rsidR="00D12B85">
        <w:trPr>
          <w:trHeight w:val="227"/>
          <w:tblHeader/>
          <w:jc w:val="center"/>
        </w:trPr>
        <w:tc>
          <w:tcPr>
            <w:tcW w:w="2341" w:type="dxa"/>
            <w:vMerge/>
            <w:vAlign w:val="center"/>
          </w:tcPr>
          <w:p w:rsidR="00D12B85" w:rsidRDefault="00D12B85">
            <w:pPr>
              <w:spacing w:line="300" w:lineRule="exact"/>
              <w:jc w:val="left"/>
              <w:outlineLvl w:val="0"/>
              <w:rPr>
                <w:rFonts w:cs="Times New Roman"/>
              </w:rPr>
            </w:pPr>
          </w:p>
        </w:tc>
        <w:tc>
          <w:tcPr>
            <w:tcW w:w="1276" w:type="dxa"/>
            <w:vMerge/>
            <w:vAlign w:val="center"/>
          </w:tcPr>
          <w:p w:rsidR="00D12B85" w:rsidRDefault="00D12B85">
            <w:pPr>
              <w:spacing w:line="300" w:lineRule="exact"/>
              <w:jc w:val="left"/>
              <w:outlineLvl w:val="0"/>
              <w:rPr>
                <w:rFonts w:cs="Times New Roman"/>
              </w:rPr>
            </w:pPr>
          </w:p>
        </w:tc>
        <w:tc>
          <w:tcPr>
            <w:tcW w:w="2976" w:type="dxa"/>
            <w:vMerge/>
            <w:vAlign w:val="center"/>
          </w:tcPr>
          <w:p w:rsidR="00D12B85" w:rsidRDefault="00D12B85">
            <w:pPr>
              <w:spacing w:line="300" w:lineRule="exact"/>
              <w:jc w:val="left"/>
              <w:outlineLvl w:val="0"/>
              <w:rPr>
                <w:rFonts w:cs="Times New Roman"/>
              </w:rPr>
            </w:pPr>
          </w:p>
        </w:tc>
        <w:tc>
          <w:tcPr>
            <w:tcW w:w="2976" w:type="dxa"/>
            <w:vMerge/>
            <w:vAlign w:val="center"/>
          </w:tcPr>
          <w:p w:rsidR="00D12B85" w:rsidRDefault="00D12B85">
            <w:pPr>
              <w:spacing w:line="300" w:lineRule="exact"/>
              <w:jc w:val="left"/>
              <w:outlineLvl w:val="0"/>
              <w:rPr>
                <w:rFonts w:cs="Times New Roman"/>
              </w:rPr>
            </w:pPr>
          </w:p>
        </w:tc>
        <w:tc>
          <w:tcPr>
            <w:tcW w:w="1417" w:type="dxa"/>
            <w:vMerge/>
            <w:vAlign w:val="center"/>
          </w:tcPr>
          <w:p w:rsidR="00D12B85" w:rsidRDefault="00D12B85">
            <w:pPr>
              <w:spacing w:line="300" w:lineRule="exact"/>
              <w:jc w:val="left"/>
              <w:outlineLvl w:val="0"/>
              <w:rPr>
                <w:rFonts w:cs="Times New Roman"/>
              </w:rPr>
            </w:pPr>
          </w:p>
        </w:tc>
        <w:tc>
          <w:tcPr>
            <w:tcW w:w="737"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优</w:t>
            </w:r>
          </w:p>
        </w:tc>
        <w:tc>
          <w:tcPr>
            <w:tcW w:w="737"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良</w:t>
            </w:r>
          </w:p>
        </w:tc>
        <w:tc>
          <w:tcPr>
            <w:tcW w:w="737"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中</w:t>
            </w:r>
          </w:p>
        </w:tc>
        <w:tc>
          <w:tcPr>
            <w:tcW w:w="737"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差</w:t>
            </w: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t>一、日常管理</w:t>
            </w:r>
          </w:p>
        </w:tc>
        <w:tc>
          <w:tcPr>
            <w:tcW w:w="1276" w:type="dxa"/>
            <w:vAlign w:val="center"/>
          </w:tcPr>
          <w:p w:rsidR="00D12B85" w:rsidRDefault="0087363F">
            <w:pPr>
              <w:spacing w:line="300" w:lineRule="exact"/>
              <w:jc w:val="left"/>
              <w:rPr>
                <w:rFonts w:ascii="方正书宋_GBK" w:eastAsia="方正书宋_GBK" w:cs="方正书宋_GBK"/>
              </w:rPr>
            </w:pPr>
            <w:r>
              <w:rPr>
                <w:rFonts w:ascii="方正书宋_GBK" w:eastAsia="方正书宋_GBK" w:cs="方正书宋_GBK"/>
              </w:rPr>
              <w:t>32.72</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全面负责</w:t>
            </w:r>
            <w:r>
              <w:rPr>
                <w:rFonts w:ascii="方正书宋_GBK" w:eastAsia="方正书宋_GBK"/>
              </w:rPr>
              <w:t>“</w:t>
            </w:r>
            <w:r>
              <w:rPr>
                <w:rFonts w:ascii="方正书宋_GBK" w:eastAsia="方正书宋_GBK" w:cs="方正书宋_GBK" w:hint="eastAsia"/>
              </w:rPr>
              <w:t>中心</w:t>
            </w:r>
            <w:r>
              <w:rPr>
                <w:rFonts w:ascii="方正书宋_GBK" w:eastAsia="方正书宋_GBK"/>
              </w:rPr>
              <w:t>”</w:t>
            </w:r>
            <w:r>
              <w:rPr>
                <w:rFonts w:ascii="方正书宋_GBK" w:eastAsia="方正书宋_GBK" w:cs="方正书宋_GBK" w:hint="eastAsia"/>
              </w:rPr>
              <w:t>的日常管理工作；</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保证窗口单位工作正常运行。</w:t>
            </w:r>
          </w:p>
        </w:tc>
        <w:tc>
          <w:tcPr>
            <w:tcW w:w="1417" w:type="dxa"/>
            <w:vAlign w:val="center"/>
          </w:tcPr>
          <w:p w:rsidR="00D12B85" w:rsidRDefault="00D12B85">
            <w:pPr>
              <w:spacing w:line="300" w:lineRule="exact"/>
              <w:jc w:val="left"/>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1</w:t>
            </w:r>
            <w:r>
              <w:rPr>
                <w:rFonts w:ascii="方正书宋_GBK" w:eastAsia="方正书宋_GBK" w:cs="方正书宋_GBK" w:hint="eastAsia"/>
                <w:b/>
                <w:bCs/>
              </w:rPr>
              <w:t>、改善办公条件，提升服务环境，监督考核。</w:t>
            </w:r>
          </w:p>
        </w:tc>
        <w:tc>
          <w:tcPr>
            <w:tcW w:w="1276" w:type="dxa"/>
            <w:vAlign w:val="center"/>
          </w:tcPr>
          <w:p w:rsidR="00D12B85" w:rsidRDefault="0087363F">
            <w:pPr>
              <w:spacing w:line="300" w:lineRule="exact"/>
              <w:jc w:val="left"/>
              <w:rPr>
                <w:rFonts w:ascii="方正书宋_GBK" w:eastAsia="方正书宋_GBK" w:cs="方正书宋_GBK"/>
              </w:rPr>
            </w:pPr>
            <w:r>
              <w:rPr>
                <w:rFonts w:ascii="方正书宋_GBK" w:eastAsia="方正书宋_GBK" w:cs="方正书宋_GBK"/>
              </w:rPr>
              <w:t>32.72</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负责对各成员单位及其窗口工作人员工作正常运行、监督考核，以及办事群众优越办事场所，，网上审批延伸到乡镇，便民热线整合建设。</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业务办结、出勤</w:t>
            </w:r>
          </w:p>
        </w:tc>
        <w:tc>
          <w:tcPr>
            <w:tcW w:w="1417"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办结率、出勤率，群众办事满意度</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rPr>
              <w:t>90%</w:t>
            </w:r>
            <w:r>
              <w:rPr>
                <w:rFonts w:ascii="方正书宋_GBK" w:eastAsia="方正书宋_GBK" w:cs="方正书宋_GBK" w:hint="eastAsia"/>
              </w:rPr>
              <w:t>以上</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rPr>
              <w:t>80%</w:t>
            </w:r>
            <w:r>
              <w:rPr>
                <w:rFonts w:ascii="方正书宋_GBK" w:eastAsia="方正书宋_GBK" w:cs="方正书宋_GBK" w:hint="eastAsia"/>
              </w:rPr>
              <w:t>以上</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rPr>
              <w:t>70%</w:t>
            </w:r>
            <w:r>
              <w:rPr>
                <w:rFonts w:ascii="方正书宋_GBK" w:eastAsia="方正书宋_GBK" w:cs="方正书宋_GBK" w:hint="eastAsia"/>
              </w:rPr>
              <w:t>以上</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hint="eastAsia"/>
              </w:rPr>
              <w:t>低于</w:t>
            </w:r>
            <w:r>
              <w:rPr>
                <w:rFonts w:ascii="方正书宋_GBK" w:eastAsia="方正书宋_GBK" w:cs="方正书宋_GBK"/>
              </w:rPr>
              <w:t>70%</w:t>
            </w: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t>二、网上审批延伸到乡镇，便民服务热线整合建设。</w:t>
            </w:r>
          </w:p>
        </w:tc>
        <w:tc>
          <w:tcPr>
            <w:tcW w:w="1276" w:type="dxa"/>
            <w:vAlign w:val="center"/>
          </w:tcPr>
          <w:p w:rsidR="00D12B85" w:rsidRDefault="00D12B85">
            <w:pPr>
              <w:spacing w:line="300" w:lineRule="exact"/>
              <w:jc w:val="left"/>
              <w:rPr>
                <w:rFonts w:ascii="方正书宋_GBK" w:eastAsia="方正书宋_GBK" w:cs="Times New Roman"/>
              </w:rPr>
            </w:pP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网上审批延伸到乡镇，便民服务热线整合建设。</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网上审批延伸到乡镇，便民服务热线整合建设。</w:t>
            </w:r>
          </w:p>
        </w:tc>
        <w:tc>
          <w:tcPr>
            <w:tcW w:w="1417" w:type="dxa"/>
            <w:vAlign w:val="center"/>
          </w:tcPr>
          <w:p w:rsidR="00D12B85" w:rsidRDefault="00D12B85">
            <w:pPr>
              <w:spacing w:line="300" w:lineRule="exact"/>
              <w:jc w:val="left"/>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1</w:t>
            </w:r>
            <w:r>
              <w:rPr>
                <w:rFonts w:ascii="方正书宋_GBK" w:eastAsia="方正书宋_GBK" w:cs="方正书宋_GBK" w:hint="eastAsia"/>
                <w:b/>
                <w:bCs/>
              </w:rPr>
              <w:t>、网上审批延伸到乡镇，便民服务热线整合建设。</w:t>
            </w:r>
          </w:p>
        </w:tc>
        <w:tc>
          <w:tcPr>
            <w:tcW w:w="1276" w:type="dxa"/>
            <w:vAlign w:val="center"/>
          </w:tcPr>
          <w:p w:rsidR="00D12B85" w:rsidRDefault="00D12B85">
            <w:pPr>
              <w:spacing w:line="300" w:lineRule="exact"/>
              <w:jc w:val="left"/>
              <w:rPr>
                <w:rFonts w:ascii="方正书宋_GBK" w:eastAsia="方正书宋_GBK" w:cs="Times New Roman"/>
              </w:rPr>
            </w:pP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网上审批延伸到乡镇，便民服务热线整合建设。</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网上审批延伸到乡镇，便民服务热线整合建设。</w:t>
            </w:r>
          </w:p>
        </w:tc>
        <w:tc>
          <w:tcPr>
            <w:tcW w:w="1417"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网上审批延伸到乡镇，便民服务热线整合建设。</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rPr>
              <w:t>90%</w:t>
            </w:r>
            <w:r>
              <w:rPr>
                <w:rFonts w:ascii="方正书宋_GBK" w:eastAsia="方正书宋_GBK" w:cs="方正书宋_GBK" w:hint="eastAsia"/>
              </w:rPr>
              <w:t>以上</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rPr>
              <w:t>80%</w:t>
            </w:r>
            <w:r>
              <w:rPr>
                <w:rFonts w:ascii="方正书宋_GBK" w:eastAsia="方正书宋_GBK" w:cs="方正书宋_GBK" w:hint="eastAsia"/>
              </w:rPr>
              <w:t>以上</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rPr>
              <w:t>70%</w:t>
            </w:r>
            <w:r>
              <w:rPr>
                <w:rFonts w:ascii="方正书宋_GBK" w:eastAsia="方正书宋_GBK" w:cs="方正书宋_GBK" w:hint="eastAsia"/>
              </w:rPr>
              <w:t>以上</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hint="eastAsia"/>
              </w:rPr>
              <w:t>低于</w:t>
            </w:r>
            <w:r>
              <w:rPr>
                <w:rFonts w:ascii="方正书宋_GBK" w:eastAsia="方正书宋_GBK" w:cs="方正书宋_GBK"/>
              </w:rPr>
              <w:t>70%</w:t>
            </w: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t>三、负责垂直、双重管理及其他部门派驻县政务服务中心的窗口工作人员的管理和监督。</w:t>
            </w:r>
          </w:p>
        </w:tc>
        <w:tc>
          <w:tcPr>
            <w:tcW w:w="1276" w:type="dxa"/>
            <w:vAlign w:val="center"/>
          </w:tcPr>
          <w:p w:rsidR="00D12B85" w:rsidRDefault="0087363F">
            <w:pPr>
              <w:spacing w:line="300" w:lineRule="exact"/>
              <w:jc w:val="left"/>
              <w:rPr>
                <w:rFonts w:ascii="方正书宋_GBK" w:eastAsia="方正书宋_GBK" w:cs="方正书宋_GBK"/>
              </w:rPr>
            </w:pPr>
            <w:r>
              <w:rPr>
                <w:rFonts w:ascii="方正书宋_GBK" w:eastAsia="方正书宋_GBK" w:cs="方正书宋_GBK"/>
              </w:rPr>
              <w:t>12.00</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全面负责</w:t>
            </w:r>
            <w:r>
              <w:rPr>
                <w:rFonts w:ascii="方正书宋_GBK" w:eastAsia="方正书宋_GBK"/>
              </w:rPr>
              <w:t>“</w:t>
            </w:r>
            <w:r>
              <w:rPr>
                <w:rFonts w:ascii="方正书宋_GBK" w:eastAsia="方正书宋_GBK" w:cs="方正书宋_GBK" w:hint="eastAsia"/>
              </w:rPr>
              <w:t>中心</w:t>
            </w:r>
            <w:r>
              <w:rPr>
                <w:rFonts w:ascii="方正书宋_GBK" w:eastAsia="方正书宋_GBK"/>
              </w:rPr>
              <w:t>”</w:t>
            </w:r>
            <w:r>
              <w:rPr>
                <w:rFonts w:ascii="方正书宋_GBK" w:eastAsia="方正书宋_GBK" w:cs="方正书宋_GBK" w:hint="eastAsia"/>
              </w:rPr>
              <w:t>的日常管理工作；</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保证窗口单位工作正常运行。</w:t>
            </w:r>
          </w:p>
        </w:tc>
        <w:tc>
          <w:tcPr>
            <w:tcW w:w="1417" w:type="dxa"/>
            <w:vAlign w:val="center"/>
          </w:tcPr>
          <w:p w:rsidR="00D12B85" w:rsidRDefault="00D12B85">
            <w:pPr>
              <w:spacing w:line="300" w:lineRule="exact"/>
              <w:jc w:val="left"/>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lastRenderedPageBreak/>
              <w:t xml:space="preserve">　　</w:t>
            </w:r>
            <w:r>
              <w:rPr>
                <w:rFonts w:ascii="方正书宋_GBK" w:eastAsia="方正书宋_GBK" w:cs="方正书宋_GBK"/>
                <w:b/>
                <w:bCs/>
              </w:rPr>
              <w:t>1</w:t>
            </w:r>
            <w:r>
              <w:rPr>
                <w:rFonts w:ascii="方正书宋_GBK" w:eastAsia="方正书宋_GBK" w:cs="方正书宋_GBK" w:hint="eastAsia"/>
                <w:b/>
                <w:bCs/>
              </w:rPr>
              <w:t>、改善办公条件，提升服务环境，监督考核。</w:t>
            </w:r>
          </w:p>
        </w:tc>
        <w:tc>
          <w:tcPr>
            <w:tcW w:w="1276" w:type="dxa"/>
            <w:vAlign w:val="center"/>
          </w:tcPr>
          <w:p w:rsidR="00D12B85" w:rsidRDefault="0087363F">
            <w:pPr>
              <w:spacing w:line="300" w:lineRule="exact"/>
              <w:jc w:val="left"/>
              <w:rPr>
                <w:rFonts w:ascii="方正书宋_GBK" w:eastAsia="方正书宋_GBK" w:cs="方正书宋_GBK"/>
              </w:rPr>
            </w:pPr>
            <w:r>
              <w:rPr>
                <w:rFonts w:ascii="方正书宋_GBK" w:eastAsia="方正书宋_GBK" w:cs="方正书宋_GBK"/>
              </w:rPr>
              <w:t>12.00</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负责对各成员单位及其窗口工作人员工作正常运行、监督考核，以及办事群众优越办事场所。保安工资及购买服务人员工资</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业务办结、出勤。</w:t>
            </w:r>
          </w:p>
        </w:tc>
        <w:tc>
          <w:tcPr>
            <w:tcW w:w="1417"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办结率、出勤率，群众办事满意度</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rPr>
              <w:t>90%</w:t>
            </w:r>
            <w:r>
              <w:rPr>
                <w:rFonts w:ascii="方正书宋_GBK" w:eastAsia="方正书宋_GBK" w:cs="方正书宋_GBK" w:hint="eastAsia"/>
              </w:rPr>
              <w:t>以上</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rPr>
              <w:t>80%</w:t>
            </w:r>
            <w:r>
              <w:rPr>
                <w:rFonts w:ascii="方正书宋_GBK" w:eastAsia="方正书宋_GBK" w:cs="方正书宋_GBK" w:hint="eastAsia"/>
              </w:rPr>
              <w:t>以上</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rPr>
              <w:t>70%</w:t>
            </w:r>
            <w:r>
              <w:rPr>
                <w:rFonts w:ascii="方正书宋_GBK" w:eastAsia="方正书宋_GBK" w:cs="方正书宋_GBK" w:hint="eastAsia"/>
              </w:rPr>
              <w:t>以上</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hint="eastAsia"/>
              </w:rPr>
              <w:t>低于</w:t>
            </w:r>
            <w:r>
              <w:rPr>
                <w:rFonts w:ascii="方正书宋_GBK" w:eastAsia="方正书宋_GBK" w:cs="方正书宋_GBK"/>
              </w:rPr>
              <w:t>70%</w:t>
            </w: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t>四、人员的教育、培训、管理和绩效考核。</w:t>
            </w:r>
          </w:p>
        </w:tc>
        <w:tc>
          <w:tcPr>
            <w:tcW w:w="1276" w:type="dxa"/>
            <w:vAlign w:val="center"/>
          </w:tcPr>
          <w:p w:rsidR="00D12B85" w:rsidRDefault="0087363F">
            <w:pPr>
              <w:spacing w:line="300" w:lineRule="exact"/>
              <w:jc w:val="left"/>
              <w:rPr>
                <w:rFonts w:ascii="方正书宋_GBK" w:eastAsia="方正书宋_GBK" w:cs="方正书宋_GBK"/>
              </w:rPr>
            </w:pPr>
            <w:r>
              <w:rPr>
                <w:rFonts w:ascii="方正书宋_GBK" w:eastAsia="方正书宋_GBK" w:cs="方正书宋_GBK"/>
              </w:rPr>
              <w:t>5.00</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人员的教育、培训、管理。</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提高企业负责人的素质及审批工作人员的素质</w:t>
            </w:r>
          </w:p>
        </w:tc>
        <w:tc>
          <w:tcPr>
            <w:tcW w:w="1417" w:type="dxa"/>
            <w:vAlign w:val="center"/>
          </w:tcPr>
          <w:p w:rsidR="00D12B85" w:rsidRDefault="00D12B85">
            <w:pPr>
              <w:spacing w:line="300" w:lineRule="exact"/>
              <w:jc w:val="left"/>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1</w:t>
            </w:r>
            <w:r>
              <w:rPr>
                <w:rFonts w:ascii="方正书宋_GBK" w:eastAsia="方正书宋_GBK" w:cs="方正书宋_GBK" w:hint="eastAsia"/>
                <w:b/>
                <w:bCs/>
              </w:rPr>
              <w:t>、药房经营、食品生产人员及工作人员的培训</w:t>
            </w:r>
          </w:p>
        </w:tc>
        <w:tc>
          <w:tcPr>
            <w:tcW w:w="1276" w:type="dxa"/>
            <w:vAlign w:val="center"/>
          </w:tcPr>
          <w:p w:rsidR="00D12B85" w:rsidRDefault="0087363F">
            <w:pPr>
              <w:spacing w:line="300" w:lineRule="exact"/>
              <w:jc w:val="left"/>
              <w:rPr>
                <w:rFonts w:ascii="方正书宋_GBK" w:eastAsia="方正书宋_GBK" w:cs="方正书宋_GBK"/>
              </w:rPr>
            </w:pPr>
            <w:r>
              <w:rPr>
                <w:rFonts w:ascii="方正书宋_GBK" w:eastAsia="方正书宋_GBK" w:cs="方正书宋_GBK"/>
              </w:rPr>
              <w:t>5.00</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提高企业负责人的素质及审批工作人员的素质</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药房、食品经营者及工作人员素质提高</w:t>
            </w:r>
          </w:p>
        </w:tc>
        <w:tc>
          <w:tcPr>
            <w:tcW w:w="1417"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药房、食品经营者及工作人员素质提高</w:t>
            </w: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t>五、信息化管理</w:t>
            </w:r>
          </w:p>
        </w:tc>
        <w:tc>
          <w:tcPr>
            <w:tcW w:w="1276" w:type="dxa"/>
            <w:vAlign w:val="center"/>
          </w:tcPr>
          <w:p w:rsidR="00D12B85" w:rsidRDefault="0087363F">
            <w:pPr>
              <w:spacing w:line="300" w:lineRule="exact"/>
              <w:jc w:val="left"/>
              <w:rPr>
                <w:rFonts w:ascii="方正书宋_GBK" w:eastAsia="方正书宋_GBK" w:cs="方正书宋_GBK"/>
              </w:rPr>
            </w:pPr>
            <w:r>
              <w:rPr>
                <w:rFonts w:ascii="方正书宋_GBK" w:eastAsia="方正书宋_GBK" w:cs="方正书宋_GBK"/>
              </w:rPr>
              <w:t>9.00</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推进网上审批自动化和办公自动化。中心网络系统的维护管理和技术指导，操作系统、安全系统的日常检测、维护及数据更新和网络建设。</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推进网上审批自动化和办公自动化。中心网络系统的维护管理和技术指导，操作系统、安全系统的日常检测、维护及数据更新和网络建设。</w:t>
            </w:r>
          </w:p>
        </w:tc>
        <w:tc>
          <w:tcPr>
            <w:tcW w:w="1417" w:type="dxa"/>
            <w:vAlign w:val="center"/>
          </w:tcPr>
          <w:p w:rsidR="00D12B85" w:rsidRDefault="00D12B85">
            <w:pPr>
              <w:spacing w:line="300" w:lineRule="exact"/>
              <w:jc w:val="left"/>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1</w:t>
            </w:r>
            <w:r>
              <w:rPr>
                <w:rFonts w:ascii="方正书宋_GBK" w:eastAsia="方正书宋_GBK" w:cs="方正书宋_GBK" w:hint="eastAsia"/>
                <w:b/>
                <w:bCs/>
              </w:rPr>
              <w:t>、网络技术保障与服务</w:t>
            </w:r>
          </w:p>
        </w:tc>
        <w:tc>
          <w:tcPr>
            <w:tcW w:w="1276" w:type="dxa"/>
            <w:vAlign w:val="center"/>
          </w:tcPr>
          <w:p w:rsidR="00D12B85" w:rsidRDefault="0087363F">
            <w:pPr>
              <w:spacing w:line="300" w:lineRule="exact"/>
              <w:jc w:val="left"/>
              <w:rPr>
                <w:rFonts w:ascii="方正书宋_GBK" w:eastAsia="方正书宋_GBK" w:cs="方正书宋_GBK"/>
              </w:rPr>
            </w:pPr>
            <w:r>
              <w:rPr>
                <w:rFonts w:ascii="方正书宋_GBK" w:eastAsia="方正书宋_GBK" w:cs="方正书宋_GBK"/>
              </w:rPr>
              <w:t>9.00</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网络系统的维护管理和技术指导，操作系统、安全系统的日常检测、维护及数据更新和网络建设。</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系统稳定、使用经常，网络建设推进有力</w:t>
            </w:r>
          </w:p>
        </w:tc>
        <w:tc>
          <w:tcPr>
            <w:tcW w:w="1417"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系统稳定、使用经常，网络建设推进有力</w:t>
            </w:r>
          </w:p>
        </w:tc>
        <w:tc>
          <w:tcPr>
            <w:tcW w:w="737" w:type="dxa"/>
            <w:vAlign w:val="center"/>
          </w:tcPr>
          <w:p w:rsidR="00D12B85" w:rsidRDefault="0087363F">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99%</w:t>
            </w:r>
          </w:p>
        </w:tc>
        <w:tc>
          <w:tcPr>
            <w:tcW w:w="737" w:type="dxa"/>
            <w:vAlign w:val="center"/>
          </w:tcPr>
          <w:p w:rsidR="00D12B85" w:rsidRDefault="0087363F">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95%</w:t>
            </w:r>
          </w:p>
        </w:tc>
        <w:tc>
          <w:tcPr>
            <w:tcW w:w="737" w:type="dxa"/>
            <w:vAlign w:val="center"/>
          </w:tcPr>
          <w:p w:rsidR="00D12B85" w:rsidRDefault="0087363F">
            <w:pPr>
              <w:spacing w:line="300" w:lineRule="exact"/>
              <w:jc w:val="center"/>
              <w:rPr>
                <w:rFonts w:ascii="方正书宋_GBK" w:eastAsia="方正书宋_GBK" w:cs="方正书宋_GBK"/>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hint="eastAsia"/>
              </w:rPr>
              <w:t>＜</w:t>
            </w:r>
            <w:r>
              <w:rPr>
                <w:rFonts w:ascii="方正书宋_GBK" w:eastAsia="方正书宋_GBK" w:cs="方正书宋_GBK"/>
              </w:rPr>
              <w:t>90%</w:t>
            </w: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t>六、审批、服务事项受理</w:t>
            </w:r>
          </w:p>
        </w:tc>
        <w:tc>
          <w:tcPr>
            <w:tcW w:w="1276" w:type="dxa"/>
            <w:vAlign w:val="center"/>
          </w:tcPr>
          <w:p w:rsidR="00D12B85" w:rsidRDefault="0087363F">
            <w:pPr>
              <w:spacing w:line="300" w:lineRule="exact"/>
              <w:jc w:val="left"/>
              <w:rPr>
                <w:rFonts w:ascii="方正书宋_GBK" w:eastAsia="方正书宋_GBK" w:cs="方正书宋_GBK"/>
              </w:rPr>
            </w:pPr>
            <w:r>
              <w:rPr>
                <w:rFonts w:ascii="方正书宋_GBK" w:eastAsia="方正书宋_GBK" w:cs="方正书宋_GBK"/>
              </w:rPr>
              <w:t>10.00</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受理社会向市政府各部门、各单位申请办理的各类批准、核准、备案等服务事项；</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规范完善行政审批工作，创造宽松的经济发展环境，打造高效、公正的服务平台，提高行政效能。</w:t>
            </w:r>
          </w:p>
        </w:tc>
        <w:tc>
          <w:tcPr>
            <w:tcW w:w="1417" w:type="dxa"/>
            <w:vAlign w:val="center"/>
          </w:tcPr>
          <w:p w:rsidR="00D12B85" w:rsidRDefault="00D12B85">
            <w:pPr>
              <w:spacing w:line="300" w:lineRule="exact"/>
              <w:jc w:val="left"/>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c>
          <w:tcPr>
            <w:tcW w:w="737" w:type="dxa"/>
            <w:vAlign w:val="center"/>
          </w:tcPr>
          <w:p w:rsidR="00D12B85" w:rsidRDefault="00D12B85">
            <w:pPr>
              <w:spacing w:line="300" w:lineRule="exact"/>
              <w:jc w:val="center"/>
              <w:rPr>
                <w:rFonts w:ascii="方正书宋_GBK" w:eastAsia="方正书宋_GBK" w:cs="Times New Roman"/>
              </w:rPr>
            </w:pPr>
          </w:p>
        </w:tc>
      </w:tr>
      <w:tr w:rsidR="00D12B85">
        <w:trPr>
          <w:trHeight w:val="227"/>
          <w:jc w:val="center"/>
        </w:trPr>
        <w:tc>
          <w:tcPr>
            <w:tcW w:w="2341" w:type="dxa"/>
            <w:vAlign w:val="center"/>
          </w:tcPr>
          <w:p w:rsidR="00D12B85" w:rsidRDefault="0087363F">
            <w:pPr>
              <w:spacing w:line="300" w:lineRule="exact"/>
              <w:jc w:val="left"/>
              <w:rPr>
                <w:rFonts w:ascii="方正书宋_GBK" w:eastAsia="方正书宋_GBK" w:cs="Times New Roman"/>
                <w:b/>
                <w:bCs/>
              </w:rPr>
            </w:pPr>
            <w:r>
              <w:rPr>
                <w:rFonts w:ascii="方正书宋_GBK" w:eastAsia="方正书宋_GBK" w:cs="方正书宋_GBK" w:hint="eastAsia"/>
                <w:b/>
                <w:bCs/>
              </w:rPr>
              <w:t xml:space="preserve">　　</w:t>
            </w:r>
            <w:r>
              <w:rPr>
                <w:rFonts w:ascii="方正书宋_GBK" w:eastAsia="方正书宋_GBK" w:cs="方正书宋_GBK"/>
                <w:b/>
                <w:bCs/>
              </w:rPr>
              <w:t>1</w:t>
            </w:r>
            <w:r>
              <w:rPr>
                <w:rFonts w:ascii="方正书宋_GBK" w:eastAsia="方正书宋_GBK" w:cs="方正书宋_GBK" w:hint="eastAsia"/>
                <w:b/>
                <w:bCs/>
              </w:rPr>
              <w:t>、对进驻审批事项的管理、协调</w:t>
            </w:r>
          </w:p>
        </w:tc>
        <w:tc>
          <w:tcPr>
            <w:tcW w:w="1276" w:type="dxa"/>
            <w:vAlign w:val="center"/>
          </w:tcPr>
          <w:p w:rsidR="00D12B85" w:rsidRDefault="0087363F">
            <w:pPr>
              <w:spacing w:line="300" w:lineRule="exact"/>
              <w:jc w:val="left"/>
              <w:rPr>
                <w:rFonts w:ascii="方正书宋_GBK" w:eastAsia="方正书宋_GBK" w:cs="方正书宋_GBK"/>
              </w:rPr>
            </w:pPr>
            <w:r>
              <w:rPr>
                <w:rFonts w:ascii="方正书宋_GBK" w:eastAsia="方正书宋_GBK" w:cs="方正书宋_GBK"/>
              </w:rPr>
              <w:t>10.00</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进驻事项的规范、协调。联合审批的工作流程和审批环节的简化。主持召开重大事项联审会，对重点投资项目进行领办</w:t>
            </w:r>
            <w:r>
              <w:rPr>
                <w:rFonts w:ascii="方正书宋_GBK" w:eastAsia="方正书宋_GBK" w:cs="方正书宋_GBK" w:hint="eastAsia"/>
              </w:rPr>
              <w:lastRenderedPageBreak/>
              <w:t>代办。社会向市政府各部门、各单位申请办理的各类批准、核准、备案等服务事项的受理。</w:t>
            </w:r>
          </w:p>
        </w:tc>
        <w:tc>
          <w:tcPr>
            <w:tcW w:w="2976"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lastRenderedPageBreak/>
              <w:t>社会向市政府各部门、各单位申请办理的各类批准、核准、备案等服务事项的受理。</w:t>
            </w:r>
          </w:p>
        </w:tc>
        <w:tc>
          <w:tcPr>
            <w:tcW w:w="1417" w:type="dxa"/>
            <w:vAlign w:val="center"/>
          </w:tcPr>
          <w:p w:rsidR="00D12B85" w:rsidRDefault="0087363F">
            <w:pPr>
              <w:spacing w:line="300" w:lineRule="exact"/>
              <w:jc w:val="left"/>
              <w:rPr>
                <w:rFonts w:ascii="方正书宋_GBK" w:eastAsia="方正书宋_GBK" w:cs="Times New Roman"/>
              </w:rPr>
            </w:pPr>
            <w:r>
              <w:rPr>
                <w:rFonts w:ascii="方正书宋_GBK" w:eastAsia="方正书宋_GBK" w:cs="方正书宋_GBK" w:hint="eastAsia"/>
              </w:rPr>
              <w:t>受理各类批准、核准、备案等服务事项的情况。</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hint="eastAsia"/>
              </w:rPr>
              <w:t>≥</w:t>
            </w:r>
            <w:r>
              <w:rPr>
                <w:rFonts w:ascii="方正书宋_GBK" w:eastAsia="方正书宋_GBK" w:cs="方正书宋_GBK"/>
              </w:rPr>
              <w:t>99%</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hint="eastAsia"/>
              </w:rPr>
              <w:t>≥</w:t>
            </w:r>
            <w:r>
              <w:rPr>
                <w:rFonts w:ascii="方正书宋_GBK" w:eastAsia="方正书宋_GBK" w:cs="方正书宋_GBK"/>
              </w:rPr>
              <w:t>95%</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hint="eastAsia"/>
              </w:rPr>
              <w:t>≥</w:t>
            </w:r>
            <w:r>
              <w:rPr>
                <w:rFonts w:ascii="方正书宋_GBK" w:eastAsia="方正书宋_GBK" w:cs="方正书宋_GBK"/>
              </w:rPr>
              <w:t>90%</w:t>
            </w:r>
          </w:p>
        </w:tc>
        <w:tc>
          <w:tcPr>
            <w:tcW w:w="737" w:type="dxa"/>
            <w:vAlign w:val="center"/>
          </w:tcPr>
          <w:p w:rsidR="00D12B85" w:rsidRDefault="0087363F">
            <w:pPr>
              <w:spacing w:line="300" w:lineRule="exact"/>
              <w:jc w:val="center"/>
              <w:rPr>
                <w:rFonts w:ascii="方正书宋_GBK" w:eastAsia="方正书宋_GBK" w:cs="Times New Roman"/>
              </w:rPr>
            </w:pPr>
            <w:r>
              <w:rPr>
                <w:rFonts w:ascii="方正书宋_GBK" w:eastAsia="方正书宋_GBK" w:cs="方正书宋_GBK" w:hint="eastAsia"/>
              </w:rPr>
              <w:t>＜</w:t>
            </w:r>
            <w:r>
              <w:rPr>
                <w:rFonts w:ascii="方正书宋_GBK" w:eastAsia="方正书宋_GBK" w:cs="方正书宋_GBK"/>
              </w:rPr>
              <w:t>90%</w:t>
            </w:r>
          </w:p>
        </w:tc>
      </w:tr>
    </w:tbl>
    <w:p w:rsidR="00D12B85" w:rsidRDefault="00D12B85">
      <w:pPr>
        <w:spacing w:line="300" w:lineRule="exact"/>
        <w:jc w:val="left"/>
        <w:outlineLvl w:val="0"/>
        <w:rPr>
          <w:rFonts w:cs="Times New Roman"/>
        </w:rPr>
        <w:sectPr w:rsidR="00D12B85">
          <w:pgSz w:w="16839" w:h="11907" w:orient="landscape"/>
          <w:pgMar w:top="1020" w:right="1361" w:bottom="1020" w:left="1361" w:header="851" w:footer="992" w:gutter="0"/>
          <w:cols w:space="425"/>
          <w:docGrid w:type="lines" w:linePitch="312"/>
        </w:sectPr>
      </w:pPr>
    </w:p>
    <w:bookmarkEnd w:id="0"/>
    <w:p w:rsidR="00D12B85" w:rsidRDefault="0087363F">
      <w:pPr>
        <w:autoSpaceDE w:val="0"/>
        <w:autoSpaceDN w:val="0"/>
        <w:adjustRightInd w:val="0"/>
        <w:ind w:firstLineChars="300" w:firstLine="960"/>
        <w:jc w:val="left"/>
        <w:rPr>
          <w:rFonts w:ascii="黑体" w:eastAsia="黑体" w:hAnsi="黑体" w:cs="Times New Roman"/>
          <w:sz w:val="32"/>
          <w:szCs w:val="32"/>
        </w:rPr>
      </w:pPr>
      <w:r>
        <w:rPr>
          <w:rFonts w:ascii="黑体" w:eastAsia="黑体" w:hAnsi="黑体" w:cs="黑体" w:hint="eastAsia"/>
          <w:sz w:val="32"/>
          <w:szCs w:val="32"/>
        </w:rPr>
        <w:lastRenderedPageBreak/>
        <w:t>六、政府采购预算情况</w:t>
      </w:r>
    </w:p>
    <w:p w:rsidR="00D12B85" w:rsidRDefault="0087363F">
      <w:pPr>
        <w:ind w:firstLineChars="200" w:firstLine="640"/>
        <w:outlineLvl w:val="0"/>
        <w:rPr>
          <w:rFonts w:ascii="Times New Roman" w:eastAsia="仿宋" w:hAnsi="Times New Roman" w:cs="Times New Roman"/>
          <w:sz w:val="32"/>
          <w:szCs w:val="32"/>
        </w:rPr>
      </w:pPr>
      <w:bookmarkStart w:id="5" w:name="_Toc471398468"/>
      <w:r>
        <w:rPr>
          <w:rFonts w:ascii="Times New Roman" w:eastAsia="仿宋" w:hAnsi="Times New Roman" w:cs="Times New Roman"/>
          <w:sz w:val="32"/>
          <w:szCs w:val="32"/>
        </w:rPr>
        <w:t xml:space="preserve"> 20219</w:t>
      </w:r>
      <w:r>
        <w:rPr>
          <w:rFonts w:ascii="Times New Roman" w:eastAsia="仿宋" w:hAnsi="Times New Roman" w:cs="仿宋" w:hint="eastAsia"/>
          <w:sz w:val="32"/>
          <w:szCs w:val="32"/>
        </w:rPr>
        <w:t>年我部门未安排政府采购预算。具体内容见下表。</w:t>
      </w:r>
      <w:bookmarkEnd w:id="5"/>
    </w:p>
    <w:p w:rsidR="00D12B85" w:rsidRDefault="0087363F">
      <w:pPr>
        <w:ind w:firstLineChars="200" w:firstLine="640"/>
        <w:jc w:val="center"/>
        <w:outlineLvl w:val="0"/>
        <w:rPr>
          <w:rFonts w:ascii="Times New Roman" w:hAnsi="宋体" w:cs="Times New Roman"/>
          <w:sz w:val="32"/>
          <w:szCs w:val="32"/>
        </w:rPr>
      </w:pPr>
      <w:r>
        <w:rPr>
          <w:rFonts w:ascii="方正小标宋_GBK" w:eastAsia="方正小标宋_GBK" w:cs="方正小标宋_GBK" w:hint="eastAsia"/>
          <w:sz w:val="32"/>
          <w:szCs w:val="32"/>
        </w:rPr>
        <w:t>部门政府采购预算</w:t>
      </w:r>
      <w:r>
        <w:rPr>
          <w:rFonts w:ascii="方正小标宋_GBK" w:eastAsia="方正小标宋_GBK" w:cs="方正小标宋_GBK"/>
          <w:sz w:val="32"/>
          <w:szCs w:val="32"/>
        </w:rPr>
        <w:fldChar w:fldCharType="begin"/>
      </w:r>
      <w:r>
        <w:rPr>
          <w:rFonts w:ascii="方正小标宋_GBK" w:eastAsia="方正小标宋_GBK" w:cs="Times New Roman"/>
          <w:sz w:val="32"/>
          <w:szCs w:val="32"/>
        </w:rPr>
        <w:instrText>tc "</w:instrText>
      </w:r>
      <w:bookmarkStart w:id="6" w:name="_Toc28848395"/>
      <w:r>
        <w:rPr>
          <w:rFonts w:ascii="方正小标宋_GBK" w:eastAsia="方正小标宋_GBK" w:cs="方正小标宋_GBK" w:hint="eastAsia"/>
          <w:sz w:val="32"/>
          <w:szCs w:val="32"/>
        </w:rPr>
        <w:instrText>部门政府采购预算</w:instrText>
      </w:r>
      <w:bookmarkEnd w:id="6"/>
      <w:r>
        <w:rPr>
          <w:rFonts w:ascii="方正小标宋_GBK" w:eastAsia="方正小标宋_GBK" w:cs="Times New Roman"/>
          <w:sz w:val="32"/>
          <w:szCs w:val="32"/>
        </w:rPr>
        <w:instrText>" \f A \l 0</w:instrText>
      </w:r>
      <w:r>
        <w:rPr>
          <w:rFonts w:ascii="方正小标宋_GBK" w:eastAsia="方正小标宋_GBK" w:cs="方正小标宋_GBK"/>
          <w:sz w:val="32"/>
          <w:szCs w:val="32"/>
        </w:rPr>
        <w:instrText>0001</w:instrText>
      </w:r>
      <w:r>
        <w:rPr>
          <w:rFonts w:ascii="方正小标宋_GBK" w:eastAsia="方正小标宋_GBK" w:cs="方正小标宋_GBK"/>
          <w:sz w:val="32"/>
          <w:szCs w:val="32"/>
        </w:rPr>
        <w:fldChar w:fldCharType="end"/>
      </w:r>
    </w:p>
    <w:tbl>
      <w:tblPr>
        <w:tblW w:w="1562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3106"/>
        <w:gridCol w:w="1134"/>
        <w:gridCol w:w="1559"/>
        <w:gridCol w:w="1417"/>
        <w:gridCol w:w="709"/>
        <w:gridCol w:w="851"/>
        <w:gridCol w:w="992"/>
        <w:gridCol w:w="992"/>
        <w:gridCol w:w="992"/>
        <w:gridCol w:w="993"/>
        <w:gridCol w:w="1134"/>
        <w:gridCol w:w="850"/>
        <w:gridCol w:w="893"/>
      </w:tblGrid>
      <w:tr w:rsidR="00D12B85">
        <w:trPr>
          <w:cantSplit/>
          <w:tblHeader/>
          <w:jc w:val="center"/>
        </w:trPr>
        <w:tc>
          <w:tcPr>
            <w:tcW w:w="9768" w:type="dxa"/>
            <w:gridSpan w:val="7"/>
            <w:tcBorders>
              <w:top w:val="single" w:sz="6" w:space="0" w:color="FFFFFF"/>
              <w:left w:val="single" w:sz="6" w:space="0" w:color="FFFFFF"/>
              <w:right w:val="single" w:sz="6" w:space="0" w:color="FFFFFF"/>
            </w:tcBorders>
            <w:vAlign w:val="center"/>
          </w:tcPr>
          <w:p w:rsidR="00D12B85" w:rsidRDefault="0087363F">
            <w:pPr>
              <w:spacing w:line="300" w:lineRule="exact"/>
              <w:jc w:val="left"/>
              <w:rPr>
                <w:rFonts w:ascii="宋体" w:cs="Times New Roman"/>
                <w:sz w:val="24"/>
                <w:szCs w:val="24"/>
              </w:rPr>
            </w:pPr>
            <w:r>
              <w:rPr>
                <w:rFonts w:ascii="方正小标宋_GBK" w:eastAsia="方正小标宋_GBK" w:cs="方正小标宋_GBK"/>
                <w:sz w:val="24"/>
                <w:szCs w:val="24"/>
              </w:rPr>
              <w:t>431</w:t>
            </w:r>
            <w:r>
              <w:rPr>
                <w:rFonts w:ascii="宋体" w:hAnsi="宋体" w:cs="宋体" w:hint="eastAsia"/>
                <w:sz w:val="24"/>
                <w:szCs w:val="24"/>
              </w:rPr>
              <w:t>无极县行政审批局</w:t>
            </w:r>
          </w:p>
        </w:tc>
        <w:tc>
          <w:tcPr>
            <w:tcW w:w="5854" w:type="dxa"/>
            <w:gridSpan w:val="6"/>
            <w:tcBorders>
              <w:top w:val="single" w:sz="6" w:space="0" w:color="FFFFFF"/>
              <w:left w:val="single" w:sz="6" w:space="0" w:color="FFFFFF"/>
              <w:right w:val="single" w:sz="6" w:space="0" w:color="FFFFFF"/>
            </w:tcBorders>
            <w:vAlign w:val="center"/>
          </w:tcPr>
          <w:p w:rsidR="00D12B85" w:rsidRDefault="0087363F">
            <w:pPr>
              <w:spacing w:line="300" w:lineRule="exact"/>
              <w:jc w:val="right"/>
              <w:rPr>
                <w:rFonts w:ascii="方正书宋_GBK" w:eastAsia="方正书宋_GBK" w:cs="Times New Roman"/>
                <w:sz w:val="24"/>
                <w:szCs w:val="24"/>
              </w:rPr>
            </w:pPr>
            <w:r>
              <w:rPr>
                <w:rFonts w:ascii="方正书宋_GBK" w:eastAsia="方正书宋_GBK" w:cs="方正书宋_GBK" w:hint="eastAsia"/>
                <w:sz w:val="24"/>
                <w:szCs w:val="24"/>
              </w:rPr>
              <w:t>单位：万元</w:t>
            </w:r>
          </w:p>
        </w:tc>
      </w:tr>
      <w:tr w:rsidR="00D12B85">
        <w:trPr>
          <w:cantSplit/>
          <w:tblHeader/>
          <w:jc w:val="center"/>
        </w:trPr>
        <w:tc>
          <w:tcPr>
            <w:tcW w:w="4240" w:type="dxa"/>
            <w:gridSpan w:val="2"/>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政府采购项目来源</w:t>
            </w:r>
          </w:p>
        </w:tc>
        <w:tc>
          <w:tcPr>
            <w:tcW w:w="1559" w:type="dxa"/>
            <w:vMerge w:val="restart"/>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采购物品名称</w:t>
            </w:r>
          </w:p>
        </w:tc>
        <w:tc>
          <w:tcPr>
            <w:tcW w:w="1417" w:type="dxa"/>
            <w:vMerge w:val="restart"/>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政府采购目录序号</w:t>
            </w:r>
          </w:p>
        </w:tc>
        <w:tc>
          <w:tcPr>
            <w:tcW w:w="709" w:type="dxa"/>
            <w:vMerge w:val="restart"/>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计量</w:t>
            </w:r>
            <w:r>
              <w:rPr>
                <w:rFonts w:ascii="方正书宋_GBK" w:eastAsia="方正书宋_GBK" w:cs="方正书宋_GBK"/>
                <w:b/>
                <w:bCs/>
              </w:rPr>
              <w:t xml:space="preserve">  </w:t>
            </w:r>
            <w:r>
              <w:rPr>
                <w:rFonts w:ascii="方正书宋_GBK" w:eastAsia="方正书宋_GBK" w:cs="方正书宋_GBK" w:hint="eastAsia"/>
                <w:b/>
                <w:bCs/>
              </w:rPr>
              <w:t>单位</w:t>
            </w:r>
          </w:p>
        </w:tc>
        <w:tc>
          <w:tcPr>
            <w:tcW w:w="851" w:type="dxa"/>
            <w:vMerge w:val="restart"/>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数量</w:t>
            </w:r>
          </w:p>
        </w:tc>
        <w:tc>
          <w:tcPr>
            <w:tcW w:w="992" w:type="dxa"/>
            <w:vMerge w:val="restart"/>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单价</w:t>
            </w:r>
          </w:p>
        </w:tc>
        <w:tc>
          <w:tcPr>
            <w:tcW w:w="5854" w:type="dxa"/>
            <w:gridSpan w:val="6"/>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政府采购金额（当年部门预算安排资金）</w:t>
            </w:r>
          </w:p>
        </w:tc>
      </w:tr>
      <w:tr w:rsidR="00D12B85">
        <w:trPr>
          <w:cantSplit/>
          <w:tblHeader/>
          <w:jc w:val="center"/>
        </w:trPr>
        <w:tc>
          <w:tcPr>
            <w:tcW w:w="3106"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项目名称</w:t>
            </w:r>
          </w:p>
        </w:tc>
        <w:tc>
          <w:tcPr>
            <w:tcW w:w="1134"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预算资金</w:t>
            </w:r>
          </w:p>
        </w:tc>
        <w:tc>
          <w:tcPr>
            <w:tcW w:w="1559" w:type="dxa"/>
            <w:vMerge/>
            <w:vAlign w:val="center"/>
          </w:tcPr>
          <w:p w:rsidR="00D12B85" w:rsidRDefault="00D12B85">
            <w:pPr>
              <w:spacing w:line="300" w:lineRule="exact"/>
              <w:jc w:val="left"/>
              <w:outlineLvl w:val="0"/>
              <w:rPr>
                <w:rFonts w:ascii="Times New Roman" w:eastAsia="方正仿宋_GBK" w:cs="Times New Roman"/>
                <w:sz w:val="28"/>
                <w:szCs w:val="28"/>
              </w:rPr>
            </w:pPr>
          </w:p>
        </w:tc>
        <w:tc>
          <w:tcPr>
            <w:tcW w:w="1417" w:type="dxa"/>
            <w:vMerge/>
            <w:vAlign w:val="center"/>
          </w:tcPr>
          <w:p w:rsidR="00D12B85" w:rsidRDefault="00D12B85">
            <w:pPr>
              <w:spacing w:line="300" w:lineRule="exact"/>
              <w:jc w:val="left"/>
              <w:outlineLvl w:val="0"/>
              <w:rPr>
                <w:rFonts w:ascii="Times New Roman" w:eastAsia="方正仿宋_GBK" w:cs="Times New Roman"/>
                <w:sz w:val="28"/>
                <w:szCs w:val="28"/>
              </w:rPr>
            </w:pPr>
          </w:p>
        </w:tc>
        <w:tc>
          <w:tcPr>
            <w:tcW w:w="709" w:type="dxa"/>
            <w:vMerge/>
            <w:vAlign w:val="center"/>
          </w:tcPr>
          <w:p w:rsidR="00D12B85" w:rsidRDefault="00D12B85">
            <w:pPr>
              <w:spacing w:line="300" w:lineRule="exact"/>
              <w:jc w:val="left"/>
              <w:outlineLvl w:val="0"/>
              <w:rPr>
                <w:rFonts w:ascii="Times New Roman" w:eastAsia="方正仿宋_GBK" w:cs="Times New Roman"/>
                <w:sz w:val="28"/>
                <w:szCs w:val="28"/>
              </w:rPr>
            </w:pPr>
          </w:p>
        </w:tc>
        <w:tc>
          <w:tcPr>
            <w:tcW w:w="851" w:type="dxa"/>
            <w:vMerge/>
            <w:vAlign w:val="center"/>
          </w:tcPr>
          <w:p w:rsidR="00D12B85" w:rsidRDefault="00D12B85">
            <w:pPr>
              <w:spacing w:line="300" w:lineRule="exact"/>
              <w:jc w:val="left"/>
              <w:outlineLvl w:val="0"/>
              <w:rPr>
                <w:rFonts w:ascii="Times New Roman" w:eastAsia="方正仿宋_GBK" w:cs="Times New Roman"/>
                <w:sz w:val="28"/>
                <w:szCs w:val="28"/>
              </w:rPr>
            </w:pPr>
          </w:p>
        </w:tc>
        <w:tc>
          <w:tcPr>
            <w:tcW w:w="992" w:type="dxa"/>
            <w:vMerge/>
            <w:vAlign w:val="center"/>
          </w:tcPr>
          <w:p w:rsidR="00D12B85" w:rsidRDefault="00D12B85">
            <w:pPr>
              <w:spacing w:line="300" w:lineRule="exact"/>
              <w:jc w:val="left"/>
              <w:outlineLvl w:val="0"/>
              <w:rPr>
                <w:rFonts w:ascii="Times New Roman" w:eastAsia="方正仿宋_GBK" w:cs="Times New Roman"/>
                <w:sz w:val="28"/>
                <w:szCs w:val="28"/>
              </w:rPr>
            </w:pPr>
          </w:p>
        </w:tc>
        <w:tc>
          <w:tcPr>
            <w:tcW w:w="992"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合计</w:t>
            </w:r>
          </w:p>
        </w:tc>
        <w:tc>
          <w:tcPr>
            <w:tcW w:w="992"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一般公共预算拨款</w:t>
            </w:r>
          </w:p>
        </w:tc>
        <w:tc>
          <w:tcPr>
            <w:tcW w:w="993"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基金预算拨款</w:t>
            </w:r>
          </w:p>
        </w:tc>
        <w:tc>
          <w:tcPr>
            <w:tcW w:w="1134"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国有资本经营预算拨款</w:t>
            </w:r>
          </w:p>
        </w:tc>
        <w:tc>
          <w:tcPr>
            <w:tcW w:w="850"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财政专户核拨</w:t>
            </w:r>
          </w:p>
        </w:tc>
        <w:tc>
          <w:tcPr>
            <w:tcW w:w="893"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其他来源收入</w:t>
            </w:r>
          </w:p>
        </w:tc>
      </w:tr>
      <w:tr w:rsidR="00D12B85">
        <w:trPr>
          <w:cantSplit/>
          <w:jc w:val="center"/>
        </w:trPr>
        <w:tc>
          <w:tcPr>
            <w:tcW w:w="3106" w:type="dxa"/>
            <w:vAlign w:val="center"/>
          </w:tcPr>
          <w:p w:rsidR="00D12B85" w:rsidRDefault="0087363F">
            <w:pPr>
              <w:spacing w:line="300" w:lineRule="exact"/>
              <w:jc w:val="center"/>
              <w:rPr>
                <w:rFonts w:ascii="方正书宋_GBK" w:eastAsia="方正书宋_GBK" w:cs="Times New Roman"/>
                <w:b/>
                <w:bCs/>
              </w:rPr>
            </w:pPr>
            <w:r>
              <w:rPr>
                <w:rFonts w:ascii="方正书宋_GBK" w:eastAsia="方正书宋_GBK" w:cs="方正书宋_GBK" w:hint="eastAsia"/>
                <w:b/>
                <w:bCs/>
              </w:rPr>
              <w:t>合　计</w:t>
            </w:r>
          </w:p>
        </w:tc>
        <w:tc>
          <w:tcPr>
            <w:tcW w:w="1134" w:type="dxa"/>
            <w:vAlign w:val="center"/>
          </w:tcPr>
          <w:p w:rsidR="00D12B85" w:rsidRDefault="00D12B85">
            <w:pPr>
              <w:spacing w:line="300" w:lineRule="exact"/>
              <w:jc w:val="right"/>
              <w:rPr>
                <w:rFonts w:ascii="方正书宋_GBK" w:eastAsia="方正书宋_GBK" w:cs="Times New Roman"/>
                <w:b/>
                <w:bCs/>
              </w:rPr>
            </w:pPr>
          </w:p>
        </w:tc>
        <w:tc>
          <w:tcPr>
            <w:tcW w:w="1559" w:type="dxa"/>
            <w:vAlign w:val="center"/>
          </w:tcPr>
          <w:p w:rsidR="00D12B85" w:rsidRDefault="00D12B85">
            <w:pPr>
              <w:spacing w:line="300" w:lineRule="exact"/>
              <w:jc w:val="left"/>
              <w:rPr>
                <w:rFonts w:ascii="方正书宋_GBK" w:eastAsia="方正书宋_GBK" w:cs="Times New Roman"/>
                <w:b/>
                <w:bCs/>
              </w:rPr>
            </w:pPr>
          </w:p>
        </w:tc>
        <w:tc>
          <w:tcPr>
            <w:tcW w:w="1417" w:type="dxa"/>
            <w:vAlign w:val="center"/>
          </w:tcPr>
          <w:p w:rsidR="00D12B85" w:rsidRDefault="00D12B85">
            <w:pPr>
              <w:spacing w:line="300" w:lineRule="exact"/>
              <w:jc w:val="left"/>
              <w:rPr>
                <w:rFonts w:ascii="方正书宋_GBK" w:eastAsia="方正书宋_GBK" w:cs="Times New Roman"/>
                <w:b/>
                <w:bCs/>
              </w:rPr>
            </w:pPr>
          </w:p>
        </w:tc>
        <w:tc>
          <w:tcPr>
            <w:tcW w:w="709" w:type="dxa"/>
            <w:vAlign w:val="center"/>
          </w:tcPr>
          <w:p w:rsidR="00D12B85" w:rsidRDefault="00D12B85">
            <w:pPr>
              <w:spacing w:line="300" w:lineRule="exact"/>
              <w:jc w:val="left"/>
              <w:rPr>
                <w:rFonts w:ascii="方正书宋_GBK" w:eastAsia="方正书宋_GBK" w:cs="Times New Roman"/>
                <w:b/>
                <w:bCs/>
              </w:rPr>
            </w:pPr>
          </w:p>
        </w:tc>
        <w:tc>
          <w:tcPr>
            <w:tcW w:w="851" w:type="dxa"/>
            <w:vAlign w:val="center"/>
          </w:tcPr>
          <w:p w:rsidR="00D12B85" w:rsidRDefault="00D12B85">
            <w:pPr>
              <w:spacing w:line="300" w:lineRule="exact"/>
              <w:jc w:val="right"/>
              <w:rPr>
                <w:rFonts w:ascii="方正书宋_GBK" w:eastAsia="方正书宋_GBK" w:cs="Times New Roman"/>
                <w:b/>
                <w:bCs/>
              </w:rPr>
            </w:pPr>
          </w:p>
        </w:tc>
        <w:tc>
          <w:tcPr>
            <w:tcW w:w="992" w:type="dxa"/>
            <w:vAlign w:val="center"/>
          </w:tcPr>
          <w:p w:rsidR="00D12B85" w:rsidRDefault="00D12B85">
            <w:pPr>
              <w:spacing w:line="300" w:lineRule="exact"/>
              <w:jc w:val="right"/>
              <w:rPr>
                <w:rFonts w:ascii="方正书宋_GBK" w:eastAsia="方正书宋_GBK" w:cs="Times New Roman"/>
                <w:b/>
                <w:bCs/>
              </w:rPr>
            </w:pPr>
          </w:p>
        </w:tc>
        <w:tc>
          <w:tcPr>
            <w:tcW w:w="992" w:type="dxa"/>
            <w:vAlign w:val="center"/>
          </w:tcPr>
          <w:p w:rsidR="00D12B85" w:rsidRDefault="00D12B85">
            <w:pPr>
              <w:adjustRightInd w:val="0"/>
              <w:snapToGrid w:val="0"/>
              <w:jc w:val="right"/>
              <w:rPr>
                <w:rFonts w:ascii="方正书宋_GBK" w:eastAsia="方正书宋_GBK" w:hAnsi="宋体" w:cs="Times New Roman"/>
                <w:b/>
                <w:bCs/>
                <w:color w:val="000000"/>
              </w:rPr>
            </w:pPr>
          </w:p>
        </w:tc>
        <w:tc>
          <w:tcPr>
            <w:tcW w:w="992" w:type="dxa"/>
            <w:vAlign w:val="center"/>
          </w:tcPr>
          <w:p w:rsidR="00D12B85" w:rsidRDefault="00D12B85">
            <w:pPr>
              <w:adjustRightInd w:val="0"/>
              <w:snapToGrid w:val="0"/>
              <w:jc w:val="right"/>
              <w:rPr>
                <w:rFonts w:ascii="方正书宋_GBK" w:eastAsia="方正书宋_GBK" w:hAnsi="宋体" w:cs="Times New Roman"/>
                <w:b/>
                <w:bCs/>
                <w:color w:val="000000"/>
              </w:rPr>
            </w:pPr>
          </w:p>
        </w:tc>
        <w:tc>
          <w:tcPr>
            <w:tcW w:w="993" w:type="dxa"/>
            <w:vAlign w:val="center"/>
          </w:tcPr>
          <w:p w:rsidR="00D12B85" w:rsidRDefault="00D12B85">
            <w:pPr>
              <w:spacing w:line="300" w:lineRule="exact"/>
              <w:jc w:val="right"/>
              <w:rPr>
                <w:rFonts w:ascii="方正书宋_GBK" w:eastAsia="方正书宋_GBK" w:cs="Times New Roman"/>
                <w:b/>
                <w:bCs/>
              </w:rPr>
            </w:pPr>
          </w:p>
        </w:tc>
        <w:tc>
          <w:tcPr>
            <w:tcW w:w="1134" w:type="dxa"/>
            <w:vAlign w:val="center"/>
          </w:tcPr>
          <w:p w:rsidR="00D12B85" w:rsidRDefault="00D12B85">
            <w:pPr>
              <w:spacing w:line="300" w:lineRule="exact"/>
              <w:jc w:val="right"/>
              <w:rPr>
                <w:rFonts w:ascii="方正书宋_GBK" w:eastAsia="方正书宋_GBK" w:cs="Times New Roman"/>
                <w:b/>
                <w:bCs/>
              </w:rPr>
            </w:pPr>
          </w:p>
        </w:tc>
        <w:tc>
          <w:tcPr>
            <w:tcW w:w="850" w:type="dxa"/>
            <w:vAlign w:val="center"/>
          </w:tcPr>
          <w:p w:rsidR="00D12B85" w:rsidRDefault="00D12B85">
            <w:pPr>
              <w:spacing w:line="300" w:lineRule="exact"/>
              <w:jc w:val="right"/>
              <w:rPr>
                <w:rFonts w:ascii="方正书宋_GBK" w:eastAsia="方正书宋_GBK" w:cs="Times New Roman"/>
                <w:b/>
                <w:bCs/>
              </w:rPr>
            </w:pPr>
          </w:p>
        </w:tc>
        <w:tc>
          <w:tcPr>
            <w:tcW w:w="893" w:type="dxa"/>
            <w:vAlign w:val="center"/>
          </w:tcPr>
          <w:p w:rsidR="00D12B85" w:rsidRDefault="00D12B85">
            <w:pPr>
              <w:spacing w:line="300" w:lineRule="exact"/>
              <w:jc w:val="right"/>
              <w:rPr>
                <w:rFonts w:ascii="方正书宋_GBK" w:eastAsia="方正书宋_GBK" w:cs="Times New Roman"/>
                <w:b/>
                <w:bCs/>
              </w:rPr>
            </w:pPr>
          </w:p>
        </w:tc>
      </w:tr>
      <w:tr w:rsidR="00D12B85">
        <w:trPr>
          <w:cantSplit/>
          <w:jc w:val="center"/>
        </w:trPr>
        <w:tc>
          <w:tcPr>
            <w:tcW w:w="3106" w:type="dxa"/>
            <w:vAlign w:val="center"/>
          </w:tcPr>
          <w:p w:rsidR="00D12B85" w:rsidRDefault="00D12B85">
            <w:pPr>
              <w:spacing w:line="300" w:lineRule="exact"/>
              <w:jc w:val="center"/>
              <w:rPr>
                <w:rFonts w:ascii="方正书宋_GBK" w:eastAsia="方正书宋_GBK" w:cs="Times New Roman"/>
                <w:b/>
                <w:bCs/>
              </w:rPr>
            </w:pPr>
          </w:p>
        </w:tc>
        <w:tc>
          <w:tcPr>
            <w:tcW w:w="1134" w:type="dxa"/>
            <w:vAlign w:val="center"/>
          </w:tcPr>
          <w:p w:rsidR="00D12B85" w:rsidRDefault="00D12B85">
            <w:pPr>
              <w:spacing w:line="300" w:lineRule="exact"/>
              <w:jc w:val="right"/>
              <w:rPr>
                <w:rFonts w:ascii="方正书宋_GBK" w:eastAsia="方正书宋_GBK" w:cs="Times New Roman"/>
                <w:b/>
                <w:bCs/>
              </w:rPr>
            </w:pPr>
          </w:p>
        </w:tc>
        <w:tc>
          <w:tcPr>
            <w:tcW w:w="1559" w:type="dxa"/>
            <w:vAlign w:val="center"/>
          </w:tcPr>
          <w:p w:rsidR="00D12B85" w:rsidRDefault="00D12B85">
            <w:pPr>
              <w:spacing w:line="300" w:lineRule="exact"/>
              <w:jc w:val="left"/>
              <w:rPr>
                <w:rFonts w:ascii="方正书宋_GBK" w:eastAsia="方正书宋_GBK" w:cs="Times New Roman"/>
                <w:b/>
                <w:bCs/>
              </w:rPr>
            </w:pPr>
          </w:p>
        </w:tc>
        <w:tc>
          <w:tcPr>
            <w:tcW w:w="1417" w:type="dxa"/>
            <w:vAlign w:val="center"/>
          </w:tcPr>
          <w:p w:rsidR="00D12B85" w:rsidRDefault="00D12B85">
            <w:pPr>
              <w:spacing w:line="300" w:lineRule="exact"/>
              <w:jc w:val="left"/>
              <w:rPr>
                <w:rFonts w:ascii="方正书宋_GBK" w:eastAsia="方正书宋_GBK" w:cs="Times New Roman"/>
                <w:b/>
                <w:bCs/>
              </w:rPr>
            </w:pPr>
          </w:p>
        </w:tc>
        <w:tc>
          <w:tcPr>
            <w:tcW w:w="709" w:type="dxa"/>
            <w:vAlign w:val="center"/>
          </w:tcPr>
          <w:p w:rsidR="00D12B85" w:rsidRDefault="00D12B85">
            <w:pPr>
              <w:spacing w:line="300" w:lineRule="exact"/>
              <w:jc w:val="left"/>
              <w:rPr>
                <w:rFonts w:ascii="方正书宋_GBK" w:eastAsia="方正书宋_GBK" w:cs="Times New Roman"/>
                <w:b/>
                <w:bCs/>
              </w:rPr>
            </w:pPr>
          </w:p>
        </w:tc>
        <w:tc>
          <w:tcPr>
            <w:tcW w:w="851" w:type="dxa"/>
            <w:vAlign w:val="center"/>
          </w:tcPr>
          <w:p w:rsidR="00D12B85" w:rsidRDefault="00D12B85">
            <w:pPr>
              <w:spacing w:line="300" w:lineRule="exact"/>
              <w:jc w:val="right"/>
              <w:rPr>
                <w:rFonts w:ascii="方正书宋_GBK" w:eastAsia="方正书宋_GBK" w:cs="Times New Roman"/>
                <w:b/>
                <w:bCs/>
              </w:rPr>
            </w:pPr>
          </w:p>
        </w:tc>
        <w:tc>
          <w:tcPr>
            <w:tcW w:w="992" w:type="dxa"/>
            <w:vAlign w:val="center"/>
          </w:tcPr>
          <w:p w:rsidR="00D12B85" w:rsidRDefault="00D12B85">
            <w:pPr>
              <w:spacing w:line="300" w:lineRule="exact"/>
              <w:jc w:val="right"/>
              <w:rPr>
                <w:rFonts w:ascii="方正书宋_GBK" w:eastAsia="方正书宋_GBK" w:cs="Times New Roman"/>
                <w:b/>
                <w:bCs/>
              </w:rPr>
            </w:pPr>
          </w:p>
        </w:tc>
        <w:tc>
          <w:tcPr>
            <w:tcW w:w="992" w:type="dxa"/>
            <w:vAlign w:val="center"/>
          </w:tcPr>
          <w:p w:rsidR="00D12B85" w:rsidRDefault="00D12B85">
            <w:pPr>
              <w:adjustRightInd w:val="0"/>
              <w:snapToGrid w:val="0"/>
              <w:jc w:val="right"/>
              <w:rPr>
                <w:rFonts w:ascii="方正书宋_GBK" w:eastAsia="方正书宋_GBK" w:hAnsi="宋体" w:cs="Times New Roman"/>
                <w:b/>
                <w:bCs/>
                <w:color w:val="000000"/>
              </w:rPr>
            </w:pPr>
          </w:p>
        </w:tc>
        <w:tc>
          <w:tcPr>
            <w:tcW w:w="992" w:type="dxa"/>
            <w:vAlign w:val="center"/>
          </w:tcPr>
          <w:p w:rsidR="00D12B85" w:rsidRDefault="00D12B85">
            <w:pPr>
              <w:adjustRightInd w:val="0"/>
              <w:snapToGrid w:val="0"/>
              <w:jc w:val="right"/>
              <w:rPr>
                <w:rFonts w:ascii="方正书宋_GBK" w:eastAsia="方正书宋_GBK" w:hAnsi="宋体" w:cs="Times New Roman"/>
                <w:b/>
                <w:bCs/>
                <w:color w:val="000000"/>
              </w:rPr>
            </w:pPr>
          </w:p>
        </w:tc>
        <w:tc>
          <w:tcPr>
            <w:tcW w:w="993" w:type="dxa"/>
            <w:vAlign w:val="center"/>
          </w:tcPr>
          <w:p w:rsidR="00D12B85" w:rsidRDefault="00D12B85">
            <w:pPr>
              <w:spacing w:line="300" w:lineRule="exact"/>
              <w:jc w:val="right"/>
              <w:rPr>
                <w:rFonts w:ascii="方正书宋_GBK" w:eastAsia="方正书宋_GBK" w:cs="Times New Roman"/>
                <w:b/>
                <w:bCs/>
              </w:rPr>
            </w:pPr>
          </w:p>
        </w:tc>
        <w:tc>
          <w:tcPr>
            <w:tcW w:w="1134" w:type="dxa"/>
            <w:vAlign w:val="center"/>
          </w:tcPr>
          <w:p w:rsidR="00D12B85" w:rsidRDefault="00D12B85">
            <w:pPr>
              <w:spacing w:line="300" w:lineRule="exact"/>
              <w:jc w:val="right"/>
              <w:rPr>
                <w:rFonts w:ascii="方正书宋_GBK" w:eastAsia="方正书宋_GBK" w:cs="Times New Roman"/>
                <w:b/>
                <w:bCs/>
              </w:rPr>
            </w:pPr>
          </w:p>
        </w:tc>
        <w:tc>
          <w:tcPr>
            <w:tcW w:w="850" w:type="dxa"/>
            <w:vAlign w:val="center"/>
          </w:tcPr>
          <w:p w:rsidR="00D12B85" w:rsidRDefault="00D12B85">
            <w:pPr>
              <w:spacing w:line="300" w:lineRule="exact"/>
              <w:jc w:val="right"/>
              <w:rPr>
                <w:rFonts w:ascii="方正书宋_GBK" w:eastAsia="方正书宋_GBK" w:cs="Times New Roman"/>
                <w:b/>
                <w:bCs/>
              </w:rPr>
            </w:pPr>
          </w:p>
        </w:tc>
        <w:tc>
          <w:tcPr>
            <w:tcW w:w="893" w:type="dxa"/>
            <w:vAlign w:val="center"/>
          </w:tcPr>
          <w:p w:rsidR="00D12B85" w:rsidRDefault="00D12B85">
            <w:pPr>
              <w:spacing w:line="300" w:lineRule="exact"/>
              <w:jc w:val="right"/>
              <w:rPr>
                <w:rFonts w:ascii="方正书宋_GBK" w:eastAsia="方正书宋_GBK" w:cs="Times New Roman"/>
                <w:b/>
                <w:bCs/>
              </w:rPr>
            </w:pPr>
          </w:p>
        </w:tc>
      </w:tr>
      <w:tr w:rsidR="00D12B85">
        <w:trPr>
          <w:cantSplit/>
          <w:jc w:val="center"/>
        </w:trPr>
        <w:tc>
          <w:tcPr>
            <w:tcW w:w="3106" w:type="dxa"/>
            <w:vAlign w:val="center"/>
          </w:tcPr>
          <w:p w:rsidR="00D12B85" w:rsidRDefault="00D12B85">
            <w:pPr>
              <w:spacing w:line="300" w:lineRule="exact"/>
              <w:jc w:val="left"/>
              <w:rPr>
                <w:rFonts w:ascii="方正书宋_GBK" w:eastAsia="方正书宋_GBK" w:cs="Times New Roman"/>
              </w:rPr>
            </w:pPr>
          </w:p>
        </w:tc>
        <w:tc>
          <w:tcPr>
            <w:tcW w:w="1134" w:type="dxa"/>
            <w:vAlign w:val="center"/>
          </w:tcPr>
          <w:p w:rsidR="00D12B85" w:rsidRDefault="00D12B85">
            <w:pPr>
              <w:spacing w:line="300" w:lineRule="exact"/>
              <w:ind w:right="210"/>
              <w:jc w:val="right"/>
              <w:rPr>
                <w:rFonts w:ascii="方正书宋_GBK" w:eastAsia="方正书宋_GBK" w:cs="Times New Roman"/>
              </w:rPr>
            </w:pPr>
          </w:p>
        </w:tc>
        <w:tc>
          <w:tcPr>
            <w:tcW w:w="1559" w:type="dxa"/>
            <w:vAlign w:val="center"/>
          </w:tcPr>
          <w:p w:rsidR="00D12B85" w:rsidRDefault="00D12B85">
            <w:pPr>
              <w:spacing w:line="300" w:lineRule="exact"/>
              <w:jc w:val="left"/>
              <w:rPr>
                <w:rFonts w:ascii="方正书宋_GBK" w:eastAsia="方正书宋_GBK" w:cs="Times New Roman"/>
              </w:rPr>
            </w:pPr>
          </w:p>
        </w:tc>
        <w:tc>
          <w:tcPr>
            <w:tcW w:w="1417" w:type="dxa"/>
            <w:vAlign w:val="center"/>
          </w:tcPr>
          <w:p w:rsidR="00D12B85" w:rsidRDefault="00D12B85">
            <w:pPr>
              <w:spacing w:line="300" w:lineRule="exact"/>
              <w:jc w:val="left"/>
              <w:rPr>
                <w:rFonts w:ascii="方正书宋_GBK" w:eastAsia="方正书宋_GBK" w:cs="Times New Roman"/>
              </w:rPr>
            </w:pPr>
          </w:p>
        </w:tc>
        <w:tc>
          <w:tcPr>
            <w:tcW w:w="709" w:type="dxa"/>
            <w:vAlign w:val="center"/>
          </w:tcPr>
          <w:p w:rsidR="00D12B85" w:rsidRDefault="00D12B85">
            <w:pPr>
              <w:spacing w:line="300" w:lineRule="exact"/>
              <w:jc w:val="left"/>
              <w:rPr>
                <w:rFonts w:ascii="方正书宋_GBK" w:eastAsia="方正书宋_GBK" w:cs="Times New Roman"/>
              </w:rPr>
            </w:pPr>
          </w:p>
        </w:tc>
        <w:tc>
          <w:tcPr>
            <w:tcW w:w="851" w:type="dxa"/>
            <w:vAlign w:val="center"/>
          </w:tcPr>
          <w:p w:rsidR="00D12B85" w:rsidRDefault="0087363F">
            <w:pPr>
              <w:spacing w:line="300" w:lineRule="exact"/>
              <w:jc w:val="right"/>
              <w:rPr>
                <w:rFonts w:ascii="方正书宋_GBK" w:eastAsia="方正书宋_GBK" w:cs="方正书宋_GBK"/>
              </w:rPr>
            </w:pPr>
            <w:r>
              <w:rPr>
                <w:rFonts w:ascii="方正书宋_GBK" w:eastAsia="方正书宋_GBK" w:cs="方正书宋_GBK"/>
              </w:rPr>
              <w:t>0</w:t>
            </w:r>
          </w:p>
        </w:tc>
        <w:tc>
          <w:tcPr>
            <w:tcW w:w="992" w:type="dxa"/>
            <w:vAlign w:val="center"/>
          </w:tcPr>
          <w:p w:rsidR="00D12B85" w:rsidRDefault="00D12B85">
            <w:pPr>
              <w:spacing w:line="300" w:lineRule="exact"/>
              <w:jc w:val="right"/>
              <w:rPr>
                <w:rFonts w:ascii="方正书宋_GBK" w:eastAsia="方正书宋_GBK" w:cs="方正书宋_GBK"/>
              </w:rPr>
            </w:pPr>
          </w:p>
        </w:tc>
        <w:tc>
          <w:tcPr>
            <w:tcW w:w="992" w:type="dxa"/>
            <w:vAlign w:val="center"/>
          </w:tcPr>
          <w:p w:rsidR="00D12B85" w:rsidRDefault="00D12B85">
            <w:pPr>
              <w:spacing w:line="300" w:lineRule="exact"/>
              <w:jc w:val="right"/>
              <w:rPr>
                <w:rFonts w:ascii="方正书宋_GBK" w:eastAsia="方正书宋_GBK" w:cs="方正书宋_GBK"/>
              </w:rPr>
            </w:pPr>
          </w:p>
        </w:tc>
        <w:tc>
          <w:tcPr>
            <w:tcW w:w="992" w:type="dxa"/>
            <w:vAlign w:val="center"/>
          </w:tcPr>
          <w:p w:rsidR="00D12B85" w:rsidRDefault="00D12B85">
            <w:pPr>
              <w:spacing w:line="300" w:lineRule="exact"/>
              <w:jc w:val="right"/>
              <w:rPr>
                <w:rFonts w:ascii="方正书宋_GBK" w:eastAsia="方正书宋_GBK" w:cs="Times New Roman"/>
              </w:rPr>
            </w:pPr>
          </w:p>
        </w:tc>
        <w:tc>
          <w:tcPr>
            <w:tcW w:w="993" w:type="dxa"/>
            <w:vAlign w:val="center"/>
          </w:tcPr>
          <w:p w:rsidR="00D12B85" w:rsidRDefault="00D12B85">
            <w:pPr>
              <w:spacing w:line="300" w:lineRule="exact"/>
              <w:jc w:val="right"/>
              <w:rPr>
                <w:rFonts w:ascii="方正书宋_GBK" w:eastAsia="方正书宋_GBK" w:cs="Times New Roman"/>
              </w:rPr>
            </w:pPr>
          </w:p>
        </w:tc>
        <w:tc>
          <w:tcPr>
            <w:tcW w:w="1134" w:type="dxa"/>
            <w:vAlign w:val="center"/>
          </w:tcPr>
          <w:p w:rsidR="00D12B85" w:rsidRDefault="00D12B85">
            <w:pPr>
              <w:spacing w:line="300" w:lineRule="exact"/>
              <w:jc w:val="right"/>
              <w:rPr>
                <w:rFonts w:ascii="方正书宋_GBK" w:eastAsia="方正书宋_GBK" w:cs="Times New Roman"/>
              </w:rPr>
            </w:pPr>
          </w:p>
        </w:tc>
        <w:tc>
          <w:tcPr>
            <w:tcW w:w="850" w:type="dxa"/>
            <w:vAlign w:val="center"/>
          </w:tcPr>
          <w:p w:rsidR="00D12B85" w:rsidRDefault="00D12B85">
            <w:pPr>
              <w:spacing w:line="300" w:lineRule="exact"/>
              <w:jc w:val="right"/>
              <w:rPr>
                <w:rFonts w:ascii="方正书宋_GBK" w:eastAsia="方正书宋_GBK" w:cs="Times New Roman"/>
              </w:rPr>
            </w:pPr>
          </w:p>
        </w:tc>
        <w:tc>
          <w:tcPr>
            <w:tcW w:w="893" w:type="dxa"/>
            <w:vAlign w:val="center"/>
          </w:tcPr>
          <w:p w:rsidR="00D12B85" w:rsidRDefault="00D12B85">
            <w:pPr>
              <w:spacing w:line="300" w:lineRule="exact"/>
              <w:jc w:val="right"/>
              <w:rPr>
                <w:rFonts w:ascii="方正书宋_GBK" w:eastAsia="方正书宋_GBK" w:cs="Times New Roman"/>
              </w:rPr>
            </w:pPr>
          </w:p>
        </w:tc>
      </w:tr>
    </w:tbl>
    <w:p w:rsidR="00D12B85" w:rsidRDefault="0087363F">
      <w:pPr>
        <w:autoSpaceDE w:val="0"/>
        <w:autoSpaceDN w:val="0"/>
        <w:adjustRightInd w:val="0"/>
        <w:ind w:firstLineChars="200" w:firstLine="480"/>
        <w:jc w:val="left"/>
        <w:rPr>
          <w:rFonts w:ascii="仿宋" w:eastAsia="仿宋" w:hAnsi="仿宋" w:cs="仿宋"/>
          <w:sz w:val="24"/>
          <w:szCs w:val="24"/>
        </w:rPr>
      </w:pPr>
      <w:r>
        <w:rPr>
          <w:rFonts w:ascii="仿宋" w:eastAsia="仿宋" w:hAnsi="仿宋" w:cs="仿宋" w:hint="eastAsia"/>
          <w:sz w:val="24"/>
          <w:szCs w:val="24"/>
        </w:rPr>
        <w:t>注明：无政府采购预算，空表列式。</w:t>
      </w:r>
    </w:p>
    <w:p w:rsidR="00D12B85" w:rsidRDefault="0087363F">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七、国有资产信息</w:t>
      </w:r>
    </w:p>
    <w:p w:rsidR="00D12B85" w:rsidRDefault="0087363F">
      <w:pPr>
        <w:ind w:firstLine="640"/>
        <w:rPr>
          <w:rFonts w:ascii="Times New Roman" w:eastAsia="仿宋" w:hAnsi="Times New Roman" w:cs="Times New Roman"/>
          <w:color w:val="000000"/>
          <w:sz w:val="32"/>
          <w:szCs w:val="32"/>
        </w:rPr>
      </w:pPr>
      <w:r>
        <w:rPr>
          <w:rFonts w:ascii="仿宋" w:eastAsia="仿宋" w:hAnsi="仿宋" w:cs="仿宋" w:hint="eastAsia"/>
          <w:sz w:val="32"/>
          <w:szCs w:val="32"/>
        </w:rPr>
        <w:t>我部门上年</w:t>
      </w:r>
      <w:r>
        <w:rPr>
          <w:rFonts w:ascii="Times New Roman" w:eastAsia="仿宋" w:hAnsi="Times New Roman" w:cs="仿宋" w:hint="eastAsia"/>
          <w:color w:val="000000"/>
          <w:sz w:val="32"/>
          <w:szCs w:val="32"/>
        </w:rPr>
        <w:t>末固定资产金额为</w:t>
      </w:r>
      <w:r>
        <w:rPr>
          <w:rFonts w:ascii="Times New Roman" w:eastAsia="仿宋" w:hAnsi="Times New Roman" w:cs="Times New Roman"/>
          <w:color w:val="000000"/>
          <w:sz w:val="32"/>
          <w:szCs w:val="32"/>
        </w:rPr>
        <w:t>131.77</w:t>
      </w:r>
      <w:r>
        <w:rPr>
          <w:rFonts w:ascii="Times New Roman" w:eastAsia="仿宋" w:hAnsi="Times New Roman" w:cs="仿宋" w:hint="eastAsia"/>
          <w:color w:val="000000"/>
          <w:sz w:val="32"/>
          <w:szCs w:val="32"/>
        </w:rPr>
        <w:t>万元，本年度各单位（处室）拟购置固定资产总额为</w:t>
      </w:r>
      <w:r>
        <w:rPr>
          <w:rFonts w:ascii="Times New Roman" w:eastAsia="仿宋" w:hAnsi="Times New Roman" w:cs="Times New Roman"/>
          <w:color w:val="000000"/>
          <w:sz w:val="32"/>
          <w:szCs w:val="32"/>
        </w:rPr>
        <w:t>0</w:t>
      </w:r>
      <w:r>
        <w:rPr>
          <w:rFonts w:ascii="Times New Roman" w:eastAsia="仿宋" w:hAnsi="Times New Roman" w:cs="仿宋" w:hint="eastAsia"/>
          <w:color w:val="000000"/>
          <w:sz w:val="32"/>
          <w:szCs w:val="32"/>
        </w:rPr>
        <w:t>万元。（详见下表）。</w:t>
      </w:r>
    </w:p>
    <w:tbl>
      <w:tblPr>
        <w:tblW w:w="13482" w:type="dxa"/>
        <w:tblInd w:w="-106" w:type="dxa"/>
        <w:tblLayout w:type="fixed"/>
        <w:tblLook w:val="04A0" w:firstRow="1" w:lastRow="0" w:firstColumn="1" w:lastColumn="0" w:noHBand="0" w:noVBand="1"/>
      </w:tblPr>
      <w:tblGrid>
        <w:gridCol w:w="5224"/>
        <w:gridCol w:w="3155"/>
        <w:gridCol w:w="5103"/>
      </w:tblGrid>
      <w:tr w:rsidR="00D12B85">
        <w:trPr>
          <w:trHeight w:val="705"/>
        </w:trPr>
        <w:tc>
          <w:tcPr>
            <w:tcW w:w="13482" w:type="dxa"/>
            <w:gridSpan w:val="3"/>
            <w:tcBorders>
              <w:top w:val="nil"/>
              <w:left w:val="nil"/>
              <w:bottom w:val="nil"/>
              <w:right w:val="nil"/>
            </w:tcBorders>
            <w:vAlign w:val="center"/>
          </w:tcPr>
          <w:p w:rsidR="00D12B85" w:rsidRDefault="0087363F">
            <w:pPr>
              <w:widowControl/>
              <w:jc w:val="center"/>
              <w:rPr>
                <w:rFonts w:ascii="宋体" w:cs="Times New Roman"/>
                <w:b/>
                <w:bCs/>
                <w:kern w:val="0"/>
                <w:sz w:val="32"/>
                <w:szCs w:val="32"/>
              </w:rPr>
            </w:pPr>
            <w:r>
              <w:rPr>
                <w:rFonts w:ascii="宋体" w:hAnsi="宋体" w:cs="宋体" w:hint="eastAsia"/>
                <w:b/>
                <w:bCs/>
                <w:kern w:val="0"/>
                <w:sz w:val="32"/>
                <w:szCs w:val="32"/>
              </w:rPr>
              <w:t>固定资产占用情况表</w:t>
            </w:r>
          </w:p>
        </w:tc>
      </w:tr>
      <w:tr w:rsidR="00D12B85">
        <w:trPr>
          <w:trHeight w:val="510"/>
        </w:trPr>
        <w:tc>
          <w:tcPr>
            <w:tcW w:w="8379" w:type="dxa"/>
            <w:gridSpan w:val="2"/>
            <w:tcBorders>
              <w:top w:val="nil"/>
              <w:left w:val="nil"/>
              <w:bottom w:val="nil"/>
              <w:right w:val="nil"/>
            </w:tcBorders>
            <w:vAlign w:val="center"/>
          </w:tcPr>
          <w:p w:rsidR="00D12B85" w:rsidRDefault="0087363F">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编制部门：无极县审批局</w:t>
            </w:r>
          </w:p>
        </w:tc>
        <w:tc>
          <w:tcPr>
            <w:tcW w:w="5103" w:type="dxa"/>
            <w:tcBorders>
              <w:top w:val="nil"/>
              <w:left w:val="nil"/>
              <w:bottom w:val="nil"/>
              <w:right w:val="nil"/>
            </w:tcBorders>
            <w:vAlign w:val="center"/>
          </w:tcPr>
          <w:p w:rsidR="00D12B85" w:rsidRDefault="0087363F" w:rsidP="008D3BD9">
            <w:pPr>
              <w:widowControl/>
              <w:ind w:firstLineChars="600" w:firstLine="1320"/>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截止时间：</w:t>
            </w:r>
            <w:r>
              <w:rPr>
                <w:rFonts w:ascii="Times New Roman" w:eastAsia="仿宋" w:hAnsi="Times New Roman" w:cs="Times New Roman"/>
                <w:kern w:val="0"/>
                <w:sz w:val="22"/>
                <w:szCs w:val="22"/>
              </w:rPr>
              <w:t>201</w:t>
            </w:r>
            <w:r w:rsidR="008D3BD9">
              <w:rPr>
                <w:rFonts w:ascii="Times New Roman" w:eastAsia="仿宋" w:hAnsi="Times New Roman" w:cs="Times New Roman" w:hint="eastAsia"/>
                <w:kern w:val="0"/>
                <w:sz w:val="22"/>
                <w:szCs w:val="22"/>
              </w:rPr>
              <w:t>8</w:t>
            </w:r>
            <w:bookmarkStart w:id="7" w:name="_GoBack"/>
            <w:bookmarkEnd w:id="7"/>
            <w:r>
              <w:rPr>
                <w:rFonts w:ascii="Times New Roman" w:eastAsia="仿宋" w:hAnsi="Times New Roman" w:cs="仿宋" w:hint="eastAsia"/>
                <w:kern w:val="0"/>
                <w:sz w:val="22"/>
                <w:szCs w:val="22"/>
              </w:rPr>
              <w:t>年</w:t>
            </w:r>
            <w:r>
              <w:rPr>
                <w:rFonts w:ascii="Times New Roman" w:eastAsia="仿宋" w:hAnsi="Times New Roman" w:cs="Times New Roman"/>
                <w:kern w:val="0"/>
                <w:sz w:val="22"/>
                <w:szCs w:val="22"/>
              </w:rPr>
              <w:t>12</w:t>
            </w:r>
            <w:r>
              <w:rPr>
                <w:rFonts w:ascii="Times New Roman" w:eastAsia="仿宋" w:hAnsi="Times New Roman" w:cs="仿宋" w:hint="eastAsia"/>
                <w:kern w:val="0"/>
                <w:sz w:val="22"/>
                <w:szCs w:val="22"/>
              </w:rPr>
              <w:t>月</w:t>
            </w:r>
            <w:r>
              <w:rPr>
                <w:rFonts w:ascii="Times New Roman" w:eastAsia="仿宋" w:hAnsi="Times New Roman" w:cs="Times New Roman"/>
                <w:kern w:val="0"/>
                <w:sz w:val="22"/>
                <w:szCs w:val="22"/>
              </w:rPr>
              <w:t>31</w:t>
            </w:r>
            <w:r>
              <w:rPr>
                <w:rFonts w:ascii="Times New Roman" w:eastAsia="仿宋" w:hAnsi="Times New Roman" w:cs="仿宋" w:hint="eastAsia"/>
                <w:kern w:val="0"/>
                <w:sz w:val="22"/>
                <w:szCs w:val="22"/>
              </w:rPr>
              <w:t>日</w:t>
            </w:r>
          </w:p>
        </w:tc>
      </w:tr>
      <w:tr w:rsidR="00D12B85">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D12B85" w:rsidRDefault="0087363F">
            <w:pPr>
              <w:widowControl/>
              <w:jc w:val="center"/>
              <w:rPr>
                <w:rFonts w:ascii="宋体" w:cs="Times New Roman"/>
                <w:b/>
                <w:bCs/>
                <w:kern w:val="0"/>
                <w:sz w:val="22"/>
                <w:szCs w:val="22"/>
              </w:rPr>
            </w:pPr>
            <w:r>
              <w:rPr>
                <w:rFonts w:ascii="宋体" w:hAnsi="宋体" w:cs="宋体" w:hint="eastAsia"/>
                <w:b/>
                <w:bCs/>
                <w:kern w:val="0"/>
                <w:sz w:val="22"/>
                <w:szCs w:val="22"/>
              </w:rPr>
              <w:lastRenderedPageBreak/>
              <w:t>项目</w:t>
            </w:r>
          </w:p>
        </w:tc>
        <w:tc>
          <w:tcPr>
            <w:tcW w:w="3155" w:type="dxa"/>
            <w:tcBorders>
              <w:top w:val="single" w:sz="4" w:space="0" w:color="auto"/>
              <w:left w:val="nil"/>
              <w:bottom w:val="single" w:sz="4" w:space="0" w:color="auto"/>
              <w:right w:val="single" w:sz="4" w:space="0" w:color="auto"/>
            </w:tcBorders>
            <w:vAlign w:val="center"/>
          </w:tcPr>
          <w:p w:rsidR="00D12B85" w:rsidRDefault="0087363F">
            <w:pPr>
              <w:widowControl/>
              <w:jc w:val="center"/>
              <w:rPr>
                <w:rFonts w:ascii="宋体" w:cs="Times New Roman"/>
                <w:b/>
                <w:bCs/>
                <w:kern w:val="0"/>
                <w:sz w:val="22"/>
                <w:szCs w:val="22"/>
              </w:rPr>
            </w:pPr>
            <w:r>
              <w:rPr>
                <w:rFonts w:ascii="宋体" w:hAnsi="宋体" w:cs="宋体" w:hint="eastAsia"/>
                <w:b/>
                <w:bCs/>
                <w:kern w:val="0"/>
                <w:sz w:val="22"/>
                <w:szCs w:val="22"/>
              </w:rPr>
              <w:t>数量</w:t>
            </w:r>
          </w:p>
        </w:tc>
        <w:tc>
          <w:tcPr>
            <w:tcW w:w="5103" w:type="dxa"/>
            <w:tcBorders>
              <w:top w:val="single" w:sz="4" w:space="0" w:color="auto"/>
              <w:left w:val="nil"/>
              <w:bottom w:val="single" w:sz="4" w:space="0" w:color="auto"/>
              <w:right w:val="single" w:sz="4" w:space="0" w:color="auto"/>
            </w:tcBorders>
            <w:vAlign w:val="center"/>
          </w:tcPr>
          <w:p w:rsidR="00D12B85" w:rsidRDefault="0087363F">
            <w:pPr>
              <w:widowControl/>
              <w:jc w:val="center"/>
              <w:rPr>
                <w:rFonts w:ascii="宋体" w:cs="Times New Roman"/>
                <w:b/>
                <w:bCs/>
                <w:kern w:val="0"/>
                <w:sz w:val="22"/>
                <w:szCs w:val="22"/>
              </w:rPr>
            </w:pPr>
            <w:r>
              <w:rPr>
                <w:rFonts w:ascii="宋体" w:hAnsi="宋体" w:cs="宋体" w:hint="eastAsia"/>
                <w:b/>
                <w:bCs/>
                <w:kern w:val="0"/>
                <w:sz w:val="22"/>
                <w:szCs w:val="22"/>
              </w:rPr>
              <w:t>价值（金额单位：万元）</w:t>
            </w:r>
          </w:p>
        </w:tc>
      </w:tr>
      <w:tr w:rsidR="00D12B85">
        <w:trPr>
          <w:trHeight w:val="645"/>
        </w:trPr>
        <w:tc>
          <w:tcPr>
            <w:tcW w:w="5224" w:type="dxa"/>
            <w:tcBorders>
              <w:top w:val="nil"/>
              <w:left w:val="single" w:sz="4" w:space="0" w:color="auto"/>
              <w:bottom w:val="single" w:sz="4" w:space="0" w:color="auto"/>
              <w:right w:val="single" w:sz="4" w:space="0" w:color="auto"/>
            </w:tcBorders>
            <w:vAlign w:val="center"/>
          </w:tcPr>
          <w:p w:rsidR="00D12B85" w:rsidRDefault="0087363F">
            <w:pPr>
              <w:widowControl/>
              <w:jc w:val="center"/>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资产总额</w:t>
            </w:r>
          </w:p>
        </w:tc>
        <w:tc>
          <w:tcPr>
            <w:tcW w:w="3155" w:type="dxa"/>
            <w:tcBorders>
              <w:top w:val="nil"/>
              <w:left w:val="nil"/>
              <w:bottom w:val="single" w:sz="4" w:space="0" w:color="auto"/>
              <w:right w:val="single" w:sz="4" w:space="0" w:color="auto"/>
            </w:tcBorders>
            <w:vAlign w:val="center"/>
          </w:tcPr>
          <w:p w:rsidR="00D12B85" w:rsidRDefault="0087363F">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D12B85" w:rsidRDefault="0087363F">
            <w:pPr>
              <w:widowControl/>
              <w:jc w:val="center"/>
              <w:rPr>
                <w:rFonts w:ascii="Times New Roman" w:eastAsia="仿宋" w:hAnsi="Times New Roman" w:cs="Times New Roman"/>
                <w:color w:val="FF0000"/>
                <w:kern w:val="0"/>
                <w:sz w:val="22"/>
                <w:szCs w:val="22"/>
              </w:rPr>
            </w:pPr>
            <w:r>
              <w:rPr>
                <w:rFonts w:ascii="Times New Roman" w:eastAsia="仿宋" w:hAnsi="Times New Roman" w:cs="Times New Roman"/>
                <w:kern w:val="0"/>
                <w:sz w:val="22"/>
                <w:szCs w:val="22"/>
              </w:rPr>
              <w:t>131.77</w:t>
            </w:r>
          </w:p>
        </w:tc>
      </w:tr>
      <w:tr w:rsidR="00D12B85">
        <w:trPr>
          <w:trHeight w:val="645"/>
        </w:trPr>
        <w:tc>
          <w:tcPr>
            <w:tcW w:w="5224" w:type="dxa"/>
            <w:tcBorders>
              <w:top w:val="nil"/>
              <w:left w:val="single" w:sz="4" w:space="0" w:color="auto"/>
              <w:bottom w:val="single" w:sz="4" w:space="0" w:color="auto"/>
              <w:right w:val="single" w:sz="4" w:space="0" w:color="auto"/>
            </w:tcBorders>
            <w:vAlign w:val="center"/>
          </w:tcPr>
          <w:p w:rsidR="00D12B85" w:rsidRDefault="0087363F">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1</w:t>
            </w:r>
            <w:r>
              <w:rPr>
                <w:rFonts w:ascii="Times New Roman" w:eastAsia="仿宋" w:hAnsi="Times New Roman" w:cs="仿宋" w:hint="eastAsia"/>
                <w:kern w:val="0"/>
                <w:sz w:val="22"/>
                <w:szCs w:val="22"/>
              </w:rPr>
              <w:t>、房屋（平方米）</w:t>
            </w:r>
          </w:p>
        </w:tc>
        <w:tc>
          <w:tcPr>
            <w:tcW w:w="3155" w:type="dxa"/>
            <w:tcBorders>
              <w:top w:val="nil"/>
              <w:left w:val="nil"/>
              <w:bottom w:val="single" w:sz="4" w:space="0" w:color="auto"/>
              <w:right w:val="single" w:sz="4" w:space="0" w:color="auto"/>
            </w:tcBorders>
            <w:vAlign w:val="center"/>
          </w:tcPr>
          <w:p w:rsidR="00D12B85" w:rsidRDefault="00D12B85">
            <w:pPr>
              <w:widowControl/>
              <w:jc w:val="center"/>
              <w:rPr>
                <w:rFonts w:ascii="Times New Roman" w:eastAsia="仿宋" w:hAnsi="Times New Roman" w:cs="Times New Roman"/>
                <w:kern w:val="0"/>
                <w:sz w:val="22"/>
                <w:szCs w:val="22"/>
              </w:rPr>
            </w:pPr>
          </w:p>
        </w:tc>
        <w:tc>
          <w:tcPr>
            <w:tcW w:w="5103" w:type="dxa"/>
            <w:tcBorders>
              <w:top w:val="nil"/>
              <w:left w:val="nil"/>
              <w:bottom w:val="single" w:sz="4" w:space="0" w:color="auto"/>
              <w:right w:val="single" w:sz="4" w:space="0" w:color="auto"/>
            </w:tcBorders>
            <w:vAlign w:val="center"/>
          </w:tcPr>
          <w:p w:rsidR="00D12B85" w:rsidRDefault="00D12B85">
            <w:pPr>
              <w:widowControl/>
              <w:jc w:val="center"/>
              <w:rPr>
                <w:rFonts w:ascii="Times New Roman" w:eastAsia="仿宋" w:hAnsi="Times New Roman" w:cs="Times New Roman"/>
                <w:kern w:val="0"/>
                <w:sz w:val="22"/>
                <w:szCs w:val="22"/>
              </w:rPr>
            </w:pPr>
          </w:p>
        </w:tc>
      </w:tr>
      <w:tr w:rsidR="00D12B85">
        <w:trPr>
          <w:trHeight w:val="645"/>
        </w:trPr>
        <w:tc>
          <w:tcPr>
            <w:tcW w:w="5224" w:type="dxa"/>
            <w:tcBorders>
              <w:top w:val="nil"/>
              <w:left w:val="single" w:sz="4" w:space="0" w:color="auto"/>
              <w:bottom w:val="single" w:sz="4" w:space="0" w:color="auto"/>
              <w:right w:val="single" w:sz="4" w:space="0" w:color="auto"/>
            </w:tcBorders>
            <w:vAlign w:val="center"/>
          </w:tcPr>
          <w:p w:rsidR="00D12B85" w:rsidRDefault="0087363F">
            <w:pPr>
              <w:widowControl/>
              <w:jc w:val="left"/>
              <w:rPr>
                <w:rFonts w:ascii="Times New Roman" w:eastAsia="仿宋" w:hAnsi="Times New Roman" w:cs="Times New Roman"/>
                <w:kern w:val="0"/>
                <w:sz w:val="22"/>
                <w:szCs w:val="22"/>
              </w:rPr>
            </w:pPr>
            <w:r>
              <w:rPr>
                <w:rFonts w:ascii="Times New Roman" w:eastAsia="仿宋" w:hAnsi="Times New Roman" w:cs="仿宋" w:hint="eastAsia"/>
                <w:kern w:val="0"/>
                <w:sz w:val="22"/>
                <w:szCs w:val="22"/>
              </w:rPr>
              <w:t>其中：办公用房（平方米）</w:t>
            </w:r>
          </w:p>
        </w:tc>
        <w:tc>
          <w:tcPr>
            <w:tcW w:w="3155" w:type="dxa"/>
            <w:tcBorders>
              <w:top w:val="nil"/>
              <w:left w:val="nil"/>
              <w:bottom w:val="single" w:sz="4" w:space="0" w:color="auto"/>
              <w:right w:val="single" w:sz="4" w:space="0" w:color="auto"/>
            </w:tcBorders>
            <w:vAlign w:val="center"/>
          </w:tcPr>
          <w:p w:rsidR="00D12B85" w:rsidRDefault="00D12B85">
            <w:pPr>
              <w:widowControl/>
              <w:jc w:val="center"/>
              <w:rPr>
                <w:rFonts w:ascii="Times New Roman" w:eastAsia="仿宋" w:hAnsi="Times New Roman" w:cs="Times New Roman"/>
                <w:kern w:val="0"/>
                <w:sz w:val="22"/>
                <w:szCs w:val="22"/>
              </w:rPr>
            </w:pPr>
          </w:p>
        </w:tc>
        <w:tc>
          <w:tcPr>
            <w:tcW w:w="5103" w:type="dxa"/>
            <w:tcBorders>
              <w:top w:val="nil"/>
              <w:left w:val="nil"/>
              <w:bottom w:val="single" w:sz="4" w:space="0" w:color="auto"/>
              <w:right w:val="single" w:sz="4" w:space="0" w:color="auto"/>
            </w:tcBorders>
            <w:vAlign w:val="center"/>
          </w:tcPr>
          <w:p w:rsidR="00D12B85" w:rsidRDefault="00D12B85">
            <w:pPr>
              <w:widowControl/>
              <w:jc w:val="center"/>
              <w:rPr>
                <w:rFonts w:ascii="Times New Roman" w:eastAsia="仿宋" w:hAnsi="Times New Roman" w:cs="Times New Roman"/>
                <w:kern w:val="0"/>
                <w:sz w:val="22"/>
                <w:szCs w:val="22"/>
              </w:rPr>
            </w:pPr>
          </w:p>
        </w:tc>
      </w:tr>
      <w:tr w:rsidR="00D12B85">
        <w:trPr>
          <w:trHeight w:val="645"/>
        </w:trPr>
        <w:tc>
          <w:tcPr>
            <w:tcW w:w="5224" w:type="dxa"/>
            <w:tcBorders>
              <w:top w:val="nil"/>
              <w:left w:val="single" w:sz="4" w:space="0" w:color="auto"/>
              <w:bottom w:val="single" w:sz="4" w:space="0" w:color="auto"/>
              <w:right w:val="single" w:sz="4" w:space="0" w:color="auto"/>
            </w:tcBorders>
            <w:vAlign w:val="center"/>
          </w:tcPr>
          <w:p w:rsidR="00D12B85" w:rsidRDefault="0087363F">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2</w:t>
            </w:r>
            <w:r>
              <w:rPr>
                <w:rFonts w:ascii="Times New Roman" w:eastAsia="仿宋" w:hAnsi="Times New Roman" w:cs="仿宋" w:hint="eastAsia"/>
                <w:kern w:val="0"/>
                <w:sz w:val="22"/>
                <w:szCs w:val="22"/>
              </w:rPr>
              <w:t>、车辆（台、辆）</w:t>
            </w:r>
          </w:p>
        </w:tc>
        <w:tc>
          <w:tcPr>
            <w:tcW w:w="3155" w:type="dxa"/>
            <w:tcBorders>
              <w:top w:val="nil"/>
              <w:left w:val="nil"/>
              <w:bottom w:val="single" w:sz="4" w:space="0" w:color="auto"/>
              <w:right w:val="single" w:sz="4" w:space="0" w:color="auto"/>
            </w:tcBorders>
            <w:vAlign w:val="center"/>
          </w:tcPr>
          <w:p w:rsidR="00D12B85" w:rsidRDefault="0087363F">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1</w:t>
            </w:r>
          </w:p>
        </w:tc>
        <w:tc>
          <w:tcPr>
            <w:tcW w:w="5103" w:type="dxa"/>
            <w:tcBorders>
              <w:top w:val="nil"/>
              <w:left w:val="nil"/>
              <w:bottom w:val="single" w:sz="4" w:space="0" w:color="auto"/>
              <w:right w:val="single" w:sz="4" w:space="0" w:color="auto"/>
            </w:tcBorders>
            <w:vAlign w:val="center"/>
          </w:tcPr>
          <w:p w:rsidR="00D12B85" w:rsidRDefault="0087363F">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9.82</w:t>
            </w:r>
          </w:p>
        </w:tc>
      </w:tr>
      <w:tr w:rsidR="00D12B85">
        <w:trPr>
          <w:trHeight w:val="645"/>
        </w:trPr>
        <w:tc>
          <w:tcPr>
            <w:tcW w:w="5224" w:type="dxa"/>
            <w:tcBorders>
              <w:top w:val="nil"/>
              <w:left w:val="single" w:sz="4" w:space="0" w:color="auto"/>
              <w:bottom w:val="single" w:sz="4" w:space="0" w:color="auto"/>
              <w:right w:val="single" w:sz="4" w:space="0" w:color="auto"/>
            </w:tcBorders>
            <w:vAlign w:val="center"/>
          </w:tcPr>
          <w:p w:rsidR="00D12B85" w:rsidRDefault="0087363F">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3</w:t>
            </w:r>
            <w:r>
              <w:rPr>
                <w:rFonts w:ascii="Times New Roman" w:eastAsia="仿宋" w:hAnsi="Times New Roman" w:cs="仿宋" w:hint="eastAsia"/>
                <w:kern w:val="0"/>
                <w:sz w:val="22"/>
                <w:szCs w:val="22"/>
              </w:rPr>
              <w:t>、单价在</w:t>
            </w:r>
            <w:r>
              <w:rPr>
                <w:rFonts w:ascii="Times New Roman" w:eastAsia="仿宋" w:hAnsi="Times New Roman" w:cs="Times New Roman"/>
                <w:kern w:val="0"/>
                <w:sz w:val="22"/>
                <w:szCs w:val="22"/>
              </w:rPr>
              <w:t>20</w:t>
            </w:r>
            <w:r>
              <w:rPr>
                <w:rFonts w:ascii="Times New Roman" w:eastAsia="仿宋" w:hAnsi="Times New Roman" w:cs="仿宋" w:hint="eastAsia"/>
                <w:kern w:val="0"/>
                <w:sz w:val="22"/>
                <w:szCs w:val="22"/>
              </w:rPr>
              <w:t>万元以上设备</w:t>
            </w:r>
          </w:p>
        </w:tc>
        <w:tc>
          <w:tcPr>
            <w:tcW w:w="3155" w:type="dxa"/>
            <w:tcBorders>
              <w:top w:val="nil"/>
              <w:left w:val="nil"/>
              <w:bottom w:val="single" w:sz="4" w:space="0" w:color="auto"/>
              <w:right w:val="single" w:sz="4" w:space="0" w:color="auto"/>
            </w:tcBorders>
            <w:vAlign w:val="center"/>
          </w:tcPr>
          <w:p w:rsidR="00D12B85" w:rsidRDefault="0087363F">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D12B85" w:rsidRDefault="00D12B85">
            <w:pPr>
              <w:widowControl/>
              <w:jc w:val="center"/>
              <w:rPr>
                <w:rFonts w:ascii="Times New Roman" w:eastAsia="仿宋" w:hAnsi="Times New Roman" w:cs="Times New Roman"/>
                <w:kern w:val="0"/>
                <w:sz w:val="22"/>
                <w:szCs w:val="22"/>
              </w:rPr>
            </w:pPr>
          </w:p>
        </w:tc>
      </w:tr>
      <w:tr w:rsidR="00D12B85">
        <w:trPr>
          <w:trHeight w:val="645"/>
        </w:trPr>
        <w:tc>
          <w:tcPr>
            <w:tcW w:w="5224" w:type="dxa"/>
            <w:tcBorders>
              <w:top w:val="nil"/>
              <w:left w:val="single" w:sz="4" w:space="0" w:color="auto"/>
              <w:bottom w:val="single" w:sz="4" w:space="0" w:color="auto"/>
              <w:right w:val="single" w:sz="4" w:space="0" w:color="auto"/>
            </w:tcBorders>
            <w:vAlign w:val="center"/>
          </w:tcPr>
          <w:p w:rsidR="00D12B85" w:rsidRDefault="0087363F">
            <w:pPr>
              <w:widowControl/>
              <w:jc w:val="left"/>
              <w:rPr>
                <w:rFonts w:ascii="Times New Roman" w:eastAsia="仿宋" w:hAnsi="Times New Roman" w:cs="Times New Roman"/>
                <w:kern w:val="0"/>
                <w:sz w:val="22"/>
                <w:szCs w:val="22"/>
              </w:rPr>
            </w:pPr>
            <w:r>
              <w:rPr>
                <w:rFonts w:ascii="Times New Roman" w:eastAsia="仿宋" w:hAnsi="Times New Roman" w:cs="Times New Roman"/>
                <w:kern w:val="0"/>
                <w:sz w:val="22"/>
                <w:szCs w:val="22"/>
              </w:rPr>
              <w:t>4</w:t>
            </w:r>
            <w:r>
              <w:rPr>
                <w:rFonts w:ascii="Times New Roman" w:eastAsia="仿宋" w:hAnsi="Times New Roman" w:cs="仿宋" w:hint="eastAsia"/>
                <w:kern w:val="0"/>
                <w:sz w:val="22"/>
                <w:szCs w:val="22"/>
              </w:rPr>
              <w:t>、其他固定资产</w:t>
            </w:r>
          </w:p>
        </w:tc>
        <w:tc>
          <w:tcPr>
            <w:tcW w:w="3155" w:type="dxa"/>
            <w:tcBorders>
              <w:top w:val="nil"/>
              <w:left w:val="nil"/>
              <w:bottom w:val="single" w:sz="4" w:space="0" w:color="auto"/>
              <w:right w:val="single" w:sz="4" w:space="0" w:color="auto"/>
            </w:tcBorders>
            <w:vAlign w:val="center"/>
          </w:tcPr>
          <w:p w:rsidR="00D12B85" w:rsidRDefault="0087363F">
            <w:pPr>
              <w:widowControl/>
              <w:jc w:val="center"/>
              <w:rPr>
                <w:rFonts w:ascii="Times New Roman" w:eastAsia="仿宋" w:hAnsi="Times New Roman" w:cs="Times New Roman"/>
                <w:kern w:val="0"/>
                <w:sz w:val="22"/>
                <w:szCs w:val="22"/>
              </w:rPr>
            </w:pPr>
            <w:r>
              <w:rPr>
                <w:rFonts w:ascii="Times New Roman" w:eastAsia="仿宋" w:hAnsi="Times New Roman" w:cs="Times New Roman"/>
                <w:kern w:val="0"/>
                <w:sz w:val="22"/>
                <w:szCs w:val="22"/>
              </w:rPr>
              <w:t>——</w:t>
            </w:r>
          </w:p>
        </w:tc>
        <w:tc>
          <w:tcPr>
            <w:tcW w:w="5103" w:type="dxa"/>
            <w:tcBorders>
              <w:top w:val="nil"/>
              <w:left w:val="nil"/>
              <w:bottom w:val="single" w:sz="4" w:space="0" w:color="auto"/>
              <w:right w:val="single" w:sz="4" w:space="0" w:color="auto"/>
            </w:tcBorders>
            <w:vAlign w:val="center"/>
          </w:tcPr>
          <w:p w:rsidR="00D12B85" w:rsidRDefault="0087363F">
            <w:pPr>
              <w:widowControl/>
              <w:jc w:val="center"/>
              <w:rPr>
                <w:rFonts w:ascii="Times New Roman" w:eastAsia="仿宋" w:hAnsi="Times New Roman" w:cs="Times New Roman"/>
                <w:kern w:val="0"/>
                <w:sz w:val="22"/>
                <w:szCs w:val="22"/>
              </w:rPr>
            </w:pPr>
            <w:r>
              <w:rPr>
                <w:rFonts w:ascii="Times New Roman" w:eastAsia="仿宋" w:hAnsi="Times New Roman" w:cs="Times New Roman" w:hint="eastAsia"/>
                <w:kern w:val="0"/>
                <w:sz w:val="22"/>
                <w:szCs w:val="22"/>
              </w:rPr>
              <w:t>121.95</w:t>
            </w:r>
          </w:p>
        </w:tc>
      </w:tr>
    </w:tbl>
    <w:p w:rsidR="00D12B85" w:rsidRDefault="0087363F">
      <w:pPr>
        <w:autoSpaceDE w:val="0"/>
        <w:autoSpaceDN w:val="0"/>
        <w:adjustRightInd w:val="0"/>
        <w:ind w:firstLineChars="200" w:firstLine="640"/>
        <w:jc w:val="left"/>
        <w:rPr>
          <w:rFonts w:ascii="黑体" w:eastAsia="黑体" w:hAnsi="黑体" w:cs="Times New Roman"/>
          <w:sz w:val="32"/>
          <w:szCs w:val="32"/>
        </w:rPr>
      </w:pPr>
      <w:r>
        <w:rPr>
          <w:rFonts w:ascii="黑体" w:eastAsia="黑体" w:hAnsi="黑体" w:cs="黑体" w:hint="eastAsia"/>
          <w:sz w:val="32"/>
          <w:szCs w:val="32"/>
        </w:rPr>
        <w:t>八、名词解释</w:t>
      </w:r>
    </w:p>
    <w:p w:rsidR="00D12B85" w:rsidRDefault="0087363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w:t>
      </w:r>
      <w:r>
        <w:rPr>
          <w:rFonts w:ascii="Times New Roman" w:eastAsia="仿宋" w:hAnsi="Times New Roman" w:cs="仿宋" w:hint="eastAsia"/>
          <w:sz w:val="32"/>
          <w:szCs w:val="32"/>
        </w:rPr>
        <w:t>、一般公共预算拨款收入：指省级财政当年拨付的资金。</w:t>
      </w:r>
    </w:p>
    <w:p w:rsidR="00D12B85" w:rsidRDefault="0087363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2</w:t>
      </w:r>
      <w:r>
        <w:rPr>
          <w:rFonts w:ascii="Times New Roman" w:eastAsia="仿宋" w:hAnsi="Times New Roman" w:cs="仿宋" w:hint="eastAsia"/>
          <w:sz w:val="32"/>
          <w:szCs w:val="32"/>
        </w:rPr>
        <w:t>、事业收入：指事业单位开展专业业务活动及辅助活动所取得的收入。</w:t>
      </w:r>
    </w:p>
    <w:p w:rsidR="00D12B85" w:rsidRDefault="0087363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3</w:t>
      </w:r>
      <w:r>
        <w:rPr>
          <w:rFonts w:ascii="Times New Roman" w:eastAsia="仿宋" w:hAnsi="Times New Roman" w:cs="仿宋" w:hint="eastAsia"/>
          <w:sz w:val="32"/>
          <w:szCs w:val="32"/>
        </w:rPr>
        <w:t>、其他收入：指除“一般公共预算拨款收入”、“事业收入”等以外的收入。主要是按规定动用的租房收入、存款利息收入等。</w:t>
      </w:r>
    </w:p>
    <w:p w:rsidR="00D12B85" w:rsidRDefault="0087363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4</w:t>
      </w:r>
      <w:r>
        <w:rPr>
          <w:rFonts w:ascii="Times New Roman" w:eastAsia="仿宋" w:hAnsi="Times New Roman" w:cs="仿宋" w:hint="eastAsia"/>
          <w:sz w:val="32"/>
          <w:szCs w:val="32"/>
        </w:rPr>
        <w:t>、基本支出：指为保障机构正常运转、完成日常工作任务而发生的人员支出和公用支出。</w:t>
      </w:r>
    </w:p>
    <w:p w:rsidR="00D12B85" w:rsidRDefault="0087363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lastRenderedPageBreak/>
        <w:t>5</w:t>
      </w:r>
      <w:r>
        <w:rPr>
          <w:rFonts w:ascii="Times New Roman" w:eastAsia="仿宋" w:hAnsi="Times New Roman" w:cs="仿宋" w:hint="eastAsia"/>
          <w:sz w:val="32"/>
          <w:szCs w:val="32"/>
        </w:rPr>
        <w:t>、项目支出：指在基本支出之外为完成特定行政任务和事业发展目标所发生的支出。</w:t>
      </w:r>
    </w:p>
    <w:p w:rsidR="00D12B85" w:rsidRDefault="0087363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6</w:t>
      </w:r>
      <w:r>
        <w:rPr>
          <w:rFonts w:ascii="Times New Roman" w:eastAsia="仿宋" w:hAnsi="Times New Roman" w:cs="仿宋" w:hint="eastAsia"/>
          <w:sz w:val="32"/>
          <w:szCs w:val="32"/>
        </w:rPr>
        <w:t>、上缴上级支出：指下级单位上缴上级的支出。</w:t>
      </w:r>
    </w:p>
    <w:p w:rsidR="00D12B85" w:rsidRDefault="0087363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7</w:t>
      </w:r>
      <w:r>
        <w:rPr>
          <w:rFonts w:ascii="Times New Roman" w:eastAsia="仿宋" w:hAnsi="Times New Roman" w:cs="仿宋" w:hint="eastAsia"/>
          <w:sz w:val="32"/>
          <w:szCs w:val="32"/>
        </w:rPr>
        <w:t>、“三公”经费：纳入省级财政预算管理的“三公”经费，是指省级部门用财政拨款安排的因公出国（境）费、公务用车购置及运维费和公务</w:t>
      </w:r>
      <w:r>
        <w:rPr>
          <w:rFonts w:ascii="Times New Roman" w:eastAsia="仿宋" w:hAnsi="Times New Roman" w:cs="仿宋" w:hint="eastAsia"/>
          <w:sz w:val="32"/>
          <w:szCs w:val="32"/>
        </w:rPr>
        <w:t>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D12B85" w:rsidRDefault="0087363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8</w:t>
      </w:r>
      <w:r>
        <w:rPr>
          <w:rFonts w:ascii="Times New Roman" w:eastAsia="仿宋" w:hAnsi="Times New Roman" w:cs="仿宋" w:hint="eastAsia"/>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rsidR="00D12B85" w:rsidRDefault="0087363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9</w:t>
      </w:r>
      <w:r>
        <w:rPr>
          <w:rFonts w:ascii="Times New Roman" w:eastAsia="仿宋" w:hAnsi="Times New Roman" w:cs="仿宋" w:hint="eastAsia"/>
          <w:sz w:val="32"/>
          <w:szCs w:val="32"/>
        </w:rPr>
        <w:t>、上年结转：指以前年度尚未</w:t>
      </w:r>
      <w:r>
        <w:rPr>
          <w:rFonts w:ascii="Times New Roman" w:eastAsia="仿宋" w:hAnsi="Times New Roman" w:cs="仿宋" w:hint="eastAsia"/>
          <w:sz w:val="32"/>
          <w:szCs w:val="32"/>
        </w:rPr>
        <w:t>完成、结转到本年仍按原规定用途继续使用的资金。</w:t>
      </w:r>
    </w:p>
    <w:p w:rsidR="00D12B85" w:rsidRDefault="0087363F">
      <w:pPr>
        <w:ind w:firstLineChars="200" w:firstLine="640"/>
        <w:rPr>
          <w:rFonts w:ascii="Times New Roman" w:eastAsia="仿宋" w:hAnsi="Times New Roman" w:cs="Times New Roman"/>
          <w:sz w:val="32"/>
          <w:szCs w:val="32"/>
        </w:rPr>
      </w:pPr>
      <w:r>
        <w:rPr>
          <w:rFonts w:ascii="Times New Roman" w:eastAsia="仿宋" w:hAnsi="Times New Roman" w:cs="Times New Roman"/>
          <w:sz w:val="32"/>
          <w:szCs w:val="32"/>
        </w:rPr>
        <w:t>10</w:t>
      </w:r>
      <w:r>
        <w:rPr>
          <w:rFonts w:ascii="Times New Roman" w:eastAsia="仿宋" w:hAnsi="Times New Roman" w:cs="仿宋" w:hint="eastAsia"/>
          <w:sz w:val="32"/>
          <w:szCs w:val="32"/>
        </w:rPr>
        <w:t>、事业单位经营支出：指事业单位在专业业务活动及其辅助活动之外开展非独立核算经营活动发生的支出。</w:t>
      </w:r>
    </w:p>
    <w:p w:rsidR="00D12B85" w:rsidRDefault="0087363F">
      <w:pPr>
        <w:ind w:firstLineChars="200" w:firstLine="640"/>
        <w:rPr>
          <w:rFonts w:ascii="宋体-方正超大字符集" w:eastAsia="宋体-方正超大字符集" w:hAnsi="宋体-方正超大字符集" w:cs="Times New Roman"/>
          <w:b/>
          <w:bCs/>
          <w:sz w:val="32"/>
          <w:szCs w:val="32"/>
        </w:rPr>
      </w:pPr>
      <w:r>
        <w:rPr>
          <w:rFonts w:ascii="宋体-方正超大字符集" w:eastAsia="宋体-方正超大字符集" w:hAnsi="宋体-方正超大字符集" w:cs="宋体-方正超大字符集" w:hint="eastAsia"/>
          <w:b/>
          <w:bCs/>
          <w:sz w:val="32"/>
          <w:szCs w:val="32"/>
        </w:rPr>
        <w:lastRenderedPageBreak/>
        <w:t>九、其他需要说明的事项</w:t>
      </w:r>
    </w:p>
    <w:p w:rsidR="00D12B85" w:rsidRDefault="0087363F">
      <w:pPr>
        <w:ind w:firstLineChars="200" w:firstLine="640"/>
        <w:rPr>
          <w:rFonts w:ascii="Times New Roman" w:eastAsia="仿宋" w:hAnsi="Times New Roman" w:cs="Times New Roman"/>
          <w:sz w:val="32"/>
          <w:szCs w:val="32"/>
        </w:rPr>
      </w:pPr>
      <w:r>
        <w:rPr>
          <w:rFonts w:ascii="Times New Roman" w:eastAsia="仿宋" w:hAnsi="Times New Roman" w:cs="仿宋" w:hint="eastAsia"/>
          <w:sz w:val="32"/>
          <w:szCs w:val="32"/>
        </w:rPr>
        <w:t>我部门无其他需要说明的事项。</w:t>
      </w:r>
    </w:p>
    <w:sectPr w:rsidR="00D12B85">
      <w:footerReference w:type="default" r:id="rId9"/>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363F" w:rsidRDefault="0087363F">
      <w:r>
        <w:separator/>
      </w:r>
    </w:p>
  </w:endnote>
  <w:endnote w:type="continuationSeparator" w:id="0">
    <w:p w:rsidR="0087363F" w:rsidRDefault="008736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小标宋_GBK">
    <w:altName w:val="宋体"/>
    <w:charset w:val="86"/>
    <w:family w:val="roman"/>
    <w:pitch w:val="default"/>
    <w:sig w:usb0="00000000" w:usb1="00000000" w:usb2="00000000" w:usb3="00000000" w:csb0="00040001"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书宋_GBK">
    <w:altName w:val="宋体"/>
    <w:charset w:val="86"/>
    <w:family w:val="roman"/>
    <w:pitch w:val="default"/>
    <w:sig w:usb0="00000000" w:usb1="00000000" w:usb2="00000000" w:usb3="00000000" w:csb0="00040001" w:csb1="00000000"/>
  </w:font>
  <w:font w:name="方正仿宋_GBK">
    <w:altName w:val="微软雅黑"/>
    <w:charset w:val="86"/>
    <w:family w:val="script"/>
    <w:pitch w:val="default"/>
    <w:sig w:usb0="00000000" w:usb1="00000000" w:usb2="00000000" w:usb3="00000000" w:csb0="00040000" w:csb1="00000000"/>
  </w:font>
  <w:font w:name="仿宋_GB2312">
    <w:altName w:val="仿宋"/>
    <w:charset w:val="86"/>
    <w:family w:val="modern"/>
    <w:pitch w:val="default"/>
    <w:sig w:usb0="00000001" w:usb1="080E0000" w:usb2="00000010" w:usb3="00000000" w:csb0="00040000" w:csb1="00000000"/>
  </w:font>
  <w:font w:name="Symbol">
    <w:panose1 w:val="05050102010706020507"/>
    <w:charset w:val="02"/>
    <w:family w:val="roman"/>
    <w:pitch w:val="variable"/>
    <w:sig w:usb0="00000000" w:usb1="10000000" w:usb2="00000000" w:usb3="00000000" w:csb0="80000000" w:csb1="00000000"/>
  </w:font>
  <w:font w:name="方正楷体_GBK">
    <w:altName w:val="微软雅黑"/>
    <w:charset w:val="86"/>
    <w:family w:val="script"/>
    <w:pitch w:val="default"/>
    <w:sig w:usb0="00000000" w:usb1="00000000" w:usb2="00000010" w:usb3="00000000" w:csb0="00040000" w:csb1="00000000"/>
  </w:font>
  <w:font w:name="宋体-方正超大字符集">
    <w:altName w:val="微软雅黑"/>
    <w:charset w:val="86"/>
    <w:family w:val="script"/>
    <w:pitch w:val="default"/>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B85" w:rsidRDefault="0087363F">
    <w:pPr>
      <w:pStyle w:val="a3"/>
      <w:framePr w:wrap="auto" w:vAnchor="text" w:hAnchor="margin" w:xAlign="outside" w:y="1"/>
      <w:rPr>
        <w:rStyle w:val="10"/>
      </w:rPr>
    </w:pPr>
    <w:r>
      <w:rPr>
        <w:rStyle w:val="10"/>
      </w:rPr>
      <w:fldChar w:fldCharType="begin"/>
    </w:r>
    <w:r>
      <w:rPr>
        <w:rStyle w:val="10"/>
      </w:rPr>
      <w:instrText xml:space="preserve">PAGE  </w:instrText>
    </w:r>
    <w:r>
      <w:rPr>
        <w:rStyle w:val="10"/>
      </w:rPr>
      <w:fldChar w:fldCharType="separate"/>
    </w:r>
    <w:r w:rsidR="008D3BD9">
      <w:rPr>
        <w:rStyle w:val="10"/>
        <w:noProof/>
      </w:rPr>
      <w:t>10</w:t>
    </w:r>
    <w:r>
      <w:rPr>
        <w:rStyle w:val="10"/>
      </w:rPr>
      <w:fldChar w:fldCharType="end"/>
    </w:r>
  </w:p>
  <w:p w:rsidR="00D12B85" w:rsidRDefault="00D12B85">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2B85" w:rsidRDefault="0087363F">
    <w:pPr>
      <w:pStyle w:val="a3"/>
      <w:framePr w:wrap="auto" w:vAnchor="text" w:hAnchor="margin" w:xAlign="outside" w:y="1"/>
      <w:rPr>
        <w:rStyle w:val="11"/>
      </w:rPr>
    </w:pPr>
    <w:r>
      <w:rPr>
        <w:rStyle w:val="11"/>
      </w:rPr>
      <w:fldChar w:fldCharType="begin"/>
    </w:r>
    <w:r>
      <w:rPr>
        <w:rStyle w:val="11"/>
      </w:rPr>
      <w:instrText xml:space="preserve">PAGE  </w:instrText>
    </w:r>
    <w:r>
      <w:rPr>
        <w:rStyle w:val="11"/>
      </w:rPr>
      <w:fldChar w:fldCharType="separate"/>
    </w:r>
    <w:r w:rsidR="008D3BD9">
      <w:rPr>
        <w:rStyle w:val="11"/>
        <w:noProof/>
      </w:rPr>
      <w:t>11</w:t>
    </w:r>
    <w:r>
      <w:rPr>
        <w:rStyle w:val="11"/>
      </w:rPr>
      <w:fldChar w:fldCharType="end"/>
    </w:r>
  </w:p>
  <w:p w:rsidR="00D12B85" w:rsidRDefault="00D12B85">
    <w:pPr>
      <w:pStyle w:val="a3"/>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363F" w:rsidRDefault="0087363F">
      <w:r>
        <w:separator/>
      </w:r>
    </w:p>
  </w:footnote>
  <w:footnote w:type="continuationSeparator" w:id="0">
    <w:p w:rsidR="0087363F" w:rsidRDefault="0087363F">
      <w:r>
        <w:continuationSeparator/>
      </w:r>
    </w:p>
  </w:footnote>
  <w:footnote w:id="1">
    <w:p w:rsidR="00D12B85" w:rsidRDefault="0087363F">
      <w:pPr>
        <w:pStyle w:val="a5"/>
        <w:rPr>
          <w:rFonts w:cs="Times New Roman"/>
        </w:rPr>
      </w:pPr>
      <w:r>
        <w:rPr>
          <w:rStyle w:val="a6"/>
          <w:rFonts w:cs="Times New Roman"/>
        </w:rPr>
        <w:sym w:font="Symbol" w:char="F020"/>
      </w:r>
      <w:r>
        <w:rPr>
          <w:rFonts w:ascii="方正楷体_GBK" w:eastAsia="方正楷体_GBK" w:cs="方正楷体_GBK" w:hint="eastAsia"/>
          <w:sz w:val="24"/>
          <w:szCs w:val="24"/>
        </w:rPr>
        <w:t>备注：表中的年度预算数为项目支出，部门工作活动虽未安排项目支出，但由基本支出保障，由于基本支出无法拆分到相应的工作活动，因此部分工作活动没有列示年度预算数。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embedSystemFonts/>
  <w:bordersDoNotSurroundHeader/>
  <w:bordersDoNotSurroundFooter/>
  <w:doNotTrackMoves/>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70B77"/>
    <w:rsid w:val="000810B0"/>
    <w:rsid w:val="000C4DBA"/>
    <w:rsid w:val="000F1872"/>
    <w:rsid w:val="0027537D"/>
    <w:rsid w:val="00401170"/>
    <w:rsid w:val="004178F6"/>
    <w:rsid w:val="00470B77"/>
    <w:rsid w:val="00541D90"/>
    <w:rsid w:val="007C2B4E"/>
    <w:rsid w:val="007C3C15"/>
    <w:rsid w:val="0087363F"/>
    <w:rsid w:val="008D3BD9"/>
    <w:rsid w:val="00996279"/>
    <w:rsid w:val="00A5069C"/>
    <w:rsid w:val="00A84A20"/>
    <w:rsid w:val="00D12B85"/>
    <w:rsid w:val="00DC1568"/>
    <w:rsid w:val="00DF0C76"/>
    <w:rsid w:val="00E10FF9"/>
    <w:rsid w:val="00F742CF"/>
    <w:rsid w:val="00FA0C04"/>
    <w:rsid w:val="240A33A8"/>
    <w:rsid w:val="566564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nhideWhenUsed="0" w:qFormat="1"/>
    <w:lsdException w:name="toc 2" w:unhideWhenUsed="0" w:qFormat="1"/>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unhideWhenUsed="0" w:qFormat="1"/>
    <w:lsdException w:name="header" w:semiHidden="0" w:unhideWhenUsed="0" w:qFormat="1"/>
    <w:lsdException w:name="footer" w:semiHidden="0" w:unhideWhenUsed="0" w:qFormat="1"/>
    <w:lsdException w:name="caption" w:locked="1" w:uiPriority="0" w:qFormat="1"/>
    <w:lsdException w:name="footnote reference" w:unhideWhenUsed="0" w:qFormat="1"/>
    <w:lsdException w:name="Title" w:locked="1" w:semiHidden="0" w:uiPriority="0" w:unhideWhenUsed="0" w:qFormat="1"/>
    <w:lsdException w:name="Default Paragraph Font"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qFormat="1"/>
    <w:lsdException w:name="Table Grid" w:locked="1"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Calibri" w:hAnsi="Calibri" w:cs="Calibri"/>
      <w:kern w:val="2"/>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pPr>
      <w:tabs>
        <w:tab w:val="center" w:pos="4153"/>
        <w:tab w:val="right" w:pos="8306"/>
      </w:tabs>
      <w:snapToGrid w:val="0"/>
      <w:jc w:val="left"/>
    </w:pPr>
    <w:rPr>
      <w:rFonts w:ascii="Times New Roman" w:hAnsi="Times New Roman" w:cs="Times New Roman"/>
      <w:sz w:val="18"/>
      <w:szCs w:val="18"/>
    </w:rPr>
  </w:style>
  <w:style w:type="paragraph" w:styleId="a4">
    <w:name w:val="header"/>
    <w:basedOn w:val="a"/>
    <w:link w:val="Char0"/>
    <w:uiPriority w:val="99"/>
    <w:qFormat/>
    <w:pPr>
      <w:pBdr>
        <w:bottom w:val="single" w:sz="6" w:space="1" w:color="auto"/>
      </w:pBdr>
      <w:tabs>
        <w:tab w:val="center" w:pos="4153"/>
        <w:tab w:val="right" w:pos="8306"/>
      </w:tabs>
      <w:snapToGrid w:val="0"/>
      <w:jc w:val="center"/>
    </w:pPr>
    <w:rPr>
      <w:rFonts w:ascii="Times New Roman" w:hAnsi="Times New Roman" w:cs="Times New Roman"/>
      <w:sz w:val="18"/>
      <w:szCs w:val="18"/>
    </w:rPr>
  </w:style>
  <w:style w:type="paragraph" w:styleId="1">
    <w:name w:val="toc 1"/>
    <w:basedOn w:val="a"/>
    <w:next w:val="a"/>
    <w:uiPriority w:val="99"/>
    <w:semiHidden/>
    <w:qFormat/>
    <w:rPr>
      <w:rFonts w:ascii="Times New Roman" w:hAnsi="Times New Roman" w:cs="Times New Roman"/>
    </w:rPr>
  </w:style>
  <w:style w:type="paragraph" w:styleId="a5">
    <w:name w:val="footnote text"/>
    <w:basedOn w:val="a"/>
    <w:link w:val="Char1"/>
    <w:uiPriority w:val="99"/>
    <w:semiHidden/>
    <w:qFormat/>
    <w:pPr>
      <w:snapToGrid w:val="0"/>
      <w:jc w:val="left"/>
    </w:pPr>
    <w:rPr>
      <w:sz w:val="18"/>
      <w:szCs w:val="18"/>
    </w:rPr>
  </w:style>
  <w:style w:type="paragraph" w:styleId="2">
    <w:name w:val="toc 2"/>
    <w:basedOn w:val="a"/>
    <w:next w:val="a"/>
    <w:uiPriority w:val="99"/>
    <w:semiHidden/>
    <w:qFormat/>
    <w:pPr>
      <w:ind w:leftChars="200" w:left="420"/>
    </w:pPr>
    <w:rPr>
      <w:rFonts w:ascii="Times New Roman" w:hAnsi="Times New Roman" w:cs="Times New Roman"/>
    </w:rPr>
  </w:style>
  <w:style w:type="character" w:styleId="a6">
    <w:name w:val="footnote reference"/>
    <w:uiPriority w:val="99"/>
    <w:semiHidden/>
    <w:qFormat/>
    <w:rPr>
      <w:vertAlign w:val="superscript"/>
    </w:rPr>
  </w:style>
  <w:style w:type="character" w:customStyle="1" w:styleId="Char">
    <w:name w:val="页脚 Char"/>
    <w:link w:val="a3"/>
    <w:uiPriority w:val="99"/>
    <w:semiHidden/>
    <w:qFormat/>
    <w:locked/>
    <w:rPr>
      <w:rFonts w:ascii="Times New Roman" w:eastAsia="宋体" w:hAnsi="Times New Roman" w:cs="Times New Roman"/>
      <w:sz w:val="18"/>
      <w:szCs w:val="18"/>
    </w:rPr>
  </w:style>
  <w:style w:type="character" w:customStyle="1" w:styleId="Char0">
    <w:name w:val="页眉 Char"/>
    <w:link w:val="a4"/>
    <w:uiPriority w:val="99"/>
    <w:semiHidden/>
    <w:qFormat/>
    <w:locked/>
    <w:rPr>
      <w:rFonts w:ascii="Times New Roman" w:eastAsia="宋体" w:hAnsi="Times New Roman" w:cs="Times New Roman"/>
      <w:sz w:val="18"/>
      <w:szCs w:val="18"/>
    </w:rPr>
  </w:style>
  <w:style w:type="character" w:customStyle="1" w:styleId="Char1">
    <w:name w:val="脚注文本 Char"/>
    <w:link w:val="a5"/>
    <w:uiPriority w:val="99"/>
    <w:semiHidden/>
    <w:qFormat/>
    <w:locked/>
    <w:rPr>
      <w:rFonts w:ascii="Calibri" w:hAnsi="Calibri" w:cs="Calibri"/>
      <w:sz w:val="18"/>
      <w:szCs w:val="18"/>
    </w:rPr>
  </w:style>
  <w:style w:type="paragraph" w:customStyle="1" w:styleId="Char2">
    <w:name w:val="Char"/>
    <w:basedOn w:val="a"/>
    <w:uiPriority w:val="99"/>
    <w:qFormat/>
    <w:rPr>
      <w:rFonts w:ascii="Times New Roman" w:hAnsi="Times New Roman" w:cs="Times New Roman"/>
    </w:rPr>
  </w:style>
  <w:style w:type="character" w:customStyle="1" w:styleId="10">
    <w:name w:val="页码1"/>
    <w:basedOn w:val="a0"/>
    <w:uiPriority w:val="99"/>
    <w:qFormat/>
  </w:style>
  <w:style w:type="character" w:customStyle="1" w:styleId="11">
    <w:name w:val="页码11"/>
    <w:uiPriority w:val="99"/>
    <w:qFormat/>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940</Words>
  <Characters>5360</Characters>
  <Application>Microsoft Office Word</Application>
  <DocSecurity>0</DocSecurity>
  <Lines>44</Lines>
  <Paragraphs>12</Paragraphs>
  <ScaleCrop>false</ScaleCrop>
  <Company>Microsoft</Company>
  <LinksUpToDate>false</LinksUpToDate>
  <CharactersWithSpaces>6288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c:title>
  <dc:creator>guest</dc:creator>
  <cp:lastModifiedBy>lenovo</cp:lastModifiedBy>
  <cp:revision>5</cp:revision>
  <cp:lastPrinted>2020-01-11T07:53:00Z</cp:lastPrinted>
  <dcterms:created xsi:type="dcterms:W3CDTF">2017-01-24T09:29:00Z</dcterms:created>
  <dcterms:modified xsi:type="dcterms:W3CDTF">2021-05-24T05:14:00Z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9D7F22341FBC460EB79302C930BAE30E</vt:lpwstr>
  </property>
</Properties>
</file>