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5636" w:firstLineChars="1276"/>
        <w:rPr>
          <w:rFonts w:ascii="宋体" w:hAnsi="宋体" w:cs="宋体"/>
          <w:b/>
          <w:bCs/>
          <w:sz w:val="44"/>
          <w:szCs w:val="44"/>
        </w:rPr>
      </w:pPr>
      <w:bookmarkStart w:id="0" w:name="_GoBack"/>
      <w:bookmarkEnd w:id="0"/>
      <w:r>
        <w:rPr>
          <w:rFonts w:hint="eastAsia" w:ascii="宋体" w:hAnsi="宋体" w:cs="宋体"/>
          <w:b/>
          <w:bCs/>
          <w:sz w:val="44"/>
          <w:szCs w:val="44"/>
        </w:rPr>
        <w:t>无极县政协办公室</w:t>
      </w:r>
    </w:p>
    <w:p>
      <w:pPr>
        <w:jc w:val="center"/>
        <w:rPr>
          <w:rFonts w:ascii="宋体" w:hAnsi="宋体" w:cs="宋体"/>
          <w:b/>
          <w:bCs/>
          <w:sz w:val="44"/>
          <w:szCs w:val="44"/>
        </w:rPr>
      </w:pPr>
      <w:r>
        <w:rPr>
          <w:rFonts w:ascii="宋体" w:hAnsi="宋体" w:cs="宋体"/>
          <w:b/>
          <w:bCs/>
          <w:sz w:val="44"/>
          <w:szCs w:val="44"/>
        </w:rPr>
        <w:t>201</w:t>
      </w:r>
      <w:r>
        <w:rPr>
          <w:rFonts w:hint="eastAsia" w:ascii="宋体" w:hAnsi="宋体" w:cs="宋体"/>
          <w:b/>
          <w:bCs/>
          <w:sz w:val="44"/>
          <w:szCs w:val="44"/>
        </w:rPr>
        <w:t>9年部门预算信息公开说明目录</w:t>
      </w:r>
    </w:p>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按照《预算法》、《地方预决算公开操作规程》和《河北省省级预算公开办法》规定，现将无极县政协办</w:t>
      </w:r>
      <w:r>
        <w:rPr>
          <w:rFonts w:ascii="仿宋" w:hAnsi="仿宋" w:eastAsia="仿宋" w:cs="仿宋"/>
          <w:sz w:val="32"/>
          <w:szCs w:val="32"/>
        </w:rPr>
        <w:t>201</w:t>
      </w:r>
      <w:r>
        <w:rPr>
          <w:rFonts w:hint="eastAsia" w:ascii="仿宋" w:hAnsi="仿宋" w:eastAsia="仿宋" w:cs="仿宋"/>
          <w:sz w:val="32"/>
          <w:szCs w:val="32"/>
        </w:rPr>
        <w:t>9年部门预算公开如下：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640" w:firstLineChars="200"/>
        <w:rPr>
          <w:rFonts w:ascii="仿宋" w:hAnsi="仿宋" w:eastAsia="仿宋" w:cs="仿宋"/>
          <w:sz w:val="32"/>
          <w:szCs w:val="32"/>
        </w:rPr>
      </w:pPr>
      <w:r>
        <w:rPr>
          <w:rFonts w:hint="eastAsia" w:ascii="仿宋" w:hAnsi="仿宋" w:eastAsia="仿宋" w:cs="仿宋"/>
          <w:sz w:val="32"/>
          <w:szCs w:val="32"/>
        </w:rPr>
        <w:t>根据全国政协组织章程，县政协主要职能是对全县大政方针政策的讨论以及全县重要事务和群众生活，统一战线内部关系等重要问题进行政治协商，并通过提案、社情民意、会议等形式提出意见和建议，发挥民主监督、参政议政作用；充分发扬社会主义民主，反映社会各界意见，促进我县各级党委、政府重大决策的科学化、民主化。</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121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876"/>
        <w:gridCol w:w="1800"/>
        <w:gridCol w:w="1860"/>
        <w:gridCol w:w="25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tblHeader/>
          <w:jc w:val="center"/>
        </w:trPr>
        <w:tc>
          <w:tcPr>
            <w:tcW w:w="5876" w:type="dxa"/>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单位名称</w:t>
            </w:r>
          </w:p>
        </w:tc>
        <w:tc>
          <w:tcPr>
            <w:tcW w:w="1800" w:type="dxa"/>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单位性质</w:t>
            </w:r>
          </w:p>
        </w:tc>
        <w:tc>
          <w:tcPr>
            <w:tcW w:w="1860" w:type="dxa"/>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单位规格</w:t>
            </w:r>
          </w:p>
        </w:tc>
        <w:tc>
          <w:tcPr>
            <w:tcW w:w="2575" w:type="dxa"/>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0" w:hRule="atLeast"/>
          <w:jc w:val="center"/>
        </w:trPr>
        <w:tc>
          <w:tcPr>
            <w:tcW w:w="5876" w:type="dxa"/>
            <w:vAlign w:val="center"/>
          </w:tcPr>
          <w:p>
            <w:pPr>
              <w:spacing w:line="300" w:lineRule="exact"/>
              <w:jc w:val="left"/>
              <w:rPr>
                <w:rFonts w:ascii="方正书宋_GBK" w:eastAsia="方正书宋_GBK"/>
                <w:sz w:val="28"/>
                <w:szCs w:val="28"/>
              </w:rPr>
            </w:pPr>
            <w:r>
              <w:rPr>
                <w:rFonts w:hint="eastAsia" w:ascii="方正书宋_GBK" w:eastAsia="方正书宋_GBK"/>
                <w:sz w:val="28"/>
                <w:szCs w:val="28"/>
              </w:rPr>
              <w:t>中国人民政治协商会议无极县委员会办公室</w:t>
            </w:r>
          </w:p>
        </w:tc>
        <w:tc>
          <w:tcPr>
            <w:tcW w:w="1800"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行政</w:t>
            </w:r>
          </w:p>
        </w:tc>
        <w:tc>
          <w:tcPr>
            <w:tcW w:w="1860"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正科级</w:t>
            </w:r>
          </w:p>
        </w:tc>
        <w:tc>
          <w:tcPr>
            <w:tcW w:w="2575"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财政拨款</w:t>
            </w:r>
          </w:p>
        </w:tc>
      </w:tr>
    </w:tbl>
    <w:p>
      <w:pPr>
        <w:jc w:val="cente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ind w:left="600"/>
        <w:rPr>
          <w:rFonts w:ascii="楷体" w:hAnsi="楷体" w:eastAsia="楷体" w:cs="仿宋_GB2312"/>
          <w:sz w:val="30"/>
          <w:szCs w:val="30"/>
        </w:rPr>
      </w:pPr>
      <w:r>
        <w:rPr>
          <w:rFonts w:hint="eastAsia" w:ascii="楷体" w:hAnsi="楷体" w:eastAsia="楷体" w:cs="仿宋_GB2312"/>
          <w:sz w:val="32"/>
          <w:szCs w:val="32"/>
        </w:rPr>
        <w:t>（一）收入说明</w:t>
      </w:r>
    </w:p>
    <w:p>
      <w:pPr>
        <w:rPr>
          <w:rFonts w:ascii="仿宋" w:hAnsi="仿宋" w:eastAsia="仿宋" w:cs="仿宋_GB2312"/>
          <w:sz w:val="32"/>
          <w:szCs w:val="32"/>
        </w:rPr>
      </w:pPr>
      <w:r>
        <w:rPr>
          <w:rFonts w:hint="eastAsia" w:ascii="仿宋" w:hAnsi="仿宋" w:eastAsia="仿宋" w:cs="仿宋_GB2312"/>
          <w:sz w:val="32"/>
          <w:szCs w:val="32"/>
        </w:rPr>
        <w:t>无极县政协办</w:t>
      </w:r>
      <w:r>
        <w:rPr>
          <w:rFonts w:ascii="仿宋" w:hAnsi="仿宋" w:eastAsia="仿宋" w:cs="仿宋_GB2312"/>
          <w:sz w:val="32"/>
          <w:szCs w:val="32"/>
        </w:rPr>
        <w:t>201</w:t>
      </w:r>
      <w:r>
        <w:rPr>
          <w:rFonts w:hint="eastAsia" w:ascii="仿宋" w:hAnsi="仿宋" w:eastAsia="仿宋" w:cs="仿宋_GB2312"/>
          <w:sz w:val="32"/>
          <w:szCs w:val="32"/>
        </w:rPr>
        <w:t>9年预算收入总计384.16万元。其中，一般公共预算收入384.16万元、政府性基金收入</w:t>
      </w:r>
      <w:r>
        <w:rPr>
          <w:rFonts w:ascii="仿宋" w:hAnsi="仿宋" w:eastAsia="仿宋" w:cs="仿宋_GB2312"/>
          <w:sz w:val="32"/>
          <w:szCs w:val="32"/>
        </w:rPr>
        <w:t>0</w:t>
      </w:r>
      <w:r>
        <w:rPr>
          <w:rFonts w:hint="eastAsia" w:ascii="仿宋" w:hAnsi="仿宋" w:eastAsia="仿宋" w:cs="仿宋_GB2312"/>
          <w:sz w:val="32"/>
          <w:szCs w:val="32"/>
        </w:rPr>
        <w:t>万元、财政专户核拨收入</w:t>
      </w:r>
      <w:r>
        <w:rPr>
          <w:rFonts w:ascii="仿宋" w:hAnsi="仿宋" w:eastAsia="仿宋" w:cs="仿宋_GB2312"/>
          <w:sz w:val="32"/>
          <w:szCs w:val="32"/>
        </w:rPr>
        <w:t>0</w:t>
      </w:r>
      <w:r>
        <w:rPr>
          <w:rFonts w:hint="eastAsia" w:ascii="仿宋" w:hAnsi="仿宋" w:eastAsia="仿宋" w:cs="仿宋_GB2312"/>
          <w:sz w:val="32"/>
          <w:szCs w:val="32"/>
        </w:rPr>
        <w:t>万元，其他来源收入</w:t>
      </w:r>
      <w:r>
        <w:rPr>
          <w:rFonts w:ascii="仿宋" w:hAnsi="仿宋" w:eastAsia="仿宋" w:cs="仿宋_GB2312"/>
          <w:sz w:val="32"/>
          <w:szCs w:val="32"/>
        </w:rPr>
        <w:t>0</w:t>
      </w:r>
      <w:r>
        <w:rPr>
          <w:rFonts w:hint="eastAsia" w:ascii="仿宋" w:hAnsi="仿宋" w:eastAsia="仿宋" w:cs="仿宋_GB2312"/>
          <w:sz w:val="32"/>
          <w:szCs w:val="32"/>
        </w:rPr>
        <w:t>万元。</w:t>
      </w:r>
    </w:p>
    <w:p>
      <w:pPr>
        <w:ind w:left="600"/>
        <w:rPr>
          <w:rFonts w:ascii="楷体" w:hAnsi="楷体" w:eastAsia="楷体"/>
          <w:sz w:val="32"/>
          <w:szCs w:val="32"/>
        </w:rPr>
      </w:pPr>
      <w:r>
        <w:rPr>
          <w:rFonts w:hint="eastAsia" w:ascii="楷体" w:hAnsi="楷体" w:eastAsia="楷体" w:cs="仿宋_GB2312"/>
          <w:sz w:val="32"/>
          <w:szCs w:val="32"/>
        </w:rPr>
        <w:t>（二）支出说明</w:t>
      </w:r>
    </w:p>
    <w:p>
      <w:pPr>
        <w:ind w:firstLine="960" w:firstLineChars="300"/>
        <w:rPr>
          <w:rFonts w:ascii="楷体" w:hAnsi="楷体" w:eastAsia="楷体"/>
          <w:sz w:val="32"/>
          <w:szCs w:val="32"/>
        </w:rPr>
      </w:pPr>
      <w:r>
        <w:rPr>
          <w:rFonts w:hint="eastAsia" w:ascii="仿宋" w:hAnsi="仿宋" w:eastAsia="仿宋" w:cs="仿宋_GB2312"/>
          <w:sz w:val="32"/>
          <w:szCs w:val="32"/>
        </w:rPr>
        <w:t>2019年预算支出384.16。其中，人员经费支出290.87万元，正常公用经费70.29万元，项目支出</w:t>
      </w:r>
      <w:r>
        <w:rPr>
          <w:rFonts w:ascii="仿宋" w:hAnsi="仿宋" w:eastAsia="仿宋" w:cs="仿宋_GB2312"/>
          <w:sz w:val="32"/>
          <w:szCs w:val="32"/>
        </w:rPr>
        <w:t>23</w:t>
      </w:r>
      <w:r>
        <w:rPr>
          <w:rFonts w:hint="eastAsia" w:ascii="仿宋" w:hAnsi="仿宋" w:eastAsia="仿宋" w:cs="仿宋_GB2312"/>
          <w:sz w:val="32"/>
          <w:szCs w:val="32"/>
        </w:rPr>
        <w:t>万元。</w:t>
      </w:r>
    </w:p>
    <w:p>
      <w:pPr>
        <w:rPr>
          <w:rFonts w:ascii="楷体" w:hAnsi="楷体" w:eastAsia="楷体"/>
          <w:sz w:val="32"/>
          <w:szCs w:val="32"/>
        </w:rPr>
      </w:pPr>
      <w:r>
        <w:rPr>
          <w:rFonts w:hint="eastAsia" w:ascii="楷体" w:hAnsi="楷体" w:eastAsia="楷体" w:cs="仿宋_GB2312"/>
          <w:sz w:val="32"/>
          <w:szCs w:val="32"/>
        </w:rPr>
        <w:t xml:space="preserve">   （三）比上年增减情况</w:t>
      </w:r>
    </w:p>
    <w:p>
      <w:pPr>
        <w:rPr>
          <w:rFonts w:ascii="仿宋" w:hAnsi="仿宋" w:eastAsia="仿宋" w:cs="仿宋_GB2312"/>
          <w:sz w:val="32"/>
          <w:szCs w:val="32"/>
        </w:rPr>
      </w:pPr>
      <w:r>
        <w:rPr>
          <w:rFonts w:hint="eastAsia" w:ascii="仿宋" w:hAnsi="仿宋" w:eastAsia="仿宋" w:cs="仿宋_GB2312"/>
          <w:sz w:val="32"/>
          <w:szCs w:val="32"/>
        </w:rPr>
        <w:t xml:space="preserve">     无极县政协办</w:t>
      </w:r>
      <w:r>
        <w:rPr>
          <w:rFonts w:ascii="仿宋" w:hAnsi="仿宋" w:eastAsia="仿宋" w:cs="仿宋_GB2312"/>
          <w:sz w:val="32"/>
          <w:szCs w:val="32"/>
        </w:rPr>
        <w:t>201</w:t>
      </w:r>
      <w:r>
        <w:rPr>
          <w:rFonts w:hint="eastAsia" w:ascii="仿宋" w:hAnsi="仿宋" w:eastAsia="仿宋" w:cs="仿宋_GB2312"/>
          <w:sz w:val="32"/>
          <w:szCs w:val="32"/>
        </w:rPr>
        <w:t>9年预算收入总计384.16万元</w:t>
      </w:r>
      <w:r>
        <w:rPr>
          <w:rFonts w:ascii="仿宋" w:hAnsi="仿宋" w:eastAsia="仿宋" w:cs="仿宋_GB2312"/>
          <w:sz w:val="32"/>
          <w:szCs w:val="32"/>
        </w:rPr>
        <w:t>,</w:t>
      </w:r>
      <w:r>
        <w:rPr>
          <w:rFonts w:hint="eastAsia" w:ascii="仿宋" w:hAnsi="仿宋" w:eastAsia="仿宋" w:cs="仿宋_GB2312"/>
          <w:sz w:val="32"/>
          <w:szCs w:val="32"/>
        </w:rPr>
        <w:t>与</w:t>
      </w:r>
      <w:r>
        <w:rPr>
          <w:rFonts w:ascii="仿宋" w:hAnsi="仿宋" w:eastAsia="仿宋" w:cs="仿宋_GB2312"/>
          <w:sz w:val="32"/>
          <w:szCs w:val="32"/>
        </w:rPr>
        <w:t>201</w:t>
      </w:r>
      <w:r>
        <w:rPr>
          <w:rFonts w:hint="eastAsia" w:ascii="仿宋" w:hAnsi="仿宋" w:eastAsia="仿宋" w:cs="仿宋_GB2312"/>
          <w:sz w:val="32"/>
          <w:szCs w:val="32"/>
        </w:rPr>
        <w:t>8年预算收入405.74万元相比减少21.58万元，减少原因是退休人员增加，减少了人员经费支出。</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_GB2312"/>
          <w:sz w:val="32"/>
          <w:szCs w:val="32"/>
        </w:rPr>
      </w:pPr>
      <w:r>
        <w:rPr>
          <w:rFonts w:ascii="仿宋" w:hAnsi="仿宋" w:eastAsia="仿宋" w:cs="仿宋_GB2312"/>
          <w:sz w:val="32"/>
          <w:szCs w:val="32"/>
        </w:rPr>
        <w:t>201</w:t>
      </w:r>
      <w:r>
        <w:rPr>
          <w:rFonts w:hint="eastAsia" w:ascii="仿宋" w:hAnsi="仿宋" w:eastAsia="仿宋" w:cs="仿宋_GB2312"/>
          <w:sz w:val="32"/>
          <w:szCs w:val="32"/>
        </w:rPr>
        <w:t>9年机关运行经费共计安排70.29万元，主要用于我部门日常办公、邮电费及公务用车运行维护费等日常运行支出。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autoSpaceDE w:val="0"/>
        <w:autoSpaceDN w:val="0"/>
        <w:adjustRightInd w:val="0"/>
        <w:ind w:firstLine="640" w:firstLineChars="200"/>
        <w:jc w:val="left"/>
        <w:rPr>
          <w:rFonts w:ascii="黑体" w:hAnsi="黑体" w:eastAsia="黑体" w:cs="仿宋_GB2312"/>
          <w:sz w:val="32"/>
          <w:szCs w:val="32"/>
        </w:rPr>
      </w:pPr>
      <w:r>
        <w:rPr>
          <w:rFonts w:hint="eastAsia" w:ascii="仿宋" w:hAnsi="仿宋" w:eastAsia="仿宋" w:cs="仿宋_GB2312"/>
          <w:sz w:val="32"/>
          <w:szCs w:val="32"/>
        </w:rPr>
        <w:t>2019年，我部门财政拨款“三公”经费预算安排17元，其中：因公出国（境）费0万元；公务用车购置及运维费16万元（其中：公务用车购置费0万元，公务用车运行维护费16万元)；公务接待费1万元。</w:t>
      </w:r>
      <w:r>
        <w:rPr>
          <w:rFonts w:hint="eastAsia" w:ascii="仿宋" w:hAnsi="仿宋" w:eastAsia="仿宋" w:cs="仿宋_GB2312"/>
          <w:bCs/>
          <w:color w:val="000000"/>
          <w:sz w:val="32"/>
          <w:szCs w:val="32"/>
        </w:rPr>
        <w:t>均与上年持平无增减变化。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总体绩效目标</w:t>
      </w:r>
    </w:p>
    <w:p>
      <w:pPr>
        <w:ind w:firstLine="645"/>
        <w:rPr>
          <w:rFonts w:ascii="仿宋" w:hAnsi="仿宋" w:eastAsia="仿宋" w:cs="仿宋_GB2312"/>
          <w:sz w:val="32"/>
          <w:szCs w:val="32"/>
        </w:rPr>
      </w:pPr>
      <w:r>
        <w:rPr>
          <w:rFonts w:ascii="仿宋" w:hAnsi="仿宋" w:eastAsia="仿宋" w:cs="仿宋_GB2312"/>
          <w:sz w:val="32"/>
          <w:szCs w:val="32"/>
        </w:rPr>
        <w:t>1</w:t>
      </w:r>
      <w:r>
        <w:rPr>
          <w:rFonts w:hint="eastAsia" w:ascii="仿宋" w:hAnsi="仿宋" w:eastAsia="仿宋" w:cs="仿宋_GB2312"/>
          <w:sz w:val="32"/>
          <w:szCs w:val="32"/>
        </w:rPr>
        <w:t>、就县大政方针以及政治、经济、文化、社会等重要问题在决策之前进行协商和就决策执行过程中的重要问题进行协商。</w:t>
      </w:r>
    </w:p>
    <w:p>
      <w:pPr>
        <w:ind w:firstLine="645"/>
        <w:rPr>
          <w:rFonts w:ascii="仿宋" w:hAnsi="仿宋" w:eastAsia="仿宋" w:cs="仿宋_GB2312"/>
          <w:sz w:val="32"/>
          <w:szCs w:val="32"/>
        </w:rPr>
      </w:pPr>
      <w:r>
        <w:rPr>
          <w:rFonts w:ascii="仿宋" w:hAnsi="仿宋" w:eastAsia="仿宋" w:cs="仿宋_GB2312"/>
          <w:sz w:val="32"/>
          <w:szCs w:val="32"/>
        </w:rPr>
        <w:t>2</w:t>
      </w:r>
      <w:r>
        <w:rPr>
          <w:rFonts w:hint="eastAsia" w:ascii="仿宋" w:hAnsi="仿宋" w:eastAsia="仿宋" w:cs="仿宋_GB2312"/>
          <w:sz w:val="32"/>
          <w:szCs w:val="32"/>
        </w:rPr>
        <w:t>、有效履行民主监督职责。通过意见、建议、批评的方式对国家法律法规的实施、重大方针政策的贯彻执行、</w:t>
      </w:r>
      <w:r>
        <w:rPr>
          <w:rFonts w:hint="eastAsia" w:ascii="仿宋" w:hAnsi="仿宋" w:eastAsia="仿宋" w:cs="仿宋_GB2312"/>
          <w:sz w:val="32"/>
          <w:szCs w:val="32"/>
          <w:lang w:eastAsia="zh-CN"/>
        </w:rPr>
        <w:t>县委、县政府</w:t>
      </w:r>
      <w:r>
        <w:rPr>
          <w:rFonts w:hint="eastAsia" w:ascii="仿宋" w:hAnsi="仿宋" w:eastAsia="仿宋" w:cs="仿宋_GB2312"/>
          <w:sz w:val="32"/>
          <w:szCs w:val="32"/>
        </w:rPr>
        <w:t>的工作进行政治监督。</w:t>
      </w:r>
    </w:p>
    <w:p>
      <w:pPr>
        <w:ind w:firstLine="645"/>
        <w:rPr>
          <w:rFonts w:ascii="楷体" w:hAnsi="楷体" w:eastAsia="楷体"/>
          <w:sz w:val="32"/>
          <w:szCs w:val="32"/>
        </w:rPr>
      </w:pPr>
      <w:r>
        <w:rPr>
          <w:rFonts w:ascii="仿宋" w:hAnsi="仿宋" w:eastAsia="仿宋" w:cs="仿宋_GB2312"/>
          <w:sz w:val="32"/>
          <w:szCs w:val="32"/>
        </w:rPr>
        <w:t>3</w:t>
      </w:r>
      <w:r>
        <w:rPr>
          <w:rFonts w:hint="eastAsia" w:ascii="仿宋" w:hAnsi="仿宋" w:eastAsia="仿宋" w:cs="仿宋_GB2312"/>
          <w:sz w:val="32"/>
          <w:szCs w:val="32"/>
        </w:rPr>
        <w:t>、通过对县重大问题以及人民群众普遍关心的问题，开展调查研究，反映社情民意，以调研报告、提案等形式，向</w:t>
      </w:r>
      <w:r>
        <w:rPr>
          <w:rFonts w:hint="eastAsia" w:ascii="仿宋" w:hAnsi="仿宋" w:eastAsia="仿宋" w:cs="仿宋_GB2312"/>
          <w:sz w:val="32"/>
          <w:szCs w:val="32"/>
          <w:lang w:eastAsia="zh-CN"/>
        </w:rPr>
        <w:t>县委、县政府</w:t>
      </w:r>
      <w:r>
        <w:rPr>
          <w:rFonts w:hint="eastAsia" w:ascii="仿宋" w:hAnsi="仿宋" w:eastAsia="仿宋" w:cs="仿宋_GB2312"/>
          <w:sz w:val="32"/>
          <w:szCs w:val="32"/>
        </w:rPr>
        <w:t>提出意见和建议。</w:t>
      </w:r>
    </w:p>
    <w:p>
      <w:pPr>
        <w:ind w:firstLine="645"/>
        <w:rPr>
          <w:rFonts w:ascii="楷体" w:hAnsi="楷体" w:eastAsia="楷体"/>
          <w:sz w:val="32"/>
          <w:szCs w:val="32"/>
        </w:rPr>
      </w:pPr>
      <w:r>
        <w:rPr>
          <w:rFonts w:hint="eastAsia" w:ascii="楷体" w:hAnsi="楷体" w:eastAsia="楷体"/>
          <w:sz w:val="32"/>
          <w:szCs w:val="32"/>
        </w:rPr>
        <w:t>职责分类绩效目标</w:t>
      </w:r>
    </w:p>
    <w:p>
      <w:pPr>
        <w:ind w:firstLine="645"/>
        <w:rPr>
          <w:rFonts w:ascii="仿宋" w:hAnsi="仿宋" w:eastAsia="仿宋" w:cs="仿宋_GB2312"/>
          <w:sz w:val="32"/>
          <w:szCs w:val="32"/>
        </w:rPr>
      </w:pPr>
      <w:r>
        <w:rPr>
          <w:rFonts w:hint="eastAsia" w:ascii="仿宋" w:hAnsi="仿宋" w:eastAsia="仿宋" w:cs="仿宋_GB2312"/>
          <w:sz w:val="32"/>
          <w:szCs w:val="32"/>
        </w:rPr>
        <w:t>人民政协的主要职责是政治协商、民主监督、参政议政。</w:t>
      </w:r>
    </w:p>
    <w:p>
      <w:pPr>
        <w:ind w:firstLine="645"/>
        <w:rPr>
          <w:rFonts w:ascii="仿宋" w:hAnsi="仿宋" w:eastAsia="仿宋" w:cs="仿宋_GB2312"/>
          <w:sz w:val="32"/>
          <w:szCs w:val="32"/>
        </w:rPr>
      </w:pPr>
      <w:r>
        <w:rPr>
          <w:rFonts w:hint="eastAsia" w:ascii="仿宋" w:hAnsi="仿宋" w:eastAsia="仿宋" w:cs="仿宋_GB2312"/>
          <w:sz w:val="32"/>
          <w:szCs w:val="32"/>
        </w:rPr>
        <w:t>政治协商，是对国家和地方的大政方针以及政治、经济、文化和社会生活中的重要问题在决策之前进行协商和就决策执行过程中的重要问题进行协商。</w:t>
      </w:r>
    </w:p>
    <w:p>
      <w:pPr>
        <w:ind w:firstLine="645"/>
        <w:rPr>
          <w:rFonts w:ascii="仿宋" w:hAnsi="仿宋" w:eastAsia="仿宋" w:cs="仿宋_GB2312"/>
          <w:sz w:val="32"/>
          <w:szCs w:val="32"/>
        </w:rPr>
      </w:pPr>
      <w:r>
        <w:rPr>
          <w:rFonts w:hint="eastAsia" w:ascii="仿宋" w:hAnsi="仿宋" w:eastAsia="仿宋" w:cs="仿宋_GB2312"/>
          <w:sz w:val="32"/>
          <w:szCs w:val="32"/>
        </w:rPr>
        <w:t>民主监督，是对国家宪法、法律和法规的实施，重大方针政策的贯彻执行、国家机关及其工作人员的工作，通过建议和批评进行监督。</w:t>
      </w:r>
    </w:p>
    <w:p>
      <w:pPr>
        <w:ind w:firstLine="645"/>
        <w:rPr>
          <w:rFonts w:ascii="仿宋" w:hAnsi="仿宋" w:eastAsia="仿宋" w:cs="仿宋_GB2312"/>
          <w:sz w:val="32"/>
          <w:szCs w:val="32"/>
        </w:rPr>
      </w:pPr>
      <w:r>
        <w:rPr>
          <w:rFonts w:hint="eastAsia" w:ascii="仿宋" w:hAnsi="仿宋" w:eastAsia="仿宋" w:cs="仿宋_GB2312"/>
          <w:sz w:val="32"/>
          <w:szCs w:val="32"/>
        </w:rPr>
        <w:t>参政议政，是对政治、经济、文化和社会生活中的重要问题以及人民群众普遍关心的问题，开展调查研究，反映社情民意，进行协商讨论。通过调研报告、提案、建议案或其他形式，向中国共产党和国家机关提出意见和建议。</w:t>
      </w:r>
    </w:p>
    <w:p>
      <w:pPr>
        <w:ind w:firstLine="645"/>
        <w:rPr>
          <w:rFonts w:ascii="楷体" w:hAnsi="楷体" w:eastAsia="楷体"/>
          <w:sz w:val="32"/>
          <w:szCs w:val="32"/>
        </w:rPr>
      </w:pPr>
      <w:r>
        <w:rPr>
          <w:rFonts w:hint="eastAsia" w:ascii="楷体" w:hAnsi="楷体" w:eastAsia="楷体"/>
          <w:sz w:val="32"/>
          <w:szCs w:val="32"/>
        </w:rPr>
        <w:t xml:space="preserve"> 实现年度发展规划目标的保障措施</w:t>
      </w:r>
    </w:p>
    <w:p>
      <w:pPr>
        <w:autoSpaceDE w:val="0"/>
        <w:autoSpaceDN w:val="0"/>
        <w:adjustRightInd w:val="0"/>
        <w:spacing w:line="360" w:lineRule="auto"/>
        <w:ind w:left="198" w:firstLine="640" w:firstLineChars="200"/>
        <w:jc w:val="left"/>
        <w:rPr>
          <w:rFonts w:ascii="仿宋" w:hAnsi="仿宋" w:eastAsia="仿宋" w:cs="仿宋_GB2312"/>
          <w:sz w:val="32"/>
          <w:szCs w:val="32"/>
        </w:rPr>
      </w:pPr>
      <w:r>
        <w:rPr>
          <w:rFonts w:hint="eastAsia" w:ascii="仿宋" w:hAnsi="仿宋" w:eastAsia="仿宋" w:cs="仿宋_GB2312"/>
          <w:sz w:val="32"/>
          <w:szCs w:val="32"/>
        </w:rPr>
        <w:t>为了更好的实现本年度工作规划目标，我办制定了严格的考核奖惩机制，从制度上约广大委员努力工作，为争先创优作出贡献。一是加强思想教育学习，提高政治觉悟，坚定政治立场；二是要加强提案知识学习，提升参政议政水平。三是加强经费使用管理，尤其是各专项资金的使用，做到专款专用，杜绝浪费和其他项目开支。</w:t>
      </w:r>
    </w:p>
    <w:p>
      <w:pPr>
        <w:ind w:firstLine="645"/>
        <w:rPr>
          <w:rFonts w:ascii="仿宋" w:hAnsi="仿宋" w:eastAsia="仿宋" w:cs="仿宋_GB2312"/>
          <w:sz w:val="32"/>
          <w:szCs w:val="32"/>
        </w:rPr>
      </w:pPr>
    </w:p>
    <w:p>
      <w:pPr>
        <w:numPr>
          <w:ilvl w:val="0"/>
          <w:numId w:val="1"/>
        </w:numPr>
        <w:rPr>
          <w:rFonts w:ascii="楷体" w:hAnsi="楷体" w:eastAsia="楷体"/>
          <w:sz w:val="32"/>
          <w:szCs w:val="32"/>
        </w:rPr>
      </w:pPr>
      <w:r>
        <w:rPr>
          <w:rFonts w:hint="eastAsia" w:ascii="楷体" w:hAnsi="楷体" w:eastAsia="楷体"/>
          <w:sz w:val="32"/>
          <w:szCs w:val="32"/>
        </w:rPr>
        <w:t>部门职责</w:t>
      </w:r>
      <w:r>
        <w:rPr>
          <w:rFonts w:ascii="楷体" w:hAnsi="楷体" w:eastAsia="楷体"/>
          <w:sz w:val="32"/>
          <w:szCs w:val="32"/>
        </w:rPr>
        <w:t>-</w:t>
      </w:r>
      <w:r>
        <w:rPr>
          <w:rFonts w:hint="eastAsia" w:ascii="楷体" w:hAnsi="楷体" w:eastAsia="楷体"/>
          <w:sz w:val="32"/>
          <w:szCs w:val="32"/>
        </w:rPr>
        <w:t>工作活动绩效目标</w:t>
      </w:r>
    </w:p>
    <w:p>
      <w:pPr>
        <w:ind w:firstLine="645"/>
        <w:jc w:val="center"/>
        <w:rPr>
          <w:rFonts w:ascii="仿宋" w:hAnsi="仿宋" w:eastAsia="仿宋"/>
          <w:sz w:val="32"/>
          <w:szCs w:val="32"/>
        </w:rPr>
      </w:pPr>
      <w:r>
        <w:rPr>
          <w:rFonts w:hint="eastAsia" w:ascii="仿宋" w:hAnsi="仿宋" w:eastAsia="仿宋"/>
          <w:sz w:val="32"/>
          <w:szCs w:val="32"/>
        </w:rPr>
        <w:t>部门职责</w:t>
      </w:r>
      <w:r>
        <w:rPr>
          <w:rFonts w:ascii="仿宋" w:hAnsi="仿宋" w:eastAsia="仿宋"/>
          <w:sz w:val="32"/>
          <w:szCs w:val="32"/>
        </w:rPr>
        <w:t>-</w:t>
      </w:r>
      <w:r>
        <w:rPr>
          <w:rFonts w:hint="eastAsia" w:ascii="仿宋" w:hAnsi="仿宋" w:eastAsia="仿宋"/>
          <w:sz w:val="32"/>
          <w:szCs w:val="32"/>
        </w:rPr>
        <w:t>工作活动绩效目标</w:t>
      </w:r>
    </w:p>
    <w:p>
      <w:pPr>
        <w:ind w:firstLine="645"/>
        <w:jc w:val="center"/>
        <w:rPr>
          <w:rFonts w:ascii="仿宋" w:hAnsi="仿宋" w:eastAsia="仿宋"/>
          <w:sz w:val="32"/>
          <w:szCs w:val="32"/>
        </w:rPr>
      </w:pP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131</w:t>
            </w:r>
            <w:r>
              <w:rPr>
                <w:rFonts w:hint="eastAsia" w:ascii="方正小标宋_GBK" w:eastAsia="方正小标宋_GBK"/>
                <w:sz w:val="24"/>
              </w:rPr>
              <w:t>政协</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一、政治协商</w:t>
            </w:r>
          </w:p>
        </w:tc>
        <w:tc>
          <w:tcPr>
            <w:tcW w:w="1276" w:type="dxa"/>
            <w:vAlign w:val="center"/>
          </w:tcPr>
          <w:p>
            <w:pPr>
              <w:spacing w:line="300" w:lineRule="exact"/>
              <w:jc w:val="left"/>
              <w:rPr>
                <w:rFonts w:ascii="方正书宋_GBK" w:eastAsia="方正书宋_GBK"/>
              </w:rPr>
            </w:pPr>
            <w:r>
              <w:rPr>
                <w:rFonts w:ascii="方正书宋_GBK" w:eastAsia="方正书宋_GBK"/>
              </w:rPr>
              <w:t>23.00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就大政方针以及政治、经济、文化、社会和生态文明中的重要问题在决策之前进行协商和就决策执行过程中的重要问题进行协商。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完善各项会议制度，规范会议程序，提高会议质量，提高政治协商水平。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、政协会议</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23.00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会议是人民政协履行职能的主要形式，是开展工作的主体，是委员履行自身职责的主要途径。包括全体会议、常委会议、主席会议、秘书长会议、各专委会会议等。</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完善各项会议制度，规范会议程序，提高会议质量，提高政治协商水平。</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政治任务实现率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会议筹备及会务工作的完成率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、民主协商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根据形势、任务和党委政府统一部署，安排协商活动，召开专题协商会、协商民主会、专题座谈会、情况通报会、意见听取会、工作研讨会和学习座谈会等。</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增强开展政治协商的自觉性和主动性，规范协商内容，丰富协商形式和层次，把政治协商纳入决策程序。</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专题协商活动完成率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二、民主监督</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有效履行民主监督职责，发挥好协调关系、汇聚力量、建言献策、服务大局的作用。通过意见、建议、批评的方式对国家法律法规的实施、重大方针政策的贯彻执行、党和政府的工作进行政治监督。</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完善民主监督机制，畅通民主监督渠道，建立健全知情、沟通制度，将民主监督寓于委员提案、进行视察、参与工作检查等活动中，提高民主监督质量和成效。</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、监督事务</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组织、鼓励和引导委员深入实际、走向基层、贴近群众开展视察考察，通过建议案、提案等形式进行监督。通过参加党委政府组织的调查和检查活动实施监督。</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完善民主监督机制，畅通民主监督渠道，建立健全知情、沟通制度，加强工作协调配合，提高民主监督的质量和成效。</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监督工作任务完成率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、提案工作</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对政协委员和参加政协的各党派团体以及各专委会（提案者）的提案进行审查立案，立案后交承办单位办理，适时通过协调、沟通、座谈、视察等形式进行督办。</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完善提案审查、办理和反馈机制，做到提案程序更加规范，制度更加完善，提案质量和办理质量不断提高，政协履职作用更加突出。</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提案督办完成率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提案交办率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三、参政议政</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通过对重大问题以及人民群众普遍关心的问题，开展调查研究，反映社情民意，进行协商讨论，以调研报告、建议案或其他形式，向县委、县政府提出意见和建议。</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发挥政协作为扩大社会各界有序参与的重要渠道作用，探索开展活动的新方法新途径，充分调动委员参政议政积极，向县委、县政府提出高质量的建议案。</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、专题调研</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选择经济社会发展中具有综合性、全局性、前瞻性的课题，在县委和县政府有关部门密切配合下，深入调查研究，开展咨询论证、提出意见建议。</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通过调研课题就党和政府关注的问题，提出客观、有价值、有分量、有影响的意见建议，促进决策民主化和科学化。</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调研结果和政策建议采纳数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vAlign w:val="center"/>
          </w:tcPr>
          <w:p>
            <w:pPr>
              <w:spacing w:line="300" w:lineRule="exact"/>
              <w:jc w:val="center"/>
              <w:rPr>
                <w:rFonts w:ascii="方正书宋_GBK" w:eastAsia="方正书宋_GBK"/>
              </w:rPr>
            </w:pPr>
            <w:r>
              <w:rPr>
                <w:rFonts w:ascii="方正书宋_GBK" w:eastAsia="方正书宋_GBK"/>
              </w:rPr>
              <w:t>&lt;20%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重点课题和专项调研完成率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、社情民意</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利用政协自身包容各界、联系广泛、人才聚集的优势和特点，了解和反映社会不同阶层、群体的愿望和要求，将分散在民间、基层有识之士的真知灼见反映给决策部门。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通过界别渠道密切联系群众，反映社情民意，努力做到协调关系、化解矛盾、理顺情绪，增进社会各阶层不同利益群体的和谐和稳定。</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社情民意反映率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四、政协事务管理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县政协自身建设、理论研究以及宣传工作，与县内外有关单位的联系协调；负责机关外事工作，机构编制、人事任免、人员培训、考核奖惩、工资福利，后勤保障、经费资产管理、基建和审计，接待、离退休人员服务，承办县政协主席、副主席、秘书长交办的其他事项。</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机关自身建设、服务保障能力进一步提升。</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加强县政协机关与专委会自身建设以及理论研究和宣传工作，扩大与省市政协办公厅，县委、县人大常委会、县政府办公室，县各民主党派、工商联、人民团体、县直有关部门和乡政协的联系、协调工作。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政协自身建设质量更加扎实，工作科学化水平进一步提升。文史资料的社会功能增强，理论研究成果服务履职作用明显。</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县政协机关的机构编制、人事任免、调配及人员培训、考核奖惩、工资福利，后勤保障、机关经费管理、资产管理、基建和审计，机关接待、离退休人员服务，以及承办县政协主席、副主席、秘书长交办的其他事项。</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机关基本设施设备正常运转、信息化保障、老干部服务保障能力进一步提高。</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综合事务保障率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rPr>
          <w:rFonts w:ascii="仿宋_GB2312" w:eastAsia="仿宋_GB2312"/>
          <w:sz w:val="32"/>
          <w:szCs w:val="32"/>
        </w:rPr>
      </w:pPr>
      <w:r>
        <w:rPr>
          <w:rFonts w:ascii="仿宋" w:hAnsi="仿宋" w:eastAsia="仿宋" w:cs="仿宋_GB2312"/>
          <w:sz w:val="32"/>
          <w:szCs w:val="32"/>
        </w:rPr>
        <w:t>201</w:t>
      </w:r>
      <w:r>
        <w:rPr>
          <w:rFonts w:hint="eastAsia" w:ascii="仿宋" w:hAnsi="仿宋" w:eastAsia="仿宋" w:cs="仿宋_GB2312"/>
          <w:sz w:val="32"/>
          <w:szCs w:val="32"/>
        </w:rPr>
        <w:t>9年我部门安排政府采购预算</w:t>
      </w:r>
      <w:r>
        <w:rPr>
          <w:rFonts w:ascii="仿宋" w:hAnsi="仿宋" w:eastAsia="仿宋" w:cs="仿宋_GB2312"/>
          <w:sz w:val="32"/>
          <w:szCs w:val="32"/>
        </w:rPr>
        <w:t>0</w:t>
      </w:r>
      <w:r>
        <w:rPr>
          <w:rFonts w:hint="eastAsia" w:ascii="仿宋" w:hAnsi="仿宋" w:eastAsia="仿宋" w:cs="仿宋_GB2312"/>
          <w:sz w:val="32"/>
          <w:szCs w:val="32"/>
        </w:rPr>
        <w:t>万元。</w:t>
      </w:r>
    </w:p>
    <w:p>
      <w:pPr>
        <w:jc w:val="center"/>
        <w:rPr>
          <w:rFonts w:ascii="仿宋_GB2312" w:eastAsia="仿宋_GB2312"/>
          <w:sz w:val="32"/>
          <w:szCs w:val="32"/>
        </w:rPr>
      </w:pPr>
      <w:r>
        <w:rPr>
          <w:rFonts w:hint="eastAsia" w:ascii="仿宋_GB2312" w:eastAsia="仿宋_GB2312"/>
          <w:sz w:val="32"/>
          <w:szCs w:val="32"/>
        </w:rPr>
        <w:t>部门政府采购预算</w:t>
      </w:r>
    </w:p>
    <w:p>
      <w:pPr>
        <w:jc w:val="left"/>
        <w:rPr>
          <w:rFonts w:ascii="仿宋_GB2312" w:eastAsia="仿宋_GB2312"/>
          <w:sz w:val="32"/>
          <w:szCs w:val="32"/>
        </w:rPr>
      </w:pPr>
      <w:r>
        <w:rPr>
          <w:rFonts w:hint="eastAsia" w:ascii="仿宋_GB2312" w:eastAsia="仿宋_GB2312"/>
          <w:sz w:val="32"/>
          <w:szCs w:val="32"/>
        </w:rPr>
        <w:t>无极县政协办公室                                       单位：万元</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1019"/>
        <w:gridCol w:w="1019"/>
        <w:gridCol w:w="1019"/>
        <w:gridCol w:w="1019"/>
        <w:gridCol w:w="1019"/>
        <w:gridCol w:w="1020"/>
        <w:gridCol w:w="1020"/>
        <w:gridCol w:w="1020"/>
        <w:gridCol w:w="1020"/>
        <w:gridCol w:w="1007"/>
        <w:gridCol w:w="998"/>
        <w:gridCol w:w="950"/>
        <w:gridCol w:w="1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38" w:type="dxa"/>
            <w:gridSpan w:val="2"/>
            <w:vAlign w:val="center"/>
          </w:tcPr>
          <w:p>
            <w:pPr>
              <w:jc w:val="center"/>
              <w:rPr>
                <w:rFonts w:ascii="仿宋_GB2312" w:eastAsia="仿宋_GB2312"/>
                <w:szCs w:val="32"/>
              </w:rPr>
            </w:pPr>
            <w:r>
              <w:rPr>
                <w:rFonts w:hint="eastAsia" w:ascii="仿宋_GB2312" w:eastAsia="仿宋_GB2312"/>
                <w:szCs w:val="32"/>
              </w:rPr>
              <w:t>政府采购项目来源</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采购物品名称</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政府采购目录序号</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数量单位</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数量</w:t>
            </w:r>
          </w:p>
        </w:tc>
        <w:tc>
          <w:tcPr>
            <w:tcW w:w="1020" w:type="dxa"/>
            <w:vMerge w:val="restart"/>
            <w:vAlign w:val="center"/>
          </w:tcPr>
          <w:p>
            <w:pPr>
              <w:jc w:val="center"/>
              <w:rPr>
                <w:rFonts w:ascii="仿宋_GB2312" w:eastAsia="仿宋_GB2312"/>
                <w:szCs w:val="32"/>
              </w:rPr>
            </w:pPr>
            <w:r>
              <w:rPr>
                <w:rFonts w:hint="eastAsia" w:ascii="仿宋_GB2312" w:eastAsia="仿宋_GB2312"/>
                <w:szCs w:val="32"/>
              </w:rPr>
              <w:t>单价</w:t>
            </w:r>
          </w:p>
        </w:tc>
        <w:tc>
          <w:tcPr>
            <w:tcW w:w="7017" w:type="dxa"/>
            <w:gridSpan w:val="7"/>
            <w:vAlign w:val="center"/>
          </w:tcPr>
          <w:p>
            <w:pPr>
              <w:jc w:val="center"/>
              <w:rPr>
                <w:rFonts w:ascii="仿宋_GB2312" w:eastAsia="仿宋_GB2312"/>
                <w:szCs w:val="32"/>
              </w:rPr>
            </w:pPr>
            <w:r>
              <w:rPr>
                <w:rFonts w:hint="eastAsia" w:ascii="仿宋_GB2312" w:eastAsia="仿宋_GB2312"/>
                <w:szCs w:val="32"/>
              </w:rPr>
              <w:t>政府采购金额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restart"/>
            <w:vAlign w:val="center"/>
          </w:tcPr>
          <w:p>
            <w:pPr>
              <w:jc w:val="center"/>
              <w:rPr>
                <w:rFonts w:ascii="仿宋_GB2312" w:eastAsia="仿宋_GB2312"/>
                <w:szCs w:val="32"/>
              </w:rPr>
            </w:pPr>
            <w:r>
              <w:rPr>
                <w:rFonts w:hint="eastAsia" w:ascii="仿宋_GB2312" w:eastAsia="仿宋_GB2312"/>
                <w:szCs w:val="32"/>
              </w:rPr>
              <w:t>项目名称</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预算资金</w:t>
            </w: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Merge w:val="restart"/>
            <w:vAlign w:val="center"/>
          </w:tcPr>
          <w:p>
            <w:pPr>
              <w:jc w:val="center"/>
              <w:rPr>
                <w:rFonts w:ascii="仿宋_GB2312" w:eastAsia="仿宋_GB2312"/>
                <w:szCs w:val="32"/>
              </w:rPr>
            </w:pPr>
            <w:r>
              <w:rPr>
                <w:rFonts w:hint="eastAsia" w:ascii="仿宋_GB2312" w:eastAsia="仿宋_GB2312"/>
                <w:szCs w:val="32"/>
              </w:rPr>
              <w:t>总计</w:t>
            </w:r>
          </w:p>
        </w:tc>
        <w:tc>
          <w:tcPr>
            <w:tcW w:w="4995" w:type="dxa"/>
            <w:gridSpan w:val="5"/>
            <w:vAlign w:val="center"/>
          </w:tcPr>
          <w:p>
            <w:pPr>
              <w:jc w:val="center"/>
              <w:rPr>
                <w:rFonts w:ascii="仿宋_GB2312" w:eastAsia="仿宋_GB2312"/>
                <w:szCs w:val="32"/>
              </w:rPr>
            </w:pPr>
            <w:r>
              <w:rPr>
                <w:rFonts w:hint="eastAsia" w:ascii="仿宋_GB2312" w:eastAsia="仿宋_GB2312"/>
                <w:szCs w:val="32"/>
              </w:rPr>
              <w:t>当年部门预算安排资金</w:t>
            </w:r>
          </w:p>
        </w:tc>
        <w:tc>
          <w:tcPr>
            <w:tcW w:w="1002" w:type="dxa"/>
            <w:vMerge w:val="restart"/>
            <w:vAlign w:val="center"/>
          </w:tcPr>
          <w:p>
            <w:pPr>
              <w:jc w:val="center"/>
              <w:rPr>
                <w:rFonts w:ascii="仿宋_GB2312" w:eastAsia="仿宋_GB2312"/>
                <w:szCs w:val="32"/>
              </w:rPr>
            </w:pPr>
            <w:r>
              <w:rPr>
                <w:rFonts w:hint="eastAsia" w:ascii="仿宋_GB2312" w:eastAsia="仿宋_GB2312"/>
                <w:szCs w:val="32"/>
              </w:rPr>
              <w:t>其他渠道资金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r>
              <w:rPr>
                <w:rFonts w:hint="eastAsia" w:ascii="仿宋_GB2312" w:eastAsia="仿宋_GB2312"/>
                <w:szCs w:val="32"/>
              </w:rPr>
              <w:t>合计</w:t>
            </w:r>
          </w:p>
        </w:tc>
        <w:tc>
          <w:tcPr>
            <w:tcW w:w="1020" w:type="dxa"/>
            <w:vAlign w:val="center"/>
          </w:tcPr>
          <w:p>
            <w:pPr>
              <w:jc w:val="center"/>
              <w:rPr>
                <w:rFonts w:ascii="仿宋_GB2312" w:eastAsia="仿宋_GB2312"/>
                <w:szCs w:val="32"/>
              </w:rPr>
            </w:pPr>
            <w:r>
              <w:rPr>
                <w:rFonts w:hint="eastAsia" w:ascii="仿宋_GB2312" w:eastAsia="仿宋_GB2312"/>
                <w:szCs w:val="32"/>
              </w:rPr>
              <w:t>一般公共预算拨款</w:t>
            </w:r>
          </w:p>
        </w:tc>
        <w:tc>
          <w:tcPr>
            <w:tcW w:w="1007" w:type="dxa"/>
            <w:vAlign w:val="center"/>
          </w:tcPr>
          <w:p>
            <w:pPr>
              <w:jc w:val="center"/>
              <w:rPr>
                <w:rFonts w:ascii="仿宋_GB2312" w:eastAsia="仿宋_GB2312"/>
                <w:szCs w:val="32"/>
              </w:rPr>
            </w:pPr>
            <w:r>
              <w:rPr>
                <w:rFonts w:hint="eastAsia" w:ascii="仿宋_GB2312" w:eastAsia="仿宋_GB2312"/>
                <w:szCs w:val="32"/>
              </w:rPr>
              <w:t>基金预算拨款</w:t>
            </w:r>
          </w:p>
        </w:tc>
        <w:tc>
          <w:tcPr>
            <w:tcW w:w="998" w:type="dxa"/>
            <w:vAlign w:val="center"/>
          </w:tcPr>
          <w:p>
            <w:pPr>
              <w:jc w:val="center"/>
              <w:rPr>
                <w:rFonts w:ascii="仿宋_GB2312" w:eastAsia="仿宋_GB2312"/>
                <w:szCs w:val="32"/>
              </w:rPr>
            </w:pPr>
            <w:r>
              <w:rPr>
                <w:rFonts w:hint="eastAsia" w:ascii="仿宋_GB2312" w:eastAsia="仿宋_GB2312"/>
                <w:szCs w:val="32"/>
              </w:rPr>
              <w:t>财政专户核拨</w:t>
            </w:r>
          </w:p>
        </w:tc>
        <w:tc>
          <w:tcPr>
            <w:tcW w:w="950" w:type="dxa"/>
            <w:vAlign w:val="center"/>
          </w:tcPr>
          <w:p>
            <w:pPr>
              <w:jc w:val="center"/>
              <w:rPr>
                <w:rFonts w:ascii="仿宋_GB2312" w:eastAsia="仿宋_GB2312"/>
                <w:szCs w:val="32"/>
              </w:rPr>
            </w:pPr>
            <w:r>
              <w:rPr>
                <w:rFonts w:hint="eastAsia" w:ascii="仿宋_GB2312" w:eastAsia="仿宋_GB2312"/>
                <w:szCs w:val="32"/>
              </w:rPr>
              <w:t>其他来源收入</w:t>
            </w:r>
          </w:p>
        </w:tc>
        <w:tc>
          <w:tcPr>
            <w:tcW w:w="1002" w:type="dxa"/>
            <w:vMerge w:val="continue"/>
            <w:vAlign w:val="center"/>
          </w:tcPr>
          <w:p>
            <w:pPr>
              <w:jc w:val="center"/>
              <w:rPr>
                <w:rFonts w:ascii="仿宋_GB2312" w:eastAsia="仿宋_GB231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07" w:type="dxa"/>
            <w:vAlign w:val="center"/>
          </w:tcPr>
          <w:p>
            <w:pPr>
              <w:jc w:val="center"/>
              <w:rPr>
                <w:rFonts w:ascii="仿宋_GB2312" w:eastAsia="仿宋_GB2312"/>
                <w:szCs w:val="32"/>
              </w:rPr>
            </w:pPr>
          </w:p>
        </w:tc>
        <w:tc>
          <w:tcPr>
            <w:tcW w:w="998" w:type="dxa"/>
            <w:vAlign w:val="center"/>
          </w:tcPr>
          <w:p>
            <w:pPr>
              <w:jc w:val="center"/>
              <w:rPr>
                <w:rFonts w:ascii="仿宋_GB2312" w:eastAsia="仿宋_GB2312"/>
                <w:szCs w:val="32"/>
              </w:rPr>
            </w:pPr>
          </w:p>
        </w:tc>
        <w:tc>
          <w:tcPr>
            <w:tcW w:w="950" w:type="dxa"/>
            <w:vAlign w:val="center"/>
          </w:tcPr>
          <w:p>
            <w:pPr>
              <w:jc w:val="center"/>
              <w:rPr>
                <w:rFonts w:ascii="仿宋_GB2312" w:eastAsia="仿宋_GB2312"/>
                <w:szCs w:val="32"/>
              </w:rPr>
            </w:pPr>
          </w:p>
        </w:tc>
        <w:tc>
          <w:tcPr>
            <w:tcW w:w="1002" w:type="dxa"/>
            <w:vAlign w:val="center"/>
          </w:tcPr>
          <w:p>
            <w:pPr>
              <w:jc w:val="center"/>
              <w:rPr>
                <w:rFonts w:ascii="仿宋_GB2312" w:eastAsia="仿宋_GB231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07" w:type="dxa"/>
            <w:vAlign w:val="center"/>
          </w:tcPr>
          <w:p>
            <w:pPr>
              <w:jc w:val="center"/>
              <w:rPr>
                <w:rFonts w:ascii="仿宋_GB2312" w:eastAsia="仿宋_GB2312"/>
                <w:szCs w:val="32"/>
              </w:rPr>
            </w:pPr>
          </w:p>
        </w:tc>
        <w:tc>
          <w:tcPr>
            <w:tcW w:w="998" w:type="dxa"/>
            <w:vAlign w:val="center"/>
          </w:tcPr>
          <w:p>
            <w:pPr>
              <w:jc w:val="center"/>
              <w:rPr>
                <w:rFonts w:ascii="仿宋_GB2312" w:eastAsia="仿宋_GB2312"/>
                <w:szCs w:val="32"/>
              </w:rPr>
            </w:pPr>
          </w:p>
        </w:tc>
        <w:tc>
          <w:tcPr>
            <w:tcW w:w="950" w:type="dxa"/>
            <w:vAlign w:val="center"/>
          </w:tcPr>
          <w:p>
            <w:pPr>
              <w:jc w:val="center"/>
              <w:rPr>
                <w:rFonts w:ascii="仿宋_GB2312" w:eastAsia="仿宋_GB2312"/>
                <w:szCs w:val="32"/>
              </w:rPr>
            </w:pPr>
          </w:p>
        </w:tc>
        <w:tc>
          <w:tcPr>
            <w:tcW w:w="1002" w:type="dxa"/>
            <w:vAlign w:val="center"/>
          </w:tcPr>
          <w:p>
            <w:pPr>
              <w:jc w:val="center"/>
              <w:rPr>
                <w:rFonts w:ascii="仿宋_GB2312" w:eastAsia="仿宋_GB2312"/>
                <w:szCs w:val="32"/>
              </w:rPr>
            </w:pPr>
          </w:p>
        </w:tc>
      </w:tr>
    </w:tbl>
    <w:p>
      <w:pPr>
        <w:jc w:val="left"/>
        <w:rPr>
          <w:rFonts w:ascii="仿宋" w:hAnsi="仿宋" w:eastAsia="仿宋" w:cs="仿宋_GB2312"/>
          <w:sz w:val="32"/>
          <w:szCs w:val="32"/>
        </w:rPr>
      </w:pPr>
      <w:r>
        <w:rPr>
          <w:rFonts w:hint="eastAsia" w:ascii="仿宋_GB2312" w:eastAsia="仿宋_GB2312"/>
          <w:sz w:val="32"/>
          <w:szCs w:val="32"/>
        </w:rPr>
        <w:t>注：我单位无政府采购，空表列示。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pStyle w:val="9"/>
        <w:ind w:firstLine="640" w:firstLineChars="200"/>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无极县政协办上年末固定资产为60万元（详见下表）。本年度拟购置固定资产为0万元。</w:t>
      </w:r>
    </w:p>
    <w:p>
      <w:pPr>
        <w:pStyle w:val="9"/>
        <w:ind w:firstLine="640" w:firstLineChars="200"/>
        <w:rPr>
          <w:rFonts w:ascii="仿宋" w:hAnsi="仿宋" w:eastAsia="仿宋"/>
          <w:bCs/>
          <w:sz w:val="32"/>
          <w:szCs w:val="32"/>
          <w:lang w:eastAsia="zh-CN"/>
        </w:rPr>
      </w:pPr>
    </w:p>
    <w:p>
      <w:pPr>
        <w:autoSpaceDE w:val="0"/>
        <w:autoSpaceDN w:val="0"/>
        <w:adjustRightInd w:val="0"/>
        <w:ind w:left="420" w:leftChars="200"/>
        <w:jc w:val="center"/>
        <w:rPr>
          <w:rFonts w:ascii="仿宋" w:hAnsi="仿宋" w:eastAsia="仿宋"/>
          <w:sz w:val="32"/>
        </w:rPr>
      </w:pPr>
    </w:p>
    <w:p>
      <w:pPr>
        <w:autoSpaceDE w:val="0"/>
        <w:autoSpaceDN w:val="0"/>
        <w:adjustRightInd w:val="0"/>
        <w:ind w:left="420" w:leftChars="200"/>
        <w:jc w:val="center"/>
        <w:rPr>
          <w:rFonts w:ascii="仿宋" w:hAnsi="仿宋" w:eastAsia="仿宋"/>
          <w:sz w:val="32"/>
        </w:rPr>
      </w:pPr>
    </w:p>
    <w:p>
      <w:pPr>
        <w:autoSpaceDE w:val="0"/>
        <w:autoSpaceDN w:val="0"/>
        <w:adjustRightInd w:val="0"/>
        <w:ind w:left="420" w:leftChars="200"/>
        <w:jc w:val="center"/>
        <w:rPr>
          <w:rFonts w:ascii="仿宋" w:hAnsi="仿宋" w:eastAsia="仿宋"/>
          <w:sz w:val="32"/>
        </w:rPr>
      </w:pP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无极县政协办固定资产占用情况表</w:t>
      </w:r>
    </w:p>
    <w:tbl>
      <w:tblPr>
        <w:tblStyle w:val="4"/>
        <w:tblW w:w="8821" w:type="dxa"/>
        <w:jc w:val="center"/>
        <w:tblLayout w:type="fixed"/>
        <w:tblCellMar>
          <w:top w:w="0" w:type="dxa"/>
          <w:left w:w="108" w:type="dxa"/>
          <w:bottom w:w="0" w:type="dxa"/>
          <w:right w:w="108" w:type="dxa"/>
        </w:tblCellMar>
      </w:tblPr>
      <w:tblGrid>
        <w:gridCol w:w="4306"/>
        <w:gridCol w:w="1785"/>
        <w:gridCol w:w="2730"/>
      </w:tblGrid>
      <w:tr>
        <w:tblPrEx>
          <w:tblCellMar>
            <w:top w:w="0" w:type="dxa"/>
            <w:left w:w="108" w:type="dxa"/>
            <w:bottom w:w="0" w:type="dxa"/>
            <w:right w:w="108" w:type="dxa"/>
          </w:tblCellMar>
        </w:tblPrEx>
        <w:trPr>
          <w:trHeight w:val="510" w:hRule="atLeast"/>
          <w:jc w:val="center"/>
        </w:trPr>
        <w:tc>
          <w:tcPr>
            <w:tcW w:w="6091" w:type="dxa"/>
            <w:gridSpan w:val="2"/>
            <w:tcBorders>
              <w:top w:val="nil"/>
              <w:left w:val="nil"/>
              <w:bottom w:val="nil"/>
              <w:right w:val="nil"/>
            </w:tcBorders>
            <w:vAlign w:val="center"/>
          </w:tcPr>
          <w:p>
            <w:pPr>
              <w:widowControl/>
              <w:jc w:val="left"/>
              <w:rPr>
                <w:rFonts w:ascii="仿宋" w:hAnsi="仿宋" w:eastAsia="仿宋"/>
                <w:sz w:val="24"/>
              </w:rPr>
            </w:pPr>
            <w:r>
              <w:rPr>
                <w:rFonts w:hint="eastAsia" w:ascii="仿宋" w:hAnsi="仿宋" w:eastAsia="仿宋"/>
                <w:sz w:val="24"/>
              </w:rPr>
              <w:t>编制部门：中国人民政治协商会议无极县委员会办公室</w:t>
            </w:r>
          </w:p>
        </w:tc>
        <w:tc>
          <w:tcPr>
            <w:tcW w:w="2730" w:type="dxa"/>
            <w:tcBorders>
              <w:top w:val="nil"/>
              <w:left w:val="nil"/>
              <w:bottom w:val="nil"/>
              <w:right w:val="nil"/>
            </w:tcBorders>
            <w:vAlign w:val="center"/>
          </w:tcPr>
          <w:p>
            <w:pPr>
              <w:widowControl/>
              <w:jc w:val="left"/>
              <w:rPr>
                <w:rFonts w:ascii="仿宋" w:hAnsi="仿宋" w:eastAsia="仿宋"/>
                <w:sz w:val="18"/>
                <w:szCs w:val="18"/>
              </w:rPr>
            </w:pPr>
            <w:r>
              <w:rPr>
                <w:rFonts w:hint="eastAsia" w:ascii="仿宋" w:hAnsi="仿宋" w:eastAsia="仿宋"/>
                <w:sz w:val="18"/>
                <w:szCs w:val="18"/>
              </w:rPr>
              <w:t>截止时间：</w:t>
            </w:r>
            <w:r>
              <w:rPr>
                <w:rFonts w:ascii="仿宋" w:hAnsi="仿宋" w:eastAsia="仿宋"/>
                <w:sz w:val="18"/>
                <w:szCs w:val="18"/>
              </w:rPr>
              <w:t>201</w:t>
            </w:r>
            <w:r>
              <w:rPr>
                <w:rFonts w:hint="eastAsia" w:ascii="仿宋" w:hAnsi="仿宋" w:eastAsia="仿宋"/>
                <w:sz w:val="18"/>
                <w:szCs w:val="18"/>
              </w:rPr>
              <w:t>8年</w:t>
            </w:r>
            <w:r>
              <w:rPr>
                <w:rFonts w:ascii="仿宋" w:hAnsi="仿宋" w:eastAsia="仿宋"/>
                <w:sz w:val="18"/>
                <w:szCs w:val="18"/>
              </w:rPr>
              <w:t>12</w:t>
            </w:r>
            <w:r>
              <w:rPr>
                <w:rFonts w:hint="eastAsia" w:ascii="仿宋" w:hAnsi="仿宋" w:eastAsia="仿宋"/>
                <w:sz w:val="18"/>
                <w:szCs w:val="18"/>
              </w:rPr>
              <w:t>月</w:t>
            </w:r>
            <w:r>
              <w:rPr>
                <w:rFonts w:ascii="仿宋" w:hAnsi="仿宋" w:eastAsia="仿宋"/>
                <w:sz w:val="18"/>
                <w:szCs w:val="18"/>
              </w:rPr>
              <w:t>31</w:t>
            </w:r>
            <w:r>
              <w:rPr>
                <w:rFonts w:hint="eastAsia" w:ascii="仿宋" w:hAnsi="仿宋" w:eastAsia="仿宋"/>
                <w:sz w:val="18"/>
                <w:szCs w:val="18"/>
              </w:rPr>
              <w:t>日</w:t>
            </w:r>
          </w:p>
        </w:tc>
      </w:tr>
      <w:tr>
        <w:tblPrEx>
          <w:tblCellMar>
            <w:top w:w="0" w:type="dxa"/>
            <w:left w:w="108" w:type="dxa"/>
            <w:bottom w:w="0" w:type="dxa"/>
            <w:right w:w="108" w:type="dxa"/>
          </w:tblCellMar>
        </w:tblPrEx>
        <w:trPr>
          <w:trHeight w:val="645" w:hRule="atLeast"/>
          <w:jc w:val="center"/>
        </w:trPr>
        <w:tc>
          <w:tcPr>
            <w:tcW w:w="4306"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方正书宋_GBK" w:hAnsi="Calibri" w:eastAsia="方正书宋_GBK"/>
                <w:szCs w:val="22"/>
              </w:rPr>
            </w:pPr>
            <w:r>
              <w:rPr>
                <w:rFonts w:hint="eastAsia" w:ascii="方正书宋_GBK" w:hAnsi="Calibri" w:eastAsia="方正书宋_GBK"/>
                <w:szCs w:val="22"/>
              </w:rPr>
              <w:t>项目</w:t>
            </w:r>
          </w:p>
        </w:tc>
        <w:tc>
          <w:tcPr>
            <w:tcW w:w="1785" w:type="dxa"/>
            <w:tcBorders>
              <w:top w:val="single" w:color="auto" w:sz="4" w:space="0"/>
              <w:left w:val="nil"/>
              <w:bottom w:val="single" w:color="auto" w:sz="4" w:space="0"/>
              <w:right w:val="single" w:color="auto" w:sz="4" w:space="0"/>
            </w:tcBorders>
            <w:vAlign w:val="center"/>
          </w:tcPr>
          <w:p>
            <w:pPr>
              <w:spacing w:line="300" w:lineRule="exact"/>
              <w:jc w:val="left"/>
              <w:rPr>
                <w:rFonts w:ascii="方正书宋_GBK" w:hAnsi="Calibri" w:eastAsia="方正书宋_GBK"/>
                <w:szCs w:val="22"/>
              </w:rPr>
            </w:pPr>
            <w:r>
              <w:rPr>
                <w:rFonts w:hint="eastAsia" w:ascii="方正书宋_GBK" w:hAnsi="Calibri" w:eastAsia="方正书宋_GBK"/>
                <w:szCs w:val="22"/>
              </w:rPr>
              <w:t>数量</w:t>
            </w:r>
          </w:p>
        </w:tc>
        <w:tc>
          <w:tcPr>
            <w:tcW w:w="2730" w:type="dxa"/>
            <w:tcBorders>
              <w:top w:val="single" w:color="auto" w:sz="4" w:space="0"/>
              <w:left w:val="nil"/>
              <w:bottom w:val="single" w:color="auto" w:sz="4" w:space="0"/>
              <w:right w:val="single" w:color="auto" w:sz="4" w:space="0"/>
            </w:tcBorders>
            <w:vAlign w:val="center"/>
          </w:tcPr>
          <w:p>
            <w:pPr>
              <w:spacing w:line="300" w:lineRule="exact"/>
              <w:jc w:val="left"/>
              <w:rPr>
                <w:rFonts w:ascii="方正书宋_GBK" w:hAnsi="Calibri" w:eastAsia="方正书宋_GBK"/>
                <w:szCs w:val="22"/>
              </w:rPr>
            </w:pPr>
            <w:r>
              <w:rPr>
                <w:rFonts w:hint="eastAsia" w:ascii="方正书宋_GBK" w:hAnsi="Calibri" w:eastAsia="方正书宋_GBK"/>
                <w:szCs w:val="22"/>
              </w:rPr>
              <w:t>价值（金额单位：万元）</w:t>
            </w:r>
          </w:p>
        </w:tc>
      </w:tr>
      <w:tr>
        <w:tblPrEx>
          <w:tblCellMar>
            <w:top w:w="0" w:type="dxa"/>
            <w:left w:w="108" w:type="dxa"/>
            <w:bottom w:w="0" w:type="dxa"/>
            <w:right w:w="108" w:type="dxa"/>
          </w:tblCellMar>
        </w:tblPrEx>
        <w:trPr>
          <w:trHeight w:val="645" w:hRule="atLeast"/>
          <w:jc w:val="center"/>
        </w:trPr>
        <w:tc>
          <w:tcPr>
            <w:tcW w:w="4306" w:type="dxa"/>
            <w:tcBorders>
              <w:top w:val="nil"/>
              <w:left w:val="single" w:color="auto" w:sz="4" w:space="0"/>
              <w:bottom w:val="single" w:color="auto" w:sz="4" w:space="0"/>
              <w:right w:val="single" w:color="auto" w:sz="4" w:space="0"/>
            </w:tcBorders>
            <w:vAlign w:val="center"/>
          </w:tcPr>
          <w:p>
            <w:pPr>
              <w:spacing w:line="300" w:lineRule="exact"/>
              <w:jc w:val="left"/>
              <w:rPr>
                <w:rFonts w:ascii="方正书宋_GBK" w:hAnsi="Calibri" w:eastAsia="方正书宋_GBK"/>
                <w:szCs w:val="22"/>
              </w:rPr>
            </w:pPr>
            <w:r>
              <w:rPr>
                <w:rFonts w:hint="eastAsia" w:ascii="方正书宋_GBK" w:hAnsi="Calibri" w:eastAsia="方正书宋_GBK"/>
                <w:szCs w:val="22"/>
              </w:rPr>
              <w:t>资产总额</w:t>
            </w:r>
          </w:p>
        </w:tc>
        <w:tc>
          <w:tcPr>
            <w:tcW w:w="1785" w:type="dxa"/>
            <w:tcBorders>
              <w:top w:val="nil"/>
              <w:left w:val="nil"/>
              <w:bottom w:val="single" w:color="auto" w:sz="4" w:space="0"/>
              <w:right w:val="single" w:color="auto" w:sz="4" w:space="0"/>
            </w:tcBorders>
            <w:vAlign w:val="center"/>
          </w:tcPr>
          <w:p>
            <w:pPr>
              <w:spacing w:line="300" w:lineRule="exact"/>
              <w:jc w:val="left"/>
              <w:rPr>
                <w:rFonts w:ascii="方正书宋_GBK" w:hAnsi="Calibri" w:eastAsia="方正书宋_GBK"/>
                <w:szCs w:val="22"/>
              </w:rPr>
            </w:pPr>
            <w:r>
              <w:rPr>
                <w:rFonts w:ascii="方正书宋_GBK" w:hAnsi="Calibri" w:eastAsia="方正书宋_GBK"/>
                <w:szCs w:val="22"/>
              </w:rPr>
              <w:t>——</w:t>
            </w:r>
          </w:p>
        </w:tc>
        <w:tc>
          <w:tcPr>
            <w:tcW w:w="2730" w:type="dxa"/>
            <w:tcBorders>
              <w:top w:val="nil"/>
              <w:left w:val="nil"/>
              <w:bottom w:val="single" w:color="auto" w:sz="4" w:space="0"/>
              <w:right w:val="single" w:color="auto" w:sz="4" w:space="0"/>
            </w:tcBorders>
            <w:vAlign w:val="center"/>
          </w:tcPr>
          <w:p>
            <w:pPr>
              <w:spacing w:line="300" w:lineRule="exact"/>
              <w:jc w:val="center"/>
              <w:rPr>
                <w:rFonts w:ascii="方正书宋_GBK" w:hAnsi="Calibri" w:eastAsia="方正书宋_GBK"/>
                <w:szCs w:val="22"/>
              </w:rPr>
            </w:pPr>
            <w:r>
              <w:rPr>
                <w:rFonts w:hint="eastAsia" w:ascii="方正书宋_GBK" w:hAnsi="Calibri" w:eastAsia="方正书宋_GBK"/>
                <w:szCs w:val="22"/>
              </w:rPr>
              <w:t>60</w:t>
            </w:r>
          </w:p>
        </w:tc>
      </w:tr>
      <w:tr>
        <w:tblPrEx>
          <w:tblCellMar>
            <w:top w:w="0" w:type="dxa"/>
            <w:left w:w="108" w:type="dxa"/>
            <w:bottom w:w="0" w:type="dxa"/>
            <w:right w:w="108" w:type="dxa"/>
          </w:tblCellMar>
        </w:tblPrEx>
        <w:trPr>
          <w:trHeight w:val="645" w:hRule="atLeast"/>
          <w:jc w:val="center"/>
        </w:trPr>
        <w:tc>
          <w:tcPr>
            <w:tcW w:w="4306" w:type="dxa"/>
            <w:tcBorders>
              <w:top w:val="nil"/>
              <w:left w:val="single" w:color="auto" w:sz="4" w:space="0"/>
              <w:bottom w:val="single" w:color="auto" w:sz="4" w:space="0"/>
              <w:right w:val="single" w:color="auto" w:sz="4" w:space="0"/>
            </w:tcBorders>
            <w:vAlign w:val="center"/>
          </w:tcPr>
          <w:p>
            <w:pPr>
              <w:spacing w:line="300" w:lineRule="exact"/>
              <w:jc w:val="left"/>
              <w:rPr>
                <w:rFonts w:ascii="方正书宋_GBK" w:hAnsi="Calibri" w:eastAsia="方正书宋_GBK"/>
                <w:szCs w:val="22"/>
              </w:rPr>
            </w:pPr>
            <w:r>
              <w:rPr>
                <w:rFonts w:ascii="方正书宋_GBK" w:hAnsi="Calibri" w:eastAsia="方正书宋_GBK"/>
                <w:szCs w:val="22"/>
              </w:rPr>
              <w:t>1</w:t>
            </w:r>
            <w:r>
              <w:rPr>
                <w:rFonts w:hint="eastAsia" w:ascii="方正书宋_GBK" w:hAnsi="Calibri" w:eastAsia="方正书宋_GBK"/>
                <w:szCs w:val="22"/>
              </w:rPr>
              <w:t>、房屋（平方米）</w:t>
            </w:r>
          </w:p>
        </w:tc>
        <w:tc>
          <w:tcPr>
            <w:tcW w:w="1785" w:type="dxa"/>
            <w:tcBorders>
              <w:top w:val="nil"/>
              <w:left w:val="nil"/>
              <w:bottom w:val="single" w:color="auto" w:sz="4" w:space="0"/>
              <w:right w:val="single" w:color="auto" w:sz="4" w:space="0"/>
            </w:tcBorders>
            <w:vAlign w:val="center"/>
          </w:tcPr>
          <w:p>
            <w:pPr>
              <w:spacing w:line="300" w:lineRule="exact"/>
              <w:jc w:val="center"/>
              <w:rPr>
                <w:rFonts w:ascii="方正书宋_GBK" w:hAnsi="Calibri" w:eastAsia="方正书宋_GBK"/>
                <w:szCs w:val="22"/>
              </w:rPr>
            </w:pPr>
          </w:p>
        </w:tc>
        <w:tc>
          <w:tcPr>
            <w:tcW w:w="2730" w:type="dxa"/>
            <w:tcBorders>
              <w:top w:val="nil"/>
              <w:left w:val="nil"/>
              <w:bottom w:val="single" w:color="auto" w:sz="4" w:space="0"/>
              <w:right w:val="single" w:color="auto" w:sz="4" w:space="0"/>
            </w:tcBorders>
            <w:vAlign w:val="center"/>
          </w:tcPr>
          <w:p>
            <w:pPr>
              <w:spacing w:line="300" w:lineRule="exact"/>
              <w:jc w:val="center"/>
              <w:rPr>
                <w:rFonts w:ascii="方正书宋_GBK" w:hAnsi="Calibri" w:eastAsia="方正书宋_GBK"/>
                <w:szCs w:val="22"/>
              </w:rPr>
            </w:pPr>
          </w:p>
        </w:tc>
      </w:tr>
      <w:tr>
        <w:tblPrEx>
          <w:tblCellMar>
            <w:top w:w="0" w:type="dxa"/>
            <w:left w:w="108" w:type="dxa"/>
            <w:bottom w:w="0" w:type="dxa"/>
            <w:right w:w="108" w:type="dxa"/>
          </w:tblCellMar>
        </w:tblPrEx>
        <w:trPr>
          <w:trHeight w:val="645" w:hRule="atLeast"/>
          <w:jc w:val="center"/>
        </w:trPr>
        <w:tc>
          <w:tcPr>
            <w:tcW w:w="4306" w:type="dxa"/>
            <w:tcBorders>
              <w:top w:val="nil"/>
              <w:left w:val="single" w:color="auto" w:sz="4" w:space="0"/>
              <w:bottom w:val="single" w:color="auto" w:sz="4" w:space="0"/>
              <w:right w:val="single" w:color="auto" w:sz="4" w:space="0"/>
            </w:tcBorders>
            <w:vAlign w:val="center"/>
          </w:tcPr>
          <w:p>
            <w:pPr>
              <w:spacing w:line="300" w:lineRule="exact"/>
              <w:jc w:val="left"/>
              <w:rPr>
                <w:rFonts w:ascii="方正书宋_GBK" w:hAnsi="Calibri" w:eastAsia="方正书宋_GBK"/>
                <w:szCs w:val="22"/>
              </w:rPr>
            </w:pPr>
            <w:r>
              <w:rPr>
                <w:rFonts w:hint="eastAsia" w:ascii="方正书宋_GBK" w:hAnsi="Calibri" w:eastAsia="方正书宋_GBK"/>
                <w:szCs w:val="22"/>
              </w:rPr>
              <w:t>其中：办公用房（平方米）</w:t>
            </w:r>
          </w:p>
        </w:tc>
        <w:tc>
          <w:tcPr>
            <w:tcW w:w="1785" w:type="dxa"/>
            <w:tcBorders>
              <w:top w:val="nil"/>
              <w:left w:val="nil"/>
              <w:bottom w:val="single" w:color="auto" w:sz="4" w:space="0"/>
              <w:right w:val="single" w:color="auto" w:sz="4" w:space="0"/>
            </w:tcBorders>
            <w:vAlign w:val="center"/>
          </w:tcPr>
          <w:p>
            <w:pPr>
              <w:spacing w:line="300" w:lineRule="exact"/>
              <w:jc w:val="center"/>
              <w:rPr>
                <w:rFonts w:ascii="方正书宋_GBK" w:hAnsi="Calibri" w:eastAsia="方正书宋_GBK"/>
                <w:szCs w:val="22"/>
              </w:rPr>
            </w:pPr>
          </w:p>
        </w:tc>
        <w:tc>
          <w:tcPr>
            <w:tcW w:w="2730" w:type="dxa"/>
            <w:tcBorders>
              <w:top w:val="nil"/>
              <w:left w:val="nil"/>
              <w:bottom w:val="single" w:color="auto" w:sz="4" w:space="0"/>
              <w:right w:val="single" w:color="auto" w:sz="4" w:space="0"/>
            </w:tcBorders>
            <w:vAlign w:val="center"/>
          </w:tcPr>
          <w:p>
            <w:pPr>
              <w:spacing w:line="300" w:lineRule="exact"/>
              <w:jc w:val="center"/>
              <w:rPr>
                <w:rFonts w:ascii="方正书宋_GBK" w:hAnsi="Calibri" w:eastAsia="方正书宋_GBK"/>
                <w:szCs w:val="22"/>
              </w:rPr>
            </w:pPr>
          </w:p>
        </w:tc>
      </w:tr>
      <w:tr>
        <w:tblPrEx>
          <w:tblCellMar>
            <w:top w:w="0" w:type="dxa"/>
            <w:left w:w="108" w:type="dxa"/>
            <w:bottom w:w="0" w:type="dxa"/>
            <w:right w:w="108" w:type="dxa"/>
          </w:tblCellMar>
        </w:tblPrEx>
        <w:trPr>
          <w:trHeight w:val="645" w:hRule="atLeast"/>
          <w:jc w:val="center"/>
        </w:trPr>
        <w:tc>
          <w:tcPr>
            <w:tcW w:w="4306" w:type="dxa"/>
            <w:tcBorders>
              <w:top w:val="nil"/>
              <w:left w:val="single" w:color="auto" w:sz="4" w:space="0"/>
              <w:bottom w:val="single" w:color="auto" w:sz="4" w:space="0"/>
              <w:right w:val="single" w:color="auto" w:sz="4" w:space="0"/>
            </w:tcBorders>
            <w:vAlign w:val="center"/>
          </w:tcPr>
          <w:p>
            <w:pPr>
              <w:spacing w:line="300" w:lineRule="exact"/>
              <w:jc w:val="left"/>
              <w:rPr>
                <w:rFonts w:ascii="方正书宋_GBK" w:hAnsi="Calibri" w:eastAsia="方正书宋_GBK"/>
                <w:szCs w:val="22"/>
              </w:rPr>
            </w:pPr>
            <w:r>
              <w:rPr>
                <w:rFonts w:ascii="方正书宋_GBK" w:hAnsi="Calibri" w:eastAsia="方正书宋_GBK"/>
                <w:szCs w:val="22"/>
              </w:rPr>
              <w:t>2</w:t>
            </w:r>
            <w:r>
              <w:rPr>
                <w:rFonts w:hint="eastAsia" w:ascii="方正书宋_GBK" w:hAnsi="Calibri" w:eastAsia="方正书宋_GBK"/>
                <w:szCs w:val="22"/>
              </w:rPr>
              <w:t>、车辆（台、辆）</w:t>
            </w:r>
          </w:p>
        </w:tc>
        <w:tc>
          <w:tcPr>
            <w:tcW w:w="1785" w:type="dxa"/>
            <w:tcBorders>
              <w:top w:val="nil"/>
              <w:left w:val="nil"/>
              <w:bottom w:val="single" w:color="auto" w:sz="4" w:space="0"/>
              <w:right w:val="single" w:color="auto" w:sz="4" w:space="0"/>
            </w:tcBorders>
            <w:vAlign w:val="center"/>
          </w:tcPr>
          <w:p>
            <w:pPr>
              <w:spacing w:line="300" w:lineRule="exact"/>
              <w:jc w:val="center"/>
              <w:rPr>
                <w:rFonts w:ascii="方正书宋_GBK" w:hAnsi="Calibri" w:eastAsia="方正书宋_GBK"/>
                <w:szCs w:val="22"/>
              </w:rPr>
            </w:pPr>
            <w:r>
              <w:rPr>
                <w:rFonts w:ascii="方正书宋_GBK" w:hAnsi="Calibri" w:eastAsia="方正书宋_GBK"/>
                <w:szCs w:val="22"/>
              </w:rPr>
              <w:t>4</w:t>
            </w:r>
          </w:p>
        </w:tc>
        <w:tc>
          <w:tcPr>
            <w:tcW w:w="2730" w:type="dxa"/>
            <w:tcBorders>
              <w:top w:val="nil"/>
              <w:left w:val="nil"/>
              <w:bottom w:val="single" w:color="auto" w:sz="4" w:space="0"/>
              <w:right w:val="single" w:color="auto" w:sz="4" w:space="0"/>
            </w:tcBorders>
            <w:vAlign w:val="center"/>
          </w:tcPr>
          <w:p>
            <w:pPr>
              <w:spacing w:line="300" w:lineRule="exact"/>
              <w:jc w:val="center"/>
              <w:rPr>
                <w:rFonts w:ascii="方正书宋_GBK" w:hAnsi="Calibri" w:eastAsia="方正书宋_GBK"/>
                <w:szCs w:val="22"/>
              </w:rPr>
            </w:pPr>
            <w:r>
              <w:rPr>
                <w:rFonts w:ascii="方正书宋_GBK" w:hAnsi="Calibri" w:eastAsia="方正书宋_GBK"/>
                <w:szCs w:val="22"/>
              </w:rPr>
              <w:t>26</w:t>
            </w:r>
          </w:p>
        </w:tc>
      </w:tr>
      <w:tr>
        <w:tblPrEx>
          <w:tblCellMar>
            <w:top w:w="0" w:type="dxa"/>
            <w:left w:w="108" w:type="dxa"/>
            <w:bottom w:w="0" w:type="dxa"/>
            <w:right w:w="108" w:type="dxa"/>
          </w:tblCellMar>
        </w:tblPrEx>
        <w:trPr>
          <w:trHeight w:val="645" w:hRule="atLeast"/>
          <w:jc w:val="center"/>
        </w:trPr>
        <w:tc>
          <w:tcPr>
            <w:tcW w:w="4306" w:type="dxa"/>
            <w:tcBorders>
              <w:top w:val="nil"/>
              <w:left w:val="single" w:color="auto" w:sz="4" w:space="0"/>
              <w:bottom w:val="single" w:color="auto" w:sz="4" w:space="0"/>
              <w:right w:val="single" w:color="auto" w:sz="4" w:space="0"/>
            </w:tcBorders>
            <w:vAlign w:val="center"/>
          </w:tcPr>
          <w:p>
            <w:pPr>
              <w:spacing w:line="300" w:lineRule="exact"/>
              <w:jc w:val="left"/>
              <w:rPr>
                <w:rFonts w:ascii="方正书宋_GBK" w:hAnsi="Calibri" w:eastAsia="方正书宋_GBK"/>
                <w:szCs w:val="22"/>
              </w:rPr>
            </w:pPr>
            <w:r>
              <w:rPr>
                <w:rFonts w:ascii="方正书宋_GBK" w:hAnsi="Calibri" w:eastAsia="方正书宋_GBK"/>
                <w:szCs w:val="22"/>
              </w:rPr>
              <w:t>3</w:t>
            </w:r>
            <w:r>
              <w:rPr>
                <w:rFonts w:hint="eastAsia" w:ascii="方正书宋_GBK" w:hAnsi="Calibri" w:eastAsia="方正书宋_GBK"/>
                <w:szCs w:val="22"/>
              </w:rPr>
              <w:t>、单价在</w:t>
            </w:r>
            <w:r>
              <w:rPr>
                <w:rFonts w:ascii="方正书宋_GBK" w:hAnsi="Calibri" w:eastAsia="方正书宋_GBK"/>
                <w:szCs w:val="22"/>
              </w:rPr>
              <w:t>20</w:t>
            </w:r>
            <w:r>
              <w:rPr>
                <w:rFonts w:hint="eastAsia" w:ascii="方正书宋_GBK" w:hAnsi="Calibri" w:eastAsia="方正书宋_GBK"/>
                <w:szCs w:val="22"/>
              </w:rPr>
              <w:t>万元以上设备</w:t>
            </w:r>
          </w:p>
        </w:tc>
        <w:tc>
          <w:tcPr>
            <w:tcW w:w="1785" w:type="dxa"/>
            <w:tcBorders>
              <w:top w:val="nil"/>
              <w:left w:val="nil"/>
              <w:bottom w:val="single" w:color="auto" w:sz="4" w:space="0"/>
              <w:right w:val="single" w:color="auto" w:sz="4" w:space="0"/>
            </w:tcBorders>
            <w:vAlign w:val="center"/>
          </w:tcPr>
          <w:p>
            <w:pPr>
              <w:spacing w:line="300" w:lineRule="exact"/>
              <w:jc w:val="center"/>
              <w:rPr>
                <w:rFonts w:ascii="方正书宋_GBK" w:hAnsi="Calibri" w:eastAsia="方正书宋_GBK"/>
                <w:szCs w:val="22"/>
              </w:rPr>
            </w:pPr>
            <w:r>
              <w:rPr>
                <w:rFonts w:ascii="方正书宋_GBK" w:hAnsi="Calibri" w:eastAsia="方正书宋_GBK"/>
                <w:szCs w:val="22"/>
              </w:rPr>
              <w:t>——</w:t>
            </w:r>
          </w:p>
        </w:tc>
        <w:tc>
          <w:tcPr>
            <w:tcW w:w="2730" w:type="dxa"/>
            <w:tcBorders>
              <w:top w:val="nil"/>
              <w:left w:val="nil"/>
              <w:bottom w:val="single" w:color="auto" w:sz="4" w:space="0"/>
              <w:right w:val="single" w:color="auto" w:sz="4" w:space="0"/>
            </w:tcBorders>
            <w:vAlign w:val="center"/>
          </w:tcPr>
          <w:p>
            <w:pPr>
              <w:spacing w:line="300" w:lineRule="exact"/>
              <w:jc w:val="center"/>
              <w:rPr>
                <w:rFonts w:ascii="方正书宋_GBK" w:hAnsi="Calibri" w:eastAsia="方正书宋_GBK"/>
                <w:szCs w:val="22"/>
              </w:rPr>
            </w:pPr>
          </w:p>
        </w:tc>
      </w:tr>
      <w:tr>
        <w:tblPrEx>
          <w:tblCellMar>
            <w:top w:w="0" w:type="dxa"/>
            <w:left w:w="108" w:type="dxa"/>
            <w:bottom w:w="0" w:type="dxa"/>
            <w:right w:w="108" w:type="dxa"/>
          </w:tblCellMar>
        </w:tblPrEx>
        <w:trPr>
          <w:trHeight w:val="645" w:hRule="atLeast"/>
          <w:jc w:val="center"/>
        </w:trPr>
        <w:tc>
          <w:tcPr>
            <w:tcW w:w="4306" w:type="dxa"/>
            <w:tcBorders>
              <w:top w:val="nil"/>
              <w:left w:val="single" w:color="auto" w:sz="4" w:space="0"/>
              <w:bottom w:val="single" w:color="auto" w:sz="4" w:space="0"/>
              <w:right w:val="single" w:color="auto" w:sz="4" w:space="0"/>
            </w:tcBorders>
            <w:vAlign w:val="center"/>
          </w:tcPr>
          <w:p>
            <w:pPr>
              <w:spacing w:line="300" w:lineRule="exact"/>
              <w:jc w:val="left"/>
              <w:rPr>
                <w:rFonts w:ascii="方正书宋_GBK" w:hAnsi="Calibri" w:eastAsia="方正书宋_GBK"/>
                <w:szCs w:val="22"/>
              </w:rPr>
            </w:pPr>
            <w:r>
              <w:rPr>
                <w:rFonts w:ascii="方正书宋_GBK" w:hAnsi="Calibri" w:eastAsia="方正书宋_GBK"/>
                <w:szCs w:val="22"/>
              </w:rPr>
              <w:t>4</w:t>
            </w:r>
            <w:r>
              <w:rPr>
                <w:rFonts w:hint="eastAsia" w:ascii="方正书宋_GBK" w:hAnsi="Calibri" w:eastAsia="方正书宋_GBK"/>
                <w:szCs w:val="22"/>
              </w:rPr>
              <w:t>、其他固定资产</w:t>
            </w:r>
          </w:p>
        </w:tc>
        <w:tc>
          <w:tcPr>
            <w:tcW w:w="1785" w:type="dxa"/>
            <w:tcBorders>
              <w:top w:val="nil"/>
              <w:left w:val="nil"/>
              <w:bottom w:val="single" w:color="auto" w:sz="4" w:space="0"/>
              <w:right w:val="single" w:color="auto" w:sz="4" w:space="0"/>
            </w:tcBorders>
            <w:vAlign w:val="center"/>
          </w:tcPr>
          <w:p>
            <w:pPr>
              <w:spacing w:line="300" w:lineRule="exact"/>
              <w:jc w:val="left"/>
              <w:rPr>
                <w:rFonts w:ascii="方正书宋_GBK" w:hAnsi="Calibri" w:eastAsia="方正书宋_GBK"/>
                <w:szCs w:val="22"/>
              </w:rPr>
            </w:pPr>
            <w:r>
              <w:rPr>
                <w:rFonts w:ascii="方正书宋_GBK" w:hAnsi="Calibri" w:eastAsia="方正书宋_GBK"/>
                <w:szCs w:val="22"/>
              </w:rPr>
              <w:t>——</w:t>
            </w:r>
          </w:p>
        </w:tc>
        <w:tc>
          <w:tcPr>
            <w:tcW w:w="2730" w:type="dxa"/>
            <w:tcBorders>
              <w:top w:val="nil"/>
              <w:left w:val="nil"/>
              <w:bottom w:val="single" w:color="auto" w:sz="4" w:space="0"/>
              <w:right w:val="single" w:color="auto" w:sz="4" w:space="0"/>
            </w:tcBorders>
            <w:vAlign w:val="center"/>
          </w:tcPr>
          <w:p>
            <w:pPr>
              <w:spacing w:line="300" w:lineRule="exact"/>
              <w:jc w:val="center"/>
              <w:rPr>
                <w:rFonts w:ascii="方正书宋_GBK" w:hAnsi="Calibri" w:eastAsia="方正书宋_GBK"/>
                <w:szCs w:val="22"/>
              </w:rPr>
            </w:pPr>
            <w:r>
              <w:rPr>
                <w:rFonts w:hint="eastAsia" w:ascii="方正书宋_GBK" w:hAnsi="Calibri" w:eastAsia="方正书宋_GBK"/>
                <w:szCs w:val="22"/>
              </w:rPr>
              <w:t>34</w:t>
            </w:r>
          </w:p>
        </w:tc>
      </w:tr>
    </w:tbl>
    <w:p>
      <w:pPr>
        <w:spacing w:line="300" w:lineRule="exact"/>
        <w:jc w:val="left"/>
        <w:rPr>
          <w:rFonts w:ascii="方正书宋_GBK" w:hAnsi="Calibri" w:eastAsia="方正书宋_GBK"/>
          <w:szCs w:val="2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sz w:val="32"/>
          <w:szCs w:val="32"/>
        </w:rPr>
      </w:pPr>
      <w:r>
        <w:rPr>
          <w:rFonts w:ascii="仿宋" w:hAnsi="仿宋" w:eastAsia="仿宋"/>
          <w:sz w:val="32"/>
          <w:szCs w:val="32"/>
        </w:rPr>
        <w:t>3.</w:t>
      </w:r>
      <w:r>
        <w:rPr>
          <w:rFonts w:hint="eastAsia" w:ascii="仿宋" w:hAnsi="仿宋" w:eastAsia="仿宋"/>
          <w:sz w:val="32"/>
          <w:szCs w:val="32"/>
        </w:rPr>
        <w:t>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sz w:val="32"/>
          <w:szCs w:val="32"/>
        </w:rPr>
      </w:pPr>
      <w:r>
        <w:rPr>
          <w:rFonts w:ascii="仿宋" w:hAnsi="仿宋" w:eastAsia="仿宋"/>
          <w:sz w:val="32"/>
          <w:szCs w:val="32"/>
        </w:rPr>
        <w:t>4.</w:t>
      </w:r>
      <w:r>
        <w:rPr>
          <w:rFonts w:hint="eastAsia" w:ascii="仿宋" w:hAnsi="仿宋" w:eastAsia="仿宋"/>
          <w:sz w:val="32"/>
          <w:szCs w:val="32"/>
        </w:rPr>
        <w:t>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sz w:val="32"/>
          <w:szCs w:val="32"/>
        </w:rPr>
      </w:pPr>
      <w:r>
        <w:rPr>
          <w:rFonts w:ascii="仿宋" w:hAnsi="仿宋" w:eastAsia="仿宋"/>
          <w:sz w:val="32"/>
          <w:szCs w:val="32"/>
        </w:rPr>
        <w:t>5.</w:t>
      </w:r>
      <w:r>
        <w:rPr>
          <w:rFonts w:hint="eastAsia" w:ascii="仿宋" w:hAnsi="仿宋" w:eastAsia="仿宋"/>
          <w:sz w:val="32"/>
          <w:szCs w:val="32"/>
        </w:rPr>
        <w:t>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sz w:val="32"/>
          <w:szCs w:val="32"/>
        </w:rPr>
      </w:pPr>
      <w:r>
        <w:rPr>
          <w:rFonts w:ascii="仿宋" w:hAnsi="仿宋" w:eastAsia="仿宋"/>
          <w:sz w:val="32"/>
          <w:szCs w:val="32"/>
        </w:rPr>
        <w:t>6.</w:t>
      </w:r>
      <w:r>
        <w:rPr>
          <w:rFonts w:hint="eastAsia" w:ascii="仿宋" w:hAnsi="仿宋" w:eastAsia="仿宋"/>
          <w:sz w:val="32"/>
          <w:szCs w:val="32"/>
        </w:rPr>
        <w:t>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sz w:val="32"/>
          <w:szCs w:val="32"/>
        </w:rPr>
      </w:pPr>
      <w:r>
        <w:rPr>
          <w:rFonts w:ascii="仿宋" w:hAnsi="仿宋" w:eastAsia="仿宋"/>
          <w:sz w:val="32"/>
          <w:szCs w:val="32"/>
        </w:rPr>
        <w:t>7.</w:t>
      </w:r>
      <w:r>
        <w:rPr>
          <w:rFonts w:hint="eastAsia" w:ascii="仿宋" w:hAnsi="仿宋" w:eastAsia="仿宋"/>
          <w:sz w:val="32"/>
          <w:szCs w:val="32"/>
        </w:rPr>
        <w:t>“三公”经费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ind w:firstLine="720"/>
        <w:rPr>
          <w:rFonts w:ascii="仿宋" w:hAnsi="仿宋" w:eastAsia="仿宋"/>
          <w:sz w:val="32"/>
          <w:szCs w:val="32"/>
        </w:rPr>
      </w:pPr>
      <w:r>
        <w:rPr>
          <w:rFonts w:hint="eastAsia" w:ascii="仿宋" w:hAnsi="仿宋" w:eastAsia="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720"/>
        <w:rPr>
          <w:rFonts w:ascii="仿宋" w:hAnsi="仿宋" w:eastAsia="仿宋"/>
          <w:sz w:val="32"/>
          <w:szCs w:val="32"/>
        </w:rPr>
      </w:pPr>
      <w:r>
        <w:rPr>
          <w:rFonts w:hint="eastAsia" w:ascii="仿宋" w:hAnsi="仿宋" w:eastAsia="仿宋"/>
          <w:sz w:val="32"/>
          <w:szCs w:val="32"/>
        </w:rPr>
        <w:t>9、上年结转：指以前年度尚未完成、结转到本年仍按原规定用途继续使用的资金。</w:t>
      </w:r>
    </w:p>
    <w:p>
      <w:pPr>
        <w:ind w:firstLine="720"/>
        <w:rPr>
          <w:rFonts w:ascii="仿宋" w:hAnsi="仿宋" w:eastAsia="仿宋"/>
          <w:sz w:val="32"/>
          <w:szCs w:val="32"/>
        </w:rPr>
      </w:pPr>
      <w:r>
        <w:rPr>
          <w:rFonts w:hint="eastAsia" w:ascii="仿宋" w:hAnsi="仿宋" w:eastAsia="仿宋"/>
          <w:sz w:val="32"/>
          <w:szCs w:val="32"/>
        </w:rPr>
        <w:t>10、事业单位经营支出：指事业单位在专业业务活动及其辅助活动之外开展非独立核算经营活动发生的支出。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我部门无其他需要说明的事项。</w:t>
      </w:r>
    </w:p>
    <w:sectPr>
      <w:head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japaneseCounting"/>
      <w:lvlText w:val="（%1）"/>
      <w:lvlJc w:val="left"/>
      <w:pPr>
        <w:ind w:left="1680" w:hanging="1080"/>
      </w:pPr>
      <w:rPr>
        <w:rFonts w:hint="default" w:cs="Times New Roman"/>
      </w:rPr>
    </w:lvl>
    <w:lvl w:ilvl="1" w:tentative="0">
      <w:start w:val="1"/>
      <w:numFmt w:val="lowerLetter"/>
      <w:lvlText w:val="%2)"/>
      <w:lvlJc w:val="left"/>
      <w:pPr>
        <w:ind w:left="1440" w:hanging="420"/>
      </w:pPr>
      <w:rPr>
        <w:rFonts w:cs="Times New Roman"/>
      </w:rPr>
    </w:lvl>
    <w:lvl w:ilvl="2" w:tentative="0">
      <w:start w:val="1"/>
      <w:numFmt w:val="lowerRoman"/>
      <w:lvlText w:val="%3."/>
      <w:lvlJc w:val="right"/>
      <w:pPr>
        <w:ind w:left="1860" w:hanging="420"/>
      </w:pPr>
      <w:rPr>
        <w:rFonts w:cs="Times New Roman"/>
      </w:rPr>
    </w:lvl>
    <w:lvl w:ilvl="3" w:tentative="0">
      <w:start w:val="1"/>
      <w:numFmt w:val="decimal"/>
      <w:lvlText w:val="%4."/>
      <w:lvlJc w:val="left"/>
      <w:pPr>
        <w:ind w:left="2280" w:hanging="420"/>
      </w:pPr>
      <w:rPr>
        <w:rFonts w:cs="Times New Roman"/>
      </w:rPr>
    </w:lvl>
    <w:lvl w:ilvl="4" w:tentative="0">
      <w:start w:val="1"/>
      <w:numFmt w:val="lowerLetter"/>
      <w:lvlText w:val="%5)"/>
      <w:lvlJc w:val="left"/>
      <w:pPr>
        <w:ind w:left="2700" w:hanging="420"/>
      </w:pPr>
      <w:rPr>
        <w:rFonts w:cs="Times New Roman"/>
      </w:rPr>
    </w:lvl>
    <w:lvl w:ilvl="5" w:tentative="0">
      <w:start w:val="1"/>
      <w:numFmt w:val="lowerRoman"/>
      <w:lvlText w:val="%6."/>
      <w:lvlJc w:val="right"/>
      <w:pPr>
        <w:ind w:left="3120" w:hanging="420"/>
      </w:pPr>
      <w:rPr>
        <w:rFonts w:cs="Times New Roman"/>
      </w:rPr>
    </w:lvl>
    <w:lvl w:ilvl="6" w:tentative="0">
      <w:start w:val="1"/>
      <w:numFmt w:val="decimal"/>
      <w:lvlText w:val="%7."/>
      <w:lvlJc w:val="left"/>
      <w:pPr>
        <w:ind w:left="3540" w:hanging="420"/>
      </w:pPr>
      <w:rPr>
        <w:rFonts w:cs="Times New Roman"/>
      </w:rPr>
    </w:lvl>
    <w:lvl w:ilvl="7" w:tentative="0">
      <w:start w:val="1"/>
      <w:numFmt w:val="lowerLetter"/>
      <w:lvlText w:val="%8)"/>
      <w:lvlJc w:val="left"/>
      <w:pPr>
        <w:ind w:left="3960" w:hanging="420"/>
      </w:pPr>
      <w:rPr>
        <w:rFonts w:cs="Times New Roman"/>
      </w:rPr>
    </w:lvl>
    <w:lvl w:ilvl="8" w:tentative="0">
      <w:start w:val="1"/>
      <w:numFmt w:val="lowerRoman"/>
      <w:lvlText w:val="%9."/>
      <w:lvlJc w:val="right"/>
      <w:pPr>
        <w:ind w:left="438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7FCC"/>
    <w:rsid w:val="00527FCC"/>
    <w:rsid w:val="00994E49"/>
    <w:rsid w:val="00CA2223"/>
    <w:rsid w:val="0828668D"/>
    <w:rsid w:val="1E1322BC"/>
    <w:rsid w:val="1F444B56"/>
    <w:rsid w:val="2A2040DF"/>
    <w:rsid w:val="2A8F78A8"/>
    <w:rsid w:val="3E0F353B"/>
    <w:rsid w:val="3E5C176A"/>
    <w:rsid w:val="46EB38FC"/>
    <w:rsid w:val="4F187746"/>
    <w:rsid w:val="6806464C"/>
    <w:rsid w:val="68EB492E"/>
    <w:rsid w:val="70FF3D9B"/>
    <w:rsid w:val="73644A90"/>
    <w:rsid w:val="7AB662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6"/>
    <w:uiPriority w:val="0"/>
    <w:pPr>
      <w:tabs>
        <w:tab w:val="center" w:pos="4153"/>
        <w:tab w:val="right" w:pos="8306"/>
      </w:tabs>
      <w:snapToGrid w:val="0"/>
      <w:jc w:val="left"/>
    </w:pPr>
    <w:rPr>
      <w:sz w:val="18"/>
    </w:rPr>
  </w:style>
  <w:style w:type="paragraph" w:styleId="3">
    <w:name w:val="header"/>
    <w:basedOn w:val="1"/>
    <w:link w:val="7"/>
    <w:uiPriority w:val="0"/>
    <w:pPr>
      <w:pBdr>
        <w:bottom w:val="single" w:color="auto" w:sz="6" w:space="1"/>
      </w:pBdr>
      <w:tabs>
        <w:tab w:val="center" w:pos="4153"/>
        <w:tab w:val="right" w:pos="8306"/>
      </w:tabs>
      <w:snapToGrid w:val="0"/>
      <w:jc w:val="center"/>
    </w:pPr>
    <w:rPr>
      <w:sz w:val="18"/>
    </w:rPr>
  </w:style>
  <w:style w:type="character" w:customStyle="1" w:styleId="6">
    <w:name w:val="页脚 Char"/>
    <w:basedOn w:val="5"/>
    <w:link w:val="2"/>
    <w:semiHidden/>
    <w:uiPriority w:val="0"/>
    <w:rPr>
      <w:rFonts w:ascii="Times New Roman" w:hAnsi="Times New Roman" w:eastAsia="宋体"/>
      <w:sz w:val="18"/>
    </w:rPr>
  </w:style>
  <w:style w:type="character" w:customStyle="1" w:styleId="7">
    <w:name w:val="页眉 Char"/>
    <w:basedOn w:val="5"/>
    <w:link w:val="3"/>
    <w:semiHidden/>
    <w:uiPriority w:val="0"/>
    <w:rPr>
      <w:rFonts w:ascii="Times New Roman" w:hAnsi="Times New Roman" w:eastAsia="宋体"/>
      <w:sz w:val="18"/>
    </w:rPr>
  </w:style>
  <w:style w:type="paragraph" w:customStyle="1" w:styleId="8">
    <w:name w:val="List Paragraph1"/>
    <w:basedOn w:val="1"/>
    <w:uiPriority w:val="0"/>
    <w:pPr>
      <w:ind w:firstLine="420" w:firstLineChars="200"/>
    </w:pPr>
  </w:style>
  <w:style w:type="paragraph" w:customStyle="1" w:styleId="9">
    <w:name w:val="[Normal]"/>
    <w:uiPriority w:val="0"/>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14</Pages>
  <Words>753</Words>
  <Characters>4293</Characters>
  <Lines>35</Lines>
  <Paragraphs>10</Paragraphs>
  <TotalTime>4</TotalTime>
  <ScaleCrop>false</ScaleCrop>
  <LinksUpToDate>false</LinksUpToDate>
  <CharactersWithSpaces>5036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2019-03-02T11:11:00Z</dcterms:created>
  <dc:creator>微软用户</dc:creator>
  <cp:lastModifiedBy>古德纽斯</cp:lastModifiedBy>
  <dcterms:modified xsi:type="dcterms:W3CDTF">2024-01-15T03:33:47Z</dcterms:modified>
  <dc:title>Administrator</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BB90CE6BB13D41AAA5663A2BD245C627</vt:lpwstr>
  </property>
</Properties>
</file>