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无极县北苏镇人民政府</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firstLineChars="200"/>
        <w:rPr>
          <w:rFonts w:ascii="仿宋" w:hAnsi="仿宋" w:eastAsia="仿宋" w:cs="仿宋"/>
          <w:sz w:val="32"/>
          <w:szCs w:val="32"/>
        </w:rPr>
      </w:pPr>
      <w:r>
        <w:rPr>
          <w:rFonts w:hint="eastAsia" w:ascii="Times New Roman" w:hAnsi="Times New Roman" w:eastAsia="仿宋" w:cs="Times New Roman"/>
          <w:sz w:val="32"/>
          <w:szCs w:val="32"/>
        </w:rPr>
        <w:t>按照《预算法》、《地方预决算公开操作规程》和《河北省县级预算公开办法》规定，</w:t>
      </w:r>
      <w:r>
        <w:rPr>
          <w:rFonts w:hint="eastAsia" w:ascii="仿宋" w:hAnsi="仿宋" w:eastAsia="仿宋" w:cs="仿宋"/>
          <w:sz w:val="32"/>
          <w:szCs w:val="32"/>
        </w:rPr>
        <w:t>现将2020年部门预算公开如下：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w:t>
      </w:r>
      <w:bookmarkStart w:id="6" w:name="_GoBack"/>
      <w:bookmarkEnd w:id="6"/>
      <w:r>
        <w:rPr>
          <w:rFonts w:hint="eastAsia" w:ascii="黑体" w:hAnsi="黑体" w:eastAsia="黑体" w:cs="Times New Roman"/>
          <w:sz w:val="32"/>
          <w:szCs w:val="32"/>
        </w:rPr>
        <w:t>设置情况</w:t>
      </w:r>
    </w:p>
    <w:p>
      <w:pPr>
        <w:adjustRightInd w:val="0"/>
        <w:snapToGrid w:val="0"/>
        <w:spacing w:line="560" w:lineRule="exact"/>
        <w:ind w:firstLine="630" w:firstLineChars="196"/>
        <w:jc w:val="left"/>
        <w:rPr>
          <w:rFonts w:ascii="仿宋_GB2312" w:hAnsi="仿宋" w:eastAsia="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adjustRightInd w:val="0"/>
        <w:snapToGrid w:val="0"/>
        <w:spacing w:line="560" w:lineRule="exact"/>
        <w:ind w:left="420" w:leftChars="200"/>
        <w:jc w:val="left"/>
        <w:rPr>
          <w:rFonts w:ascii="仿宋_GB2312" w:hAnsi="仿宋" w:eastAsia="仿宋_GB2312"/>
          <w:sz w:val="32"/>
          <w:szCs w:val="32"/>
        </w:rPr>
      </w:pPr>
      <w:r>
        <w:rPr>
          <w:rFonts w:hint="eastAsia" w:ascii="仿宋_GB2312" w:hAnsi="仿宋"/>
          <w:sz w:val="32"/>
          <w:szCs w:val="32"/>
        </w:rPr>
        <w:t>1.</w:t>
      </w: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ascii="仿宋" w:hAnsi="仿宋" w:eastAsia="仿宋" w:cs="Times New Roman"/>
          <w:sz w:val="32"/>
          <w:szCs w:val="32"/>
        </w:rPr>
      </w:pPr>
      <w:r>
        <w:rPr>
          <w:rFonts w:hint="eastAsia" w:ascii="仿宋_GB2312" w:hAnsi="仿宋" w:eastAsia="仿宋_GB2312"/>
          <w:sz w:val="32"/>
          <w:szCs w:val="32"/>
        </w:rPr>
        <w:t>主要包括:（1）做好社会治安</w:t>
      </w:r>
      <w:r>
        <w:rPr>
          <w:rFonts w:hint="eastAsia" w:ascii="仿宋_GB2312" w:hAnsi="仿宋" w:eastAsia="仿宋_GB2312"/>
          <w:sz w:val="32"/>
          <w:szCs w:val="32"/>
          <w:lang w:eastAsia="zh-CN"/>
        </w:rPr>
        <w:t>综合治理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tbl>
      <w:tblPr>
        <w:tblStyle w:val="7"/>
        <w:tblW w:w="9600" w:type="dxa"/>
        <w:tblInd w:w="93" w:type="dxa"/>
        <w:tblLayout w:type="fixed"/>
        <w:tblCellMar>
          <w:top w:w="0" w:type="dxa"/>
          <w:left w:w="108" w:type="dxa"/>
          <w:bottom w:w="0" w:type="dxa"/>
          <w:right w:w="108" w:type="dxa"/>
        </w:tblCellMar>
      </w:tblPr>
      <w:tblGrid>
        <w:gridCol w:w="3705"/>
        <w:gridCol w:w="1676"/>
        <w:gridCol w:w="1413"/>
        <w:gridCol w:w="2806"/>
      </w:tblGrid>
      <w:tr>
        <w:tblPrEx>
          <w:tblCellMar>
            <w:top w:w="0" w:type="dxa"/>
            <w:left w:w="108" w:type="dxa"/>
            <w:bottom w:w="0" w:type="dxa"/>
            <w:right w:w="108" w:type="dxa"/>
          </w:tblCellMar>
        </w:tblPrEx>
        <w:trPr>
          <w:trHeight w:val="569" w:hRule="atLeast"/>
        </w:trPr>
        <w:tc>
          <w:tcPr>
            <w:tcW w:w="9600" w:type="dxa"/>
            <w:gridSpan w:val="4"/>
            <w:tcBorders>
              <w:top w:val="nil"/>
              <w:left w:val="nil"/>
              <w:bottom w:val="nil"/>
              <w:right w:val="nil"/>
            </w:tcBorders>
            <w:vAlign w:val="center"/>
          </w:tcPr>
          <w:p>
            <w:pPr>
              <w:widowControl/>
              <w:spacing w:line="560" w:lineRule="exact"/>
              <w:jc w:val="center"/>
              <w:rPr>
                <w:rFonts w:ascii="宋体" w:hAnsi="宋体" w:cs="宋体"/>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579" w:hRule="atLeast"/>
        </w:trPr>
        <w:tc>
          <w:tcPr>
            <w:tcW w:w="3705"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宋体"/>
                <w:b/>
                <w:bCs/>
                <w:kern w:val="0"/>
                <w:sz w:val="24"/>
              </w:rPr>
            </w:pPr>
            <w:r>
              <w:rPr>
                <w:rFonts w:hint="eastAsia" w:ascii="仿宋_GB2312" w:hAnsi="宋体" w:eastAsia="仿宋_GB2312" w:cs="宋体"/>
                <w:b/>
                <w:bCs/>
                <w:kern w:val="0"/>
                <w:sz w:val="24"/>
              </w:rPr>
              <w:t>单位名称</w:t>
            </w:r>
          </w:p>
        </w:tc>
        <w:tc>
          <w:tcPr>
            <w:tcW w:w="1676"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单位性质</w:t>
            </w:r>
          </w:p>
        </w:tc>
        <w:tc>
          <w:tcPr>
            <w:tcW w:w="1413"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单位规格</w:t>
            </w:r>
          </w:p>
        </w:tc>
        <w:tc>
          <w:tcPr>
            <w:tcW w:w="2806" w:type="dxa"/>
            <w:tcBorders>
              <w:top w:val="single" w:color="auto" w:sz="4" w:space="0"/>
              <w:left w:val="nil"/>
              <w:bottom w:val="single" w:color="auto" w:sz="4" w:space="0"/>
              <w:right w:val="single" w:color="auto" w:sz="4" w:space="0"/>
            </w:tcBorders>
            <w:vAlign w:val="center"/>
          </w:tcPr>
          <w:p>
            <w:pPr>
              <w:widowControl/>
              <w:spacing w:line="560" w:lineRule="exact"/>
              <w:rPr>
                <w:rFonts w:ascii="仿宋_GB2312" w:hAnsi="宋体" w:eastAsia="仿宋_GB2312" w:cs="宋体"/>
                <w:b/>
                <w:bCs/>
                <w:kern w:val="0"/>
                <w:sz w:val="24"/>
              </w:rPr>
            </w:pPr>
            <w:r>
              <w:rPr>
                <w:rFonts w:hint="eastAsia" w:ascii="仿宋_GB2312" w:hAnsi="宋体" w:eastAsia="仿宋_GB2312" w:cs="宋体"/>
                <w:b/>
                <w:bCs/>
                <w:kern w:val="0"/>
                <w:sz w:val="24"/>
              </w:rPr>
              <w:t>经费保障形式</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无极县北苏镇政府机关</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无极县北苏镇共产党机关</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行政</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正科级</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财政拨款</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无极县北苏镇财政部门</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579" w:hRule="atLeast"/>
        </w:trPr>
        <w:tc>
          <w:tcPr>
            <w:tcW w:w="3705"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无极县北苏镇计生部门</w:t>
            </w:r>
          </w:p>
        </w:tc>
        <w:tc>
          <w:tcPr>
            <w:tcW w:w="167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事业</w:t>
            </w:r>
          </w:p>
        </w:tc>
        <w:tc>
          <w:tcPr>
            <w:tcW w:w="1413"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　</w:t>
            </w:r>
          </w:p>
        </w:tc>
        <w:tc>
          <w:tcPr>
            <w:tcW w:w="2806"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财政性资金基本保证</w:t>
            </w:r>
          </w:p>
        </w:tc>
      </w:tr>
      <w:tr>
        <w:tblPrEx>
          <w:tblCellMar>
            <w:top w:w="0" w:type="dxa"/>
            <w:left w:w="108" w:type="dxa"/>
            <w:bottom w:w="0" w:type="dxa"/>
            <w:right w:w="108" w:type="dxa"/>
          </w:tblCellMar>
        </w:tblPrEx>
        <w:trPr>
          <w:trHeight w:val="1148" w:hRule="atLeast"/>
        </w:trPr>
        <w:tc>
          <w:tcPr>
            <w:tcW w:w="9600" w:type="dxa"/>
            <w:gridSpan w:val="4"/>
            <w:tcBorders>
              <w:top w:val="nil"/>
              <w:left w:val="nil"/>
              <w:bottom w:val="nil"/>
              <w:right w:val="nil"/>
            </w:tcBorders>
            <w:vAlign w:val="center"/>
          </w:tcPr>
          <w:p>
            <w:pPr>
              <w:widowControl/>
              <w:spacing w:line="560" w:lineRule="exact"/>
              <w:jc w:val="left"/>
              <w:rPr>
                <w:rFonts w:ascii="仿宋_GB2312" w:hAnsi="宋体" w:eastAsia="仿宋_GB2312" w:cs="宋体"/>
                <w:kern w:val="0"/>
                <w:sz w:val="24"/>
              </w:rPr>
            </w:pPr>
            <w:r>
              <w:rPr>
                <w:rFonts w:hint="eastAsia" w:ascii="仿宋_GB2312" w:hAnsi="宋体" w:eastAsia="仿宋_GB2312" w:cs="宋体"/>
                <w:kern w:val="0"/>
                <w:sz w:val="24"/>
              </w:rPr>
              <w:t>备注：乡镇没有下属单位，按职能划分为政府、党委、财政、计生等部门，预决算统一在政府编制。</w:t>
            </w:r>
          </w:p>
        </w:tc>
      </w:tr>
    </w:tbl>
    <w:p>
      <w:pPr>
        <w:ind w:firstLine="643" w:firstLineChars="200"/>
        <w:rPr>
          <w:rFonts w:ascii="仿宋" w:hAnsi="仿宋" w:eastAsia="仿宋" w:cs="Times New Roman"/>
          <w:b/>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北苏镇人民政府没有下属单位，按职能划分为政府、党委、财政、计生等部门，</w:t>
      </w:r>
      <w:r>
        <w:rPr>
          <w:rFonts w:ascii="Times New Roman" w:hAnsi="Times New Roman" w:eastAsia="仿宋" w:cs="Times New Roman"/>
          <w:sz w:val="32"/>
          <w:szCs w:val="32"/>
        </w:rPr>
        <w:t>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反映本部门当年全部收入。2020年预算收入764.75万元，其中：一般公共预算收入764.75万元，基金预算收入0万元，财政专户核拨收入0万元，其他来源收入0万元。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仿宋_GB2312" w:hAnsi="Times New Roman" w:eastAsia="仿宋_GB2312" w:cs="Times New Roman"/>
          <w:sz w:val="32"/>
          <w:szCs w:val="32"/>
        </w:rPr>
        <w:t>收支预算总表支出栏、基本支出表、项目支出表按经济分类和支出功能分类科目编制，反映本部门年度部门预算中支出预算的总体情况。</w:t>
      </w:r>
      <w:r>
        <w:rPr>
          <w:rFonts w:hint="eastAsia" w:ascii="Times New Roman" w:hAnsi="Times New Roman" w:eastAsia="仿宋" w:cs="Times New Roman"/>
          <w:sz w:val="32"/>
          <w:szCs w:val="32"/>
        </w:rPr>
        <w:t>2020年部门支出预算为764.75万元，其中基本支出574.75万元，包括人员经费504.9万元和日常公用经费69.85万元；项目支出190万元，主要为提前下达2020年革命老区北苏镇南焦村、南苏村街道硬化工程两个项目。</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764.75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331.15万元，其中：基本支出增加30.85万元，主要是人员增加，相应增加人员经费和日常公用经费；项目支出增加190万元，主要是提前下达2020年革命老区北苏镇南焦村、南苏村街道硬化工程两个项目；其他支出减少552万元，主要是项目支出减少。</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2020年，我部门机关运行经费共计安排69.85万元，主要用于保证机关正常运转的办公费、水费、电费、邮电费、差旅费、办公设备购置费、公务车运行维护费、公务交通补贴、印刷费、手续费等支出。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仿宋" w:cs="Times New Roman"/>
          <w:sz w:val="32"/>
          <w:szCs w:val="32"/>
        </w:rPr>
        <w:t>北苏镇党委、政府2020年将组织群众、宣传群众、教育群众、服务群众，切实贯彻落实党的十九大精神和</w:t>
      </w:r>
      <w:r>
        <w:rPr>
          <w:rFonts w:hint="eastAsia" w:ascii="Times New Roman" w:hAnsi="Times New Roman" w:eastAsia="仿宋" w:cs="Times New Roman"/>
          <w:sz w:val="32"/>
          <w:szCs w:val="32"/>
          <w:lang w:eastAsia="zh-CN"/>
        </w:rPr>
        <w:t>习近平新时代中国特色社会主义思想</w:t>
      </w:r>
      <w:r>
        <w:rPr>
          <w:rFonts w:hint="eastAsia" w:ascii="Times New Roman" w:hAnsi="Times New Roman" w:eastAsia="仿宋" w:cs="Times New Roman"/>
          <w:sz w:val="32"/>
          <w:szCs w:val="32"/>
        </w:rPr>
        <w:t>关于农村建设的各项方针、政策和法律法规，执行本级人民代表大会的决议和上级行政机关的决定和命令，抓重点、攻难点、补短板，群策群力，着力将北苏镇打造成为无极县对接正定新区的桥头堡。充分利用区位优势，紧抓发展机遇，提高经济发展水平，夯实经济运行质量，围绕农业、农村、农民搞好服务，主要包括四个方面：一是综合业务、事务管理方面：以服务领导和机关保障有力为目标，增强优质后勤管理水平；加强公车管理，降低运行成本，为创建节约型机关打下良好基础。采取保障镇政府工作办公环境的措施，提升服务管理水平，保障镇政府机关工作的正常运转。二是化解重大风险方面。持续抓好信访维稳工作，加大扫黑除恶排查整治力度,持续开展安全生产大排查大整治活动，有效化解不稳定隐患，维护公共安全。三是项目建设和乡村振兴方面。围绕科技服务和文化产业、城乡公共服务谋划记人居环境建设多方面，计划实施多个项目以满足人民生活需求。继续大力实施美丽乡村建设，改善农村环境面貌，提升人民生产生活条件。四是环保和装饰材料产业转型升级方面。作为推进大气污染防治的有效手段和我镇培育壮大特色主导产业的重要措施，加快传统产业转型升级。严查企业错峰生产和扬尘管控力度，打好“蓝天保卫战”。</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1、机关综合事务管理方面。</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绩效目标：保障镇政府领导和机关工作办公环境的措施，提升服务管理水平，保障镇领导和机关工作正常运行。</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绩效指标：综合事务管理工作完成率98%以上。</w:t>
      </w:r>
    </w:p>
    <w:p>
      <w:pPr>
        <w:numPr>
          <w:ilvl w:val="0"/>
          <w:numId w:val="1"/>
        </w:num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改善农村人居环境和生态环境质量</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继续大力推进美丽乡村建设。对农村改厕工作进行查漏补缺，确保改厕验收顺利完成，加强各村环境卫生整治工作，并作为一项重要指标列入量化考核体系中。加快农村基础设施建设，壮大农村环境卫生治理队伍，定时定点对村内卫生进行清扫，投入垃圾箱、建立垃圾回收站，维护村容村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绩效指标：农村垃圾收集、处理率95%以上。</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3、防范化解重大风险方面。</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绩效目标：持续抓好信访维稳工作，及时做好市长热线交办单推进办理工作，持续开展安全生产大排查大整治活动，指导、协调和督促各村委会排查与化解不稳定隐患，有效化解不稳定隐患，维护公共安全。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绩效指标：市长热线处理、回复率达到98%以上。</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4、完善社会救助制度，做好全镇居民最低生活保障等救助工作。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绩效目标：完善城乡社会救助制度，实施分类救助，应保尽保，动态管理，全力做好符合条件的低保、五保、残疾人补贴等城乡居民最低生活保障工作。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绩效指标：群众满意度达到95%以上。</w:t>
      </w:r>
    </w:p>
    <w:p>
      <w:pPr>
        <w:numPr>
          <w:ilvl w:val="0"/>
          <w:numId w:val="2"/>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3"/>
        </w:num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加强组织领导，完善制度建设。充分发挥预算单位的主体作用，让预算编制主体责任不断强化，切实担负起自身责任。逐步建立健全绩效管理制度，将单位财政资金使用绩效逐渐归纳到机关效能建设的管理范围内，通过严格管理单位对项目资金的使用不断提升绩效管理工作开展的自觉性。</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强化宣传培训，加强队伍建设。由于预算绩效管理工作具有专业性高，内容较复杂的特点，预算单位要培养出具备专业知识以及专业技能的人员来担任此项工作。因此，要增强预算单位人员培训力度，使得相关人员业务素质不断提高，预算绩效管理意识不断增强，为预算绩效管理工作的有效推进和开展提供人员保障，促进预算绩效管理水平进一步提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绩效监控，确保运行质量。按上级部门要求，在绩效运行过程中加强监督，发现问题及时采取措施，确保绩效目标高质量实现。同时，预算单位要积极开展上年度部门预算绩效自评和重点评价工作，对评价中发现的问题及时整改，调整优化支出结构，提高财政资金使用效益。</w:t>
      </w: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1、提前下达2020年革命老区（冀财预2019 66号）北苏镇南焦村街道硬化工程绩效目标表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80876"/>
      <w:r>
        <w:rPr>
          <w:rFonts w:hint="eastAsia" w:ascii="方正仿宋_GBK" w:eastAsia="方正仿宋_GBK"/>
          <w:b/>
          <w:sz w:val="28"/>
        </w:rPr>
        <w:instrText xml:space="preserve">1、提前下达2020年革命老区（冀财预2019</w:instrText>
      </w:r>
      <w:bookmarkEnd w:id="4"/>
      <w:r>
        <w:rPr>
          <w:rFonts w:hint="eastAsia" w:ascii="方正仿宋_GBK" w:eastAsia="方正仿宋_GBK"/>
          <w:b/>
          <w:sz w:val="28"/>
        </w:rPr>
        <w:instrText xml:space="preserve"> 66号）北苏镇南焦村街道硬化工程绩效目标表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934002</w:t>
            </w:r>
            <w:r>
              <w:rPr>
                <w:rFonts w:hint="eastAsia" w:ascii="方正书宋_GBK" w:eastAsia="方正书宋_GBK"/>
                <w:b/>
              </w:rPr>
              <w:t>无极县北苏镇人民政府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934-1001-YSN-IAY5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年革命老区（冀财预</w:t>
            </w:r>
            <w:r>
              <w:rPr>
                <w:rFonts w:ascii="方正书宋_GBK" w:eastAsia="方正书宋_GBK"/>
              </w:rPr>
              <w:t>2019 66</w:t>
            </w:r>
            <w:r>
              <w:rPr>
                <w:rFonts w:hint="eastAsia" w:ascii="方正书宋_GBK" w:eastAsia="方正书宋_GBK"/>
              </w:rPr>
              <w:t>号）北苏镇南焦村街道硬化工程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新建村内街巷，长</w:t>
            </w:r>
            <w:r>
              <w:rPr>
                <w:rFonts w:ascii="方正书宋_GBK" w:eastAsia="方正书宋_GBK"/>
              </w:rPr>
              <w:t>2000</w:t>
            </w:r>
            <w:r>
              <w:rPr>
                <w:rFonts w:hint="eastAsia" w:ascii="方正书宋_GBK" w:eastAsia="方正书宋_GBK"/>
              </w:rPr>
              <w:t>米。宽</w:t>
            </w:r>
            <w:r>
              <w:rPr>
                <w:rFonts w:ascii="方正书宋_GBK" w:eastAsia="方正书宋_GBK"/>
              </w:rPr>
              <w:t>3.8</w:t>
            </w:r>
            <w:r>
              <w:rPr>
                <w:rFonts w:hint="eastAsia" w:ascii="方正书宋_GBK" w:eastAsia="方正书宋_GBK"/>
              </w:rPr>
              <w:t>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、保质保量按时完成</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保质保量完成任务</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建制村通客车率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具备条件的村通硬化路率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方便出行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改善出行环境</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2、提前下达2020年革命老区（冀财预2019 66号）北苏镇南苏村街道硬化工程绩效目标表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80877"/>
      <w:r>
        <w:rPr>
          <w:rFonts w:hint="eastAsia" w:ascii="方正仿宋_GBK" w:eastAsia="方正仿宋_GBK"/>
          <w:b/>
          <w:sz w:val="28"/>
        </w:rPr>
        <w:instrText xml:space="preserve">2、提前下达2020年革命老区（冀财预2019</w:instrText>
      </w:r>
      <w:bookmarkEnd w:id="5"/>
      <w:r>
        <w:rPr>
          <w:rFonts w:hint="eastAsia" w:ascii="方正仿宋_GBK" w:eastAsia="方正仿宋_GBK"/>
          <w:b/>
          <w:sz w:val="28"/>
        </w:rPr>
        <w:instrText xml:space="preserve"> 66号）北苏镇南苏村街道硬化工程绩效目标表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934002</w:t>
            </w:r>
            <w:r>
              <w:rPr>
                <w:rFonts w:hint="eastAsia" w:ascii="方正书宋_GBK" w:eastAsia="方正书宋_GBK"/>
                <w:b/>
              </w:rPr>
              <w:t>无极县北苏镇人民政府</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934-1001-YSN-3EES</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年革命老区（冀财预</w:t>
            </w:r>
            <w:r>
              <w:rPr>
                <w:rFonts w:ascii="方正书宋_GBK" w:eastAsia="方正书宋_GBK"/>
              </w:rPr>
              <w:t>2019 66</w:t>
            </w:r>
            <w:r>
              <w:rPr>
                <w:rFonts w:hint="eastAsia" w:ascii="方正书宋_GBK" w:eastAsia="方正书宋_GBK"/>
              </w:rPr>
              <w:t>号）北苏镇南苏村街道硬化工程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翻修育才路，西环和东环街，中昌路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、保质保量完成，切实改善村民生产，生活，出行环境，促进经济快速发展。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保证质量</w:t>
            </w:r>
          </w:p>
        </w:tc>
        <w:tc>
          <w:tcPr>
            <w:tcW w:w="1276" w:type="dxa"/>
            <w:vAlign w:val="center"/>
          </w:tcPr>
          <w:p>
            <w:pPr>
              <w:spacing w:line="300" w:lineRule="exact"/>
              <w:jc w:val="left"/>
              <w:rPr>
                <w:rFonts w:ascii="方正书宋_GBK" w:eastAsia="方正书宋_GBK"/>
              </w:rPr>
            </w:pPr>
            <w:r>
              <w:rPr>
                <w:rFonts w:ascii="方正书宋_GBK" w:eastAsia="方正书宋_GBK"/>
              </w:rPr>
              <w:t>%</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项目（工程）完成及时率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改善生活，生产，出行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万元</w:t>
            </w:r>
            <w:r>
              <w:rPr>
                <w:rFonts w:ascii="方正书宋_GBK" w:eastAsia="方正书宋_GBK"/>
              </w:rPr>
              <w:t>/</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年</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新建公路列养率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保护公路使用时间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w:t>
            </w:r>
          </w:p>
        </w:tc>
        <w:tc>
          <w:tcPr>
            <w:tcW w:w="1701" w:type="dxa"/>
            <w:vAlign w:val="center"/>
          </w:tcPr>
          <w:p>
            <w:pPr>
              <w:spacing w:line="300" w:lineRule="exact"/>
              <w:jc w:val="left"/>
              <w:rPr>
                <w:rFonts w:ascii="方正书宋_GBK" w:eastAsia="方正书宋_GBK"/>
              </w:rPr>
            </w:pPr>
          </w:p>
        </w:tc>
      </w:tr>
    </w:tbl>
    <w:p>
      <w:pPr>
        <w:spacing w:line="300" w:lineRule="exact"/>
        <w:ind w:firstLine="420" w:firstLineChars="200"/>
        <w:jc w:val="left"/>
      </w:pPr>
      <w:r>
        <w:rPr>
          <w:rFonts w:hint="eastAsia"/>
        </w:rPr>
        <w:t xml:space="preserve">  </w:t>
      </w: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bookmarkEnd w:id="0"/>
    <w:p>
      <w:pPr>
        <w:spacing w:line="300" w:lineRule="exact"/>
        <w:jc w:val="left"/>
        <w:sectPr>
          <w:footerReference r:id="rId3" w:type="default"/>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ascii="Times New Roman" w:hAnsi="Times New Roman" w:eastAsia="仿宋" w:cs="Times New Roman"/>
          <w:sz w:val="32"/>
          <w:szCs w:val="24"/>
        </w:rPr>
      </w:pPr>
      <w:r>
        <w:rPr>
          <w:rFonts w:hint="eastAsia" w:ascii="Times New Roman" w:hAnsi="Times New Roman" w:eastAsia="仿宋" w:cs="Times New Roman"/>
          <w:sz w:val="32"/>
          <w:szCs w:val="24"/>
        </w:rPr>
        <w:t>2020年我单位没有安排政府采购预算，政府采购预算金额为0万元。具体内容见下表。</w:t>
      </w:r>
    </w:p>
    <w:p>
      <w:pPr>
        <w:jc w:val="center"/>
        <w:rPr>
          <w:rFonts w:ascii="方正小标宋_GBK" w:hAnsi="Times New Roman" w:eastAsia="方正小标宋_GBK" w:cs="Times New Roman"/>
          <w:sz w:val="32"/>
          <w:szCs w:val="32"/>
        </w:rPr>
      </w:pPr>
      <w:r>
        <w:rPr>
          <w:rFonts w:ascii="方正小标宋_GBK" w:hAnsi="方正小标宋_GBK" w:eastAsia="方正小标宋_GBK" w:cs="方正小标宋_GBK"/>
          <w:sz w:val="32"/>
          <w:szCs w:val="32"/>
          <w:lang w:bidi="ar"/>
        </w:rPr>
        <w:t>部门政府采购预算</w:t>
      </w:r>
    </w:p>
    <w:tbl>
      <w:tblPr>
        <w:tblStyle w:val="7"/>
        <w:tblW w:w="147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1134"/>
        <w:gridCol w:w="1417"/>
        <w:gridCol w:w="1294"/>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928"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934北苏镇</w:t>
            </w:r>
          </w:p>
        </w:tc>
        <w:tc>
          <w:tcPr>
            <w:tcW w:w="6804" w:type="dxa"/>
            <w:gridSpan w:val="6"/>
            <w:tcBorders>
              <w:top w:val="single" w:color="FFFFFF" w:sz="6" w:space="0"/>
              <w:left w:val="nil"/>
              <w:bottom w:val="single" w:color="000000"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ascii="方正小标宋_GBK" w:hAnsi="Times New Roman" w:eastAsia="方正小标宋_GBK" w:cs="Times New Roman"/>
                <w:sz w:val="24"/>
                <w:szCs w:val="24"/>
                <w:lang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694"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政府采购项目来源</w:t>
            </w:r>
          </w:p>
        </w:tc>
        <w:tc>
          <w:tcPr>
            <w:tcW w:w="1417" w:type="dxa"/>
            <w:vMerge w:val="restart"/>
            <w:tcBorders>
              <w:top w:val="nil"/>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采购物品名称</w:t>
            </w:r>
          </w:p>
        </w:tc>
        <w:tc>
          <w:tcPr>
            <w:tcW w:w="1294"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政府采购目录序号</w:t>
            </w:r>
          </w:p>
        </w:tc>
        <w:tc>
          <w:tcPr>
            <w:tcW w:w="709"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计量  单位</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数量</w:t>
            </w:r>
          </w:p>
        </w:tc>
        <w:tc>
          <w:tcPr>
            <w:tcW w:w="907"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单价</w:t>
            </w:r>
          </w:p>
        </w:tc>
        <w:tc>
          <w:tcPr>
            <w:tcW w:w="6804" w:type="dxa"/>
            <w:gridSpan w:val="6"/>
            <w:tcBorders>
              <w:top w:val="single" w:color="000000" w:sz="6" w:space="0"/>
              <w:left w:val="nil"/>
              <w:bottom w:val="nil"/>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项目名称</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预算资金</w:t>
            </w:r>
          </w:p>
        </w:tc>
        <w:tc>
          <w:tcPr>
            <w:tcW w:w="1417" w:type="dxa"/>
            <w:vMerge w:val="continue"/>
            <w:tcBorders>
              <w:top w:val="nil"/>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1294"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709"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907"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907" w:type="dxa"/>
            <w:vMerge w:val="continue"/>
            <w:tcBorders>
              <w:top w:val="single" w:color="000000" w:sz="6" w:space="0"/>
              <w:left w:val="nil"/>
              <w:bottom w:val="single" w:color="000000" w:sz="6" w:space="0"/>
              <w:right w:val="single" w:color="000000" w:sz="6" w:space="0"/>
            </w:tcBorders>
            <w:vAlign w:val="center"/>
          </w:tcPr>
          <w:p>
            <w:pPr>
              <w:rPr>
                <w:rFonts w:ascii="Times New Roman" w:hAnsi="Times New Roman" w:cs="Times New Roman"/>
                <w:sz w:val="20"/>
                <w:szCs w:val="20"/>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合计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一般公共预算拨款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基金预算拨款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国有资本经营预算拨款</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财政专户核拨</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r>
              <w:rPr>
                <w:rFonts w:ascii="方正书宋_GBK" w:hAnsi="Times New Roman" w:eastAsia="方正书宋_GBK" w:cs="Times New Roman"/>
                <w:b/>
                <w:szCs w:val="21"/>
                <w:lang w:bidi="ar"/>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129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129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129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b/>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60"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szCs w:val="21"/>
              </w:rPr>
            </w:pPr>
          </w:p>
        </w:tc>
        <w:tc>
          <w:tcPr>
            <w:tcW w:w="129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hAnsi="Times New Roman" w:eastAsia="方正书宋_GBK" w:cs="Times New Roman"/>
                <w:szCs w:val="21"/>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hAnsi="Times New Roman" w:eastAsia="方正书宋_GBK" w:cs="Times New Roman"/>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907"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hAnsi="Times New Roman" w:eastAsia="方正书宋_GBK" w:cs="Times New Roman"/>
                <w:szCs w:val="21"/>
              </w:rPr>
            </w:pPr>
          </w:p>
        </w:tc>
      </w:tr>
    </w:tbl>
    <w:p>
      <w:pPr>
        <w:ind w:firstLine="640"/>
        <w:rPr>
          <w:rFonts w:ascii="仿宋" w:hAnsi="仿宋" w:eastAsia="仿宋"/>
          <w:szCs w:val="32"/>
        </w:rPr>
      </w:pPr>
      <w:r>
        <w:rPr>
          <w:rFonts w:hint="eastAsia" w:ascii="仿宋" w:hAnsi="仿宋" w:eastAsia="仿宋"/>
          <w:szCs w:val="32"/>
        </w:rPr>
        <w:t>注：我单位无政府采购，空表列示。</w:t>
      </w:r>
    </w:p>
    <w:p>
      <w:pPr>
        <w:autoSpaceDE w:val="0"/>
        <w:autoSpaceDN w:val="0"/>
        <w:adjustRightInd w:val="0"/>
        <w:ind w:firstLine="640" w:firstLineChars="200"/>
        <w:jc w:val="left"/>
        <w:rPr>
          <w:rFonts w:ascii="Times New Roman" w:hAnsi="Times New Roman" w:eastAsia="仿宋" w:cs="Times New Roman"/>
          <w:sz w:val="32"/>
          <w:szCs w:val="24"/>
        </w:rPr>
      </w:pPr>
    </w:p>
    <w:p>
      <w:pPr>
        <w:autoSpaceDE w:val="0"/>
        <w:autoSpaceDN w:val="0"/>
        <w:adjustRightInd w:val="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北苏镇人民政府2019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488.542927</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无极县北苏镇人民政府固定资产占用情况表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北苏镇人民政府</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488.54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352.67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172.89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40.40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95.47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9</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11</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singleLevel"/>
    <w:tmpl w:val="00000002"/>
    <w:lvl w:ilvl="0" w:tentative="0">
      <w:start w:val="3"/>
      <w:numFmt w:val="chineseCounting"/>
      <w:suff w:val="nothing"/>
      <w:lvlText w:val="（%1）"/>
      <w:lvlJc w:val="left"/>
      <w:rPr>
        <w:rFonts w:hint="eastAsia"/>
      </w:rPr>
    </w:lvl>
  </w:abstractNum>
  <w:abstractNum w:abstractNumId="1">
    <w:nsid w:val="0000000B"/>
    <w:multiLevelType w:val="singleLevel"/>
    <w:tmpl w:val="0000000B"/>
    <w:lvl w:ilvl="0" w:tentative="0">
      <w:start w:val="1"/>
      <w:numFmt w:val="decimal"/>
      <w:suff w:val="nothing"/>
      <w:lvlText w:val="%1、"/>
      <w:lvlJc w:val="left"/>
    </w:lvl>
  </w:abstractNum>
  <w:abstractNum w:abstractNumId="2">
    <w:nsid w:val="0000000C"/>
    <w:multiLevelType w:val="singleLevel"/>
    <w:tmpl w:val="0000000C"/>
    <w:lvl w:ilvl="0" w:tentative="0">
      <w:start w:val="2"/>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9736E"/>
    <w:rsid w:val="0099736E"/>
    <w:rsid w:val="00B85575"/>
    <w:rsid w:val="00F50144"/>
    <w:rsid w:val="058E239A"/>
    <w:rsid w:val="1A9B308E"/>
    <w:rsid w:val="25955037"/>
    <w:rsid w:val="301015C0"/>
    <w:rsid w:val="429C091D"/>
    <w:rsid w:val="5B5C09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13</Pages>
  <Words>895</Words>
  <Characters>5108</Characters>
  <Lines>42</Lines>
  <Paragraphs>11</Paragraphs>
  <TotalTime>1</TotalTime>
  <ScaleCrop>false</ScaleCrop>
  <LinksUpToDate>false</LinksUpToDate>
  <CharactersWithSpaces>5992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2024-10-12T07:16:34Z</dcterms:modified>
  <dc:title>Administrator</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6A0DD95D2323498ABA6C541BDC7AE49A</vt:lpwstr>
  </property>
</Properties>
</file>