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4" w:name="_GoBack"/>
      <w:bookmarkEnd w:id="4"/>
      <w:r>
        <w:rPr>
          <w:rFonts w:hint="eastAsia" w:ascii="方正小标宋_GBK" w:hAnsi="Times New Roman" w:eastAsia="方正小标宋_GBK" w:cs="Times New Roman"/>
          <w:bCs/>
          <w:sz w:val="44"/>
          <w:szCs w:val="44"/>
        </w:rPr>
        <w:t>无极县张段固镇人民政府</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按照《预算法》、《地方预决算公开操作规程》和《河北省县级预算公开办法》规定，现将无极县张段固镇人民政府2020年部门预算公开如下：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宣传、贯彻、执行党的路线方针政策和国家的法律、法规,执行本级人民代表大会的决议和上级国家行政机关的决定和命令,其主要职能为:</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1.促进经济发展</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2.加强社会管理</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3.提供公共服务</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4.维护农村稳定</w:t>
      </w:r>
    </w:p>
    <w:p>
      <w:pPr>
        <w:ind w:firstLine="640"/>
        <w:rPr>
          <w:rFonts w:ascii="仿宋" w:hAnsi="仿宋" w:eastAsia="仿宋" w:cs="Times New Roman"/>
          <w:sz w:val="32"/>
          <w:szCs w:val="32"/>
        </w:rPr>
      </w:pPr>
      <w:r>
        <w:rPr>
          <w:rFonts w:hint="eastAsia" w:ascii="Times New Roman" w:hAnsi="Times New Roman" w:eastAsia="仿宋" w:cs="Times New Roman"/>
          <w:sz w:val="32"/>
          <w:szCs w:val="32"/>
        </w:rPr>
        <w:t>主要包括:（1）做好社会治安</w:t>
      </w:r>
      <w:r>
        <w:rPr>
          <w:rFonts w:hint="eastAsia" w:ascii="Times New Roman" w:hAnsi="Times New Roman" w:eastAsia="仿宋" w:cs="Times New Roman"/>
          <w:sz w:val="32"/>
          <w:szCs w:val="32"/>
          <w:lang w:eastAsia="zh-CN"/>
        </w:rPr>
        <w:t>综合治理</w:t>
      </w:r>
      <w:r>
        <w:rPr>
          <w:rFonts w:hint="eastAsia" w:ascii="Times New Roman" w:hAnsi="Times New Roman" w:eastAsia="仿宋" w:cs="Times New Roman"/>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ind w:firstLine="640"/>
        <w:rPr>
          <w:rFonts w:ascii="Times New Roman" w:hAnsi="Times New Roman" w:eastAsia="仿宋" w:cs="Times New Roman"/>
          <w:sz w:val="32"/>
          <w:szCs w:val="32"/>
        </w:rPr>
      </w:pPr>
      <w:r>
        <w:rPr>
          <w:rFonts w:hint="eastAsia" w:ascii="Times New Roman" w:hAnsi="Times New Roman" w:eastAsia="仿宋" w:cs="Times New Roman"/>
          <w:b/>
          <w:bCs/>
          <w:sz w:val="32"/>
          <w:szCs w:val="32"/>
        </w:rPr>
        <w:t>机构设置：</w:t>
      </w:r>
      <w:r>
        <w:rPr>
          <w:rFonts w:hint="eastAsia" w:ascii="Times New Roman" w:hAnsi="Times New Roman" w:eastAsia="仿宋" w:cs="Times New Roman"/>
          <w:sz w:val="32"/>
          <w:szCs w:val="32"/>
        </w:rPr>
        <w:t>按照“三定”方案要求，本部门分别设置：无极县张段固镇政府机关（行政）、无极县张段固镇共产党机关（行政）、无极县张段固镇财政部门（事业）、无极县张段固镇计生部门（事业），以上均为全额拨款单位。</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张段固镇机构设置见下表：</w:t>
      </w:r>
    </w:p>
    <w:tbl>
      <w:tblPr>
        <w:tblStyle w:val="7"/>
        <w:tblW w:w="8760" w:type="dxa"/>
        <w:tblInd w:w="93" w:type="dxa"/>
        <w:tblLayout w:type="fixed"/>
        <w:tblCellMar>
          <w:top w:w="0" w:type="dxa"/>
          <w:left w:w="108" w:type="dxa"/>
          <w:bottom w:w="0" w:type="dxa"/>
          <w:right w:w="108" w:type="dxa"/>
        </w:tblCellMar>
      </w:tblPr>
      <w:tblGrid>
        <w:gridCol w:w="3481"/>
        <w:gridCol w:w="1099"/>
        <w:gridCol w:w="1320"/>
        <w:gridCol w:w="2860"/>
      </w:tblGrid>
      <w:tr>
        <w:tblPrEx>
          <w:tblCellMar>
            <w:top w:w="0" w:type="dxa"/>
            <w:left w:w="108" w:type="dxa"/>
            <w:bottom w:w="0" w:type="dxa"/>
            <w:right w:w="108" w:type="dxa"/>
          </w:tblCellMar>
        </w:tblPrEx>
        <w:trPr>
          <w:trHeight w:val="495" w:hRule="atLeast"/>
        </w:trPr>
        <w:tc>
          <w:tcPr>
            <w:tcW w:w="4580" w:type="dxa"/>
            <w:gridSpan w:val="2"/>
            <w:tcBorders>
              <w:top w:val="nil"/>
              <w:left w:val="nil"/>
              <w:bottom w:val="nil"/>
              <w:right w:val="nil"/>
            </w:tcBorders>
            <w:vAlign w:val="center"/>
          </w:tcPr>
          <w:p>
            <w:pPr>
              <w:widowControl/>
              <w:spacing w:line="560" w:lineRule="exact"/>
              <w:jc w:val="left"/>
              <w:rPr>
                <w:rFonts w:ascii="宋体" w:hAnsi="宋体" w:cs="宋体"/>
                <w:kern w:val="0"/>
                <w:sz w:val="24"/>
                <w:szCs w:val="24"/>
              </w:rPr>
            </w:pPr>
            <w:r>
              <w:rPr>
                <w:rFonts w:hint="eastAsia" w:ascii="宋体" w:hAnsi="宋体" w:cs="宋体"/>
                <w:kern w:val="0"/>
                <w:sz w:val="24"/>
                <w:szCs w:val="24"/>
              </w:rPr>
              <w:t xml:space="preserve">  </w:t>
            </w:r>
          </w:p>
        </w:tc>
        <w:tc>
          <w:tcPr>
            <w:tcW w:w="1320" w:type="dxa"/>
            <w:tcBorders>
              <w:top w:val="nil"/>
              <w:left w:val="nil"/>
              <w:bottom w:val="nil"/>
              <w:right w:val="nil"/>
            </w:tcBorders>
            <w:vAlign w:val="center"/>
          </w:tcPr>
          <w:p>
            <w:pPr>
              <w:widowControl/>
              <w:spacing w:line="560" w:lineRule="exact"/>
              <w:jc w:val="left"/>
              <w:rPr>
                <w:rFonts w:ascii="宋体" w:hAnsi="宋体" w:cs="宋体"/>
                <w:kern w:val="0"/>
                <w:sz w:val="24"/>
                <w:szCs w:val="24"/>
              </w:rPr>
            </w:pPr>
          </w:p>
        </w:tc>
        <w:tc>
          <w:tcPr>
            <w:tcW w:w="2860" w:type="dxa"/>
            <w:tcBorders>
              <w:top w:val="nil"/>
              <w:left w:val="nil"/>
              <w:bottom w:val="nil"/>
              <w:right w:val="nil"/>
            </w:tcBorders>
            <w:vAlign w:val="center"/>
          </w:tcPr>
          <w:p>
            <w:pPr>
              <w:widowControl/>
              <w:spacing w:line="560" w:lineRule="exact"/>
              <w:jc w:val="left"/>
              <w:rPr>
                <w:rFonts w:ascii="宋体" w:hAnsi="宋体" w:cs="宋体"/>
                <w:kern w:val="0"/>
                <w:sz w:val="24"/>
                <w:szCs w:val="24"/>
              </w:rPr>
            </w:pPr>
          </w:p>
        </w:tc>
      </w:tr>
      <w:tr>
        <w:tblPrEx>
          <w:tblCellMar>
            <w:top w:w="0" w:type="dxa"/>
            <w:left w:w="108" w:type="dxa"/>
            <w:bottom w:w="0" w:type="dxa"/>
            <w:right w:w="108" w:type="dxa"/>
          </w:tblCellMar>
        </w:tblPrEx>
        <w:trPr>
          <w:trHeight w:val="495" w:hRule="atLeast"/>
        </w:trPr>
        <w:tc>
          <w:tcPr>
            <w:tcW w:w="8760" w:type="dxa"/>
            <w:gridSpan w:val="4"/>
            <w:tcBorders>
              <w:top w:val="nil"/>
              <w:left w:val="nil"/>
              <w:bottom w:val="nil"/>
              <w:right w:val="nil"/>
            </w:tcBorders>
            <w:vAlign w:val="center"/>
          </w:tcPr>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部门机构设置情况</w:t>
            </w:r>
          </w:p>
        </w:tc>
      </w:tr>
      <w:tr>
        <w:tblPrEx>
          <w:tblCellMar>
            <w:top w:w="0" w:type="dxa"/>
            <w:left w:w="108" w:type="dxa"/>
            <w:bottom w:w="0" w:type="dxa"/>
            <w:right w:w="108" w:type="dxa"/>
          </w:tblCellMar>
        </w:tblPrEx>
        <w:trPr>
          <w:trHeight w:val="435" w:hRule="atLeast"/>
        </w:trPr>
        <w:tc>
          <w:tcPr>
            <w:tcW w:w="3481" w:type="dxa"/>
            <w:tcBorders>
              <w:top w:val="single" w:color="auto" w:sz="4" w:space="0"/>
              <w:left w:val="single" w:color="auto" w:sz="4" w:space="0"/>
              <w:bottom w:val="single" w:color="auto" w:sz="4" w:space="0"/>
              <w:right w:val="single" w:color="auto" w:sz="4" w:space="0"/>
            </w:tcBorders>
            <w:vAlign w:val="center"/>
          </w:tcPr>
          <w:p>
            <w:pPr>
              <w:ind w:firstLine="640"/>
              <w:rPr>
                <w:rFonts w:ascii="Times New Roman" w:hAnsi="Times New Roman" w:eastAsia="仿宋" w:cs="Times New Roman"/>
                <w:sz w:val="24"/>
                <w:szCs w:val="24"/>
              </w:rPr>
            </w:pPr>
            <w:r>
              <w:rPr>
                <w:rFonts w:hint="eastAsia" w:ascii="Times New Roman" w:hAnsi="Times New Roman" w:eastAsia="仿宋" w:cs="Times New Roman"/>
                <w:sz w:val="24"/>
                <w:szCs w:val="24"/>
              </w:rPr>
              <w:t>单位名称</w:t>
            </w:r>
          </w:p>
        </w:tc>
        <w:tc>
          <w:tcPr>
            <w:tcW w:w="1099" w:type="dxa"/>
            <w:tcBorders>
              <w:top w:val="single" w:color="auto" w:sz="4" w:space="0"/>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单位</w:t>
            </w:r>
          </w:p>
          <w:p>
            <w:pPr>
              <w:rPr>
                <w:rFonts w:ascii="Times New Roman" w:hAnsi="Times New Roman" w:eastAsia="仿宋" w:cs="Times New Roman"/>
                <w:sz w:val="24"/>
                <w:szCs w:val="24"/>
              </w:rPr>
            </w:pPr>
            <w:r>
              <w:rPr>
                <w:rFonts w:hint="eastAsia" w:ascii="Times New Roman" w:hAnsi="Times New Roman" w:eastAsia="仿宋" w:cs="Times New Roman"/>
                <w:sz w:val="24"/>
                <w:szCs w:val="24"/>
              </w:rPr>
              <w:t>性质</w:t>
            </w:r>
          </w:p>
        </w:tc>
        <w:tc>
          <w:tcPr>
            <w:tcW w:w="1320" w:type="dxa"/>
            <w:tcBorders>
              <w:top w:val="single" w:color="auto" w:sz="4" w:space="0"/>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单位规格</w:t>
            </w:r>
          </w:p>
        </w:tc>
        <w:tc>
          <w:tcPr>
            <w:tcW w:w="2860" w:type="dxa"/>
            <w:tcBorders>
              <w:top w:val="single" w:color="auto" w:sz="4" w:space="0"/>
              <w:left w:val="nil"/>
              <w:bottom w:val="single" w:color="auto" w:sz="4" w:space="0"/>
              <w:right w:val="single" w:color="auto" w:sz="4" w:space="0"/>
            </w:tcBorders>
            <w:vAlign w:val="center"/>
          </w:tcPr>
          <w:p>
            <w:pPr>
              <w:ind w:firstLine="640"/>
              <w:rPr>
                <w:rFonts w:ascii="Times New Roman" w:hAnsi="Times New Roman" w:eastAsia="仿宋" w:cs="Times New Roman"/>
                <w:sz w:val="24"/>
                <w:szCs w:val="24"/>
              </w:rPr>
            </w:pPr>
            <w:r>
              <w:rPr>
                <w:rFonts w:hint="eastAsia" w:ascii="Times New Roman" w:hAnsi="Times New Roman" w:eastAsia="仿宋" w:cs="Times New Roman"/>
                <w:sz w:val="24"/>
                <w:szCs w:val="24"/>
              </w:rPr>
              <w:t>经费保障形式</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无极县张段固镇政府机关</w:t>
            </w:r>
          </w:p>
        </w:tc>
        <w:tc>
          <w:tcPr>
            <w:tcW w:w="1099"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行政</w:t>
            </w:r>
          </w:p>
        </w:tc>
        <w:tc>
          <w:tcPr>
            <w:tcW w:w="1320"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正科级</w:t>
            </w:r>
          </w:p>
        </w:tc>
        <w:tc>
          <w:tcPr>
            <w:tcW w:w="2860"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无极县张段固镇共产党机关</w:t>
            </w:r>
          </w:p>
        </w:tc>
        <w:tc>
          <w:tcPr>
            <w:tcW w:w="1099"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行政</w:t>
            </w:r>
          </w:p>
        </w:tc>
        <w:tc>
          <w:tcPr>
            <w:tcW w:w="1320"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正科级</w:t>
            </w:r>
          </w:p>
        </w:tc>
        <w:tc>
          <w:tcPr>
            <w:tcW w:w="2860"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无极县张段固镇财政部门</w:t>
            </w:r>
          </w:p>
        </w:tc>
        <w:tc>
          <w:tcPr>
            <w:tcW w:w="1099"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事业</w:t>
            </w:r>
          </w:p>
        </w:tc>
        <w:tc>
          <w:tcPr>
            <w:tcW w:w="1320" w:type="dxa"/>
            <w:tcBorders>
              <w:top w:val="nil"/>
              <w:left w:val="nil"/>
              <w:bottom w:val="single" w:color="auto" w:sz="4" w:space="0"/>
              <w:right w:val="single" w:color="auto" w:sz="4" w:space="0"/>
            </w:tcBorders>
            <w:vAlign w:val="center"/>
          </w:tcPr>
          <w:p>
            <w:pPr>
              <w:ind w:firstLine="640"/>
              <w:rPr>
                <w:rFonts w:ascii="Times New Roman" w:hAnsi="Times New Roman" w:eastAsia="仿宋" w:cs="Times New Roman"/>
                <w:sz w:val="24"/>
                <w:szCs w:val="24"/>
              </w:rPr>
            </w:pPr>
          </w:p>
        </w:tc>
        <w:tc>
          <w:tcPr>
            <w:tcW w:w="2860"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财政性资金基本保证</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无极县张段固镇计生部门</w:t>
            </w:r>
          </w:p>
        </w:tc>
        <w:tc>
          <w:tcPr>
            <w:tcW w:w="1099"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事业</w:t>
            </w:r>
          </w:p>
        </w:tc>
        <w:tc>
          <w:tcPr>
            <w:tcW w:w="1320" w:type="dxa"/>
            <w:tcBorders>
              <w:top w:val="nil"/>
              <w:left w:val="nil"/>
              <w:bottom w:val="single" w:color="auto" w:sz="4" w:space="0"/>
              <w:right w:val="single" w:color="auto" w:sz="4" w:space="0"/>
            </w:tcBorders>
            <w:vAlign w:val="center"/>
          </w:tcPr>
          <w:p>
            <w:pPr>
              <w:ind w:firstLine="640"/>
              <w:rPr>
                <w:rFonts w:ascii="Times New Roman" w:hAnsi="Times New Roman" w:eastAsia="仿宋" w:cs="Times New Roman"/>
                <w:sz w:val="24"/>
                <w:szCs w:val="24"/>
              </w:rPr>
            </w:pPr>
          </w:p>
        </w:tc>
        <w:tc>
          <w:tcPr>
            <w:tcW w:w="2860" w:type="dxa"/>
            <w:tcBorders>
              <w:top w:val="nil"/>
              <w:left w:val="nil"/>
              <w:bottom w:val="single" w:color="auto" w:sz="4" w:space="0"/>
              <w:right w:val="single" w:color="auto" w:sz="4" w:space="0"/>
            </w:tcBorders>
            <w:vAlign w:val="center"/>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财政性资金基本保证</w:t>
            </w:r>
          </w:p>
        </w:tc>
      </w:tr>
      <w:tr>
        <w:tblPrEx>
          <w:tblCellMar>
            <w:top w:w="0" w:type="dxa"/>
            <w:left w:w="108" w:type="dxa"/>
            <w:bottom w:w="0" w:type="dxa"/>
            <w:right w:w="108" w:type="dxa"/>
          </w:tblCellMar>
        </w:tblPrEx>
        <w:trPr>
          <w:trHeight w:val="750" w:hRule="atLeast"/>
        </w:trPr>
        <w:tc>
          <w:tcPr>
            <w:tcW w:w="8760" w:type="dxa"/>
            <w:gridSpan w:val="4"/>
            <w:tcBorders>
              <w:top w:val="nil"/>
              <w:left w:val="nil"/>
              <w:bottom w:val="nil"/>
              <w:right w:val="nil"/>
            </w:tcBorders>
            <w:vAlign w:val="center"/>
          </w:tcPr>
          <w:p>
            <w:pPr>
              <w:ind w:firstLine="640"/>
              <w:rPr>
                <w:rFonts w:ascii="Times New Roman" w:hAnsi="Times New Roman" w:eastAsia="仿宋" w:cs="Times New Roman"/>
                <w:sz w:val="24"/>
                <w:szCs w:val="24"/>
              </w:rPr>
            </w:pPr>
            <w:r>
              <w:rPr>
                <w:rFonts w:hint="eastAsia" w:ascii="Times New Roman" w:hAnsi="Times New Roman" w:eastAsia="仿宋" w:cs="Times New Roman"/>
                <w:sz w:val="24"/>
                <w:szCs w:val="24"/>
              </w:rPr>
              <w:t>备注：乡镇没有下属单位，按职能划分为政府、党委、财政、计生等部门，预决算统一在政府编制。</w:t>
            </w:r>
          </w:p>
        </w:tc>
      </w:tr>
    </w:tbl>
    <w:p>
      <w:pPr>
        <w:rPr>
          <w:sz w:val="18"/>
          <w:szCs w:val="20"/>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反映本部门当年全部收入。2020年预算收入745.89万元，其中：一般公共预算收入745.89万元，基金预算收入0万元，财政专户核拨收入0万元，其他来源收入0万元。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无极县张段固镇人民政府年度部门预算中支出预算的总体情况。2020年部门支出预算为745.89万元，其中基本支出745.89万元，包括人员经费677.59万元和日常公用经费68.30万元；项目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2020年部门预算收支安排745.89万元，较2019年减少1423.98万元，其中：基本支出增加118.02万元，主要是人员增加，相应增加人员经费和日常公用经费；项目支出减少1542万元，主要是项目支出预算待定；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68.3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3万元，其中：因公出国（境）费0万元；公务用车购置及运维费3万元（其中：公务用车购置费0万元，公务用车运行维护费3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镇人事安排部署；提高组织换届选举工作水平。</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二、政务服务与政务管理绩效目标：突出政务、加强事务管理，力求重点工作出精品。难点工作求突破、基础工作有创新、常规工作见特色。以机关干部工作作风为依据，增强工作综合服务实力。</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综合业务、事务管理绩效目标：以服务领导和机关保障有力为目标，增强优质后勤管理水平，通过加强公车管理，降低运行成本，为创建节约型机关打下了良好的基础。采取保障镇政府领导和机关工作办公环境的措施，提升服务管理水平，保障镇领导和机关工作的正常运转。及时了解国内外形势、党和国家的方针政策以及上级重要部署和要求，及时为老干部提供优质高效服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四、推进新农村建设，加快农村基础设施建设绩效目标：通过实施农村面貌改造提升行动和开展新民居中心村示范点建设，加快建设社会主义新农村。改善农村环境面貌，提升农民生产生活条件。</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五、维护社会稳定和安全绩效目标：预防减少不稳定因素的发生，有效化解不稳定隐患、群体性事件和突发事件，维护安全工作。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六、招商引资，扶持企业发展绩效目标：促进对外贸易稳定增长，优化产品结构。</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组织专门委员会委员、各工作委员会及特聘专家进行对法律实施情况进行执法检查；组织镇人大及镇人大代表进行执法检查和集中视察；开展代表建议督办；组织对常委及代表培训。</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绩效目标：发挥常委及代表的作用，集中反映民意，促进依法履职。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绩效指标：建议督办完成率80%以上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绩效目标：保障新闻宣传与新闻发布工作正常开展，提高人大信息透明度和影响力；保障会议表决系统正常运转；网络与办公平台正常运行；促进社会和谐稳定。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绩效指标：综合业务管理工作完成率90%以上。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（三）不断提高信息公开工作业务水平；协助镇领导组织会议决定事项的落实；督办重大决策落实；做好镇际间政务往来与经济交流工作，负责镇级领导公务活动的接待安排。</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绩效目标：提升政务公开服务水平。承办大型会议，有效推动全镇经济发展，保障重大决策落实，积极贯彻</w:t>
      </w:r>
      <w:r>
        <w:rPr>
          <w:rFonts w:hint="eastAsia" w:ascii="Times New Roman" w:hAnsi="Times New Roman" w:eastAsia="仿宋" w:cs="Times New Roman"/>
          <w:sz w:val="32"/>
          <w:szCs w:val="32"/>
          <w:lang w:eastAsia="zh-CN"/>
        </w:rPr>
        <w:t>工作部署</w:t>
      </w:r>
      <w:r>
        <w:rPr>
          <w:rFonts w:hint="eastAsia" w:ascii="Times New Roman" w:hAnsi="Times New Roman" w:eastAsia="仿宋" w:cs="Times New Roman"/>
          <w:sz w:val="32"/>
          <w:szCs w:val="32"/>
        </w:rPr>
        <w:t>，创新工作机制，提升服务水平。围绕我镇中心工作，有效促进对外经贸协作和外地高科技项目合作。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绩效指标：政务信息公开培训任务完成率90%以上。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（四）政府值班工作，及时报告重要情况，传达和落实镇领导重要指示，协助镇领导完成组织处理突发事件应急处置工作。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绩效目标：建设运行维护平台数据，为有效保障全镇突发事件提供技术保障，确保快速、有效处置突发事件，提高事件应对实效。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绩效指标：应急事件处置情况及时率≥90%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（五）会议组织管理、信息化建设与维护、财务和资产管理、标准化建设。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绩效目标：保障办公机关正常运转</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绩效指标：综合事务管理工作完成率≥90%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（六）按照统筹城镇发展要求，组织实施农村面貌改造提升行动。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绩效目标：开展农村面貌改造提升。按照分期分批推进的要求，每年选定一批重点村实施改造提升。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绩效指标：重点村改造提升完成率≥90%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（七）指导、协调和督导各级各部门排查、化解影响社会稳定的重大不稳定隐患、群体性事件和突发事件及影响安全的事件。</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绩效目标：预防减少不稳定因素的发生，有效化解不稳定隐患、群体性事件和突发事件，维护安全工作。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绩效指标：妥善处置突发事件（件）占发生突发环境事件（件）的比例90%以上。</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完善制度建设。制定完善了预算绩效管理制度、资金管理办法、工作保障制度等，为全年预算绩效目标的实现奠定制度基础。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加强支出管理。通过优化支出结构、编细编实预算、加快履行政府采购手续、尽快启动项目、及时支付资金、6月底前细化代编预算、按规定及时下达资金等多种措施，确保支出进度达标。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加强绩效运行监控。按照要求，开展绩效运行监控，发现问题及时采取措施，确保绩效目标如期保质实现。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规范财务资产管理。完善财务管理制度，严格审批程序，加强固定资产登记、使用和报废处置管理，做到支出合理，物尽其用。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方正仿宋_GBK" w:cs="Times New Roman"/>
          <w:bCs/>
          <w:sz w:val="32"/>
          <w:szCs w:val="32"/>
        </w:rPr>
      </w:pPr>
      <w:r>
        <w:rPr>
          <w:rFonts w:hint="eastAsia" w:ascii="Times New Roman" w:hAnsi="Times New Roman" w:eastAsia="仿宋" w:cs="Times New Roman"/>
          <w:sz w:val="32"/>
          <w:szCs w:val="32"/>
        </w:rPr>
        <w:t xml:space="preserve"> </w:t>
      </w:r>
      <w:r>
        <w:rPr>
          <w:rFonts w:hint="eastAsia" w:ascii="Times New Roman" w:hAnsi="Times New Roman" w:eastAsia="方正仿宋_GBK" w:cs="Times New Roman"/>
          <w:bCs/>
          <w:sz w:val="32"/>
          <w:szCs w:val="32"/>
        </w:rPr>
        <w:t>第二部分  预算项目绩效目标</w:t>
      </w:r>
    </w:p>
    <w:p>
      <w:pPr>
        <w:ind w:firstLine="840" w:firstLineChars="300"/>
        <w:jc w:val="left"/>
        <w:outlineLvl w:val="1"/>
        <w:rPr>
          <w:rFonts w:ascii="仿宋" w:hAnsi="仿宋" w:eastAsia="仿宋" w:cs="仿宋"/>
          <w:bCs/>
          <w:sz w:val="28"/>
        </w:rPr>
      </w:pPr>
      <w:r>
        <w:rPr>
          <w:rFonts w:hint="eastAsia" w:ascii="仿宋" w:hAnsi="仿宋" w:eastAsia="仿宋" w:cs="仿宋"/>
          <w:bCs/>
          <w:sz w:val="28"/>
        </w:rPr>
        <w:t xml:space="preserve"> 无 </w:t>
      </w:r>
    </w:p>
    <w:p>
      <w:pPr>
        <w:spacing w:line="14" w:lineRule="exact"/>
        <w:ind w:firstLine="420" w:firstLineChars="200"/>
        <w:jc w:val="center"/>
        <w:rPr>
          <w:rFonts w:ascii="Times New Roman" w:hAnsi="宋体"/>
        </w:rPr>
      </w:pPr>
      <w:r>
        <w:rPr>
          <w:rFonts w:ascii="方正书宋_GBK" w:eastAsia="方正书宋_GBK"/>
        </w:rPr>
        <w:t xml:space="preserve"> </w:t>
      </w:r>
    </w:p>
    <w:p>
      <w:pPr>
        <w:spacing w:line="300" w:lineRule="exact"/>
        <w:ind w:firstLine="420" w:firstLineChars="200"/>
        <w:jc w:val="left"/>
      </w:pPr>
    </w:p>
    <w:bookmarkEnd w:id="0"/>
    <w:p>
      <w:pPr>
        <w:autoSpaceDE w:val="0"/>
        <w:autoSpaceDN w:val="0"/>
        <w:adjustRightInd w:val="0"/>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ascii="Times New Roman" w:hAnsi="Times New Roman" w:eastAsia="仿宋" w:cs="Times New Roman"/>
          <w:sz w:val="32"/>
          <w:szCs w:val="24"/>
        </w:rPr>
      </w:pPr>
      <w:r>
        <w:rPr>
          <w:rFonts w:hint="eastAsia" w:ascii="Times New Roman" w:hAnsi="Times New Roman" w:eastAsia="仿宋" w:cs="Times New Roman"/>
          <w:sz w:val="32"/>
          <w:szCs w:val="24"/>
        </w:rPr>
        <w:t>2020年我单位没有安排政府采购预算，政府采购预算金额为0万元。具体内容见下表。</w:t>
      </w:r>
    </w:p>
    <w:p>
      <w:pPr>
        <w:jc w:val="center"/>
        <w:rPr>
          <w:rFonts w:ascii="方正小标宋_GBK" w:hAnsi="Times New Roman" w:eastAsia="方正小标宋_GBK" w:cs="Times New Roman"/>
          <w:sz w:val="32"/>
          <w:szCs w:val="32"/>
        </w:rPr>
      </w:pPr>
      <w:r>
        <w:rPr>
          <w:rFonts w:ascii="方正小标宋_GBK" w:hAnsi="方正小标宋_GBK" w:eastAsia="方正小标宋_GBK" w:cs="方正小标宋_GBK"/>
          <w:sz w:val="32"/>
          <w:szCs w:val="32"/>
          <w:lang w:bidi="ar"/>
        </w:rPr>
        <w:t>部门政府采购预算</w:t>
      </w:r>
    </w:p>
    <w:tbl>
      <w:tblPr>
        <w:tblStyle w:val="7"/>
        <w:tblW w:w="147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1134"/>
        <w:gridCol w:w="1417"/>
        <w:gridCol w:w="1294"/>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928"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932张段固镇</w:t>
            </w:r>
          </w:p>
        </w:tc>
        <w:tc>
          <w:tcPr>
            <w:tcW w:w="6804" w:type="dxa"/>
            <w:gridSpan w:val="6"/>
            <w:tcBorders>
              <w:top w:val="single" w:color="FFFFFF" w:sz="6" w:space="0"/>
              <w:left w:val="nil"/>
              <w:bottom w:val="single" w:color="000000"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ascii="方正小标宋_GBK" w:hAnsi="Times New Roman" w:eastAsia="方正小标宋_GBK" w:cs="Times New Roman"/>
                <w:sz w:val="24"/>
                <w:szCs w:val="24"/>
                <w:lang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94"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政府采购项目来源</w:t>
            </w:r>
          </w:p>
        </w:tc>
        <w:tc>
          <w:tcPr>
            <w:tcW w:w="1417" w:type="dxa"/>
            <w:vMerge w:val="restart"/>
            <w:tcBorders>
              <w:top w:val="nil"/>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采购物品名称</w:t>
            </w:r>
          </w:p>
        </w:tc>
        <w:tc>
          <w:tcPr>
            <w:tcW w:w="1294"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政府采购目录序号</w:t>
            </w:r>
          </w:p>
        </w:tc>
        <w:tc>
          <w:tcPr>
            <w:tcW w:w="709"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计量  单位</w:t>
            </w:r>
          </w:p>
        </w:tc>
        <w:tc>
          <w:tcPr>
            <w:tcW w:w="907"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数量</w:t>
            </w:r>
          </w:p>
        </w:tc>
        <w:tc>
          <w:tcPr>
            <w:tcW w:w="907"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单价</w:t>
            </w:r>
          </w:p>
        </w:tc>
        <w:tc>
          <w:tcPr>
            <w:tcW w:w="6804" w:type="dxa"/>
            <w:gridSpan w:val="6"/>
            <w:tcBorders>
              <w:top w:val="single" w:color="000000" w:sz="6" w:space="0"/>
              <w:left w:val="nil"/>
              <w:bottom w:val="nil"/>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项目名称</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预算资金</w:t>
            </w:r>
          </w:p>
        </w:tc>
        <w:tc>
          <w:tcPr>
            <w:tcW w:w="1417" w:type="dxa"/>
            <w:vMerge w:val="continue"/>
            <w:tcBorders>
              <w:top w:val="nil"/>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1294"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709"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907"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907"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合计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一般公共预算拨款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基金预算拨款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国有资本经营预算拨款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财政专户核拨</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129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r>
    </w:tbl>
    <w:p>
      <w:pPr>
        <w:ind w:firstLine="640"/>
        <w:rPr>
          <w:rFonts w:ascii="仿宋" w:hAnsi="仿宋" w:eastAsia="仿宋"/>
          <w:szCs w:val="32"/>
        </w:rPr>
      </w:pPr>
      <w:r>
        <w:rPr>
          <w:rFonts w:hint="eastAsia" w:ascii="仿宋" w:hAnsi="仿宋" w:eastAsia="仿宋"/>
          <w:szCs w:val="32"/>
        </w:rPr>
        <w:t>注：我单位无政府采购，空表列示。</w:t>
      </w:r>
    </w:p>
    <w:p>
      <w:pPr>
        <w:autoSpaceDE w:val="0"/>
        <w:autoSpaceDN w:val="0"/>
        <w:adjustRightInd w:val="0"/>
        <w:jc w:val="left"/>
        <w:rPr>
          <w:rFonts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r>
        <w:rPr>
          <w:rFonts w:hint="eastAsia" w:ascii="黑体" w:hAnsi="黑体" w:eastAsia="黑体" w:cs="Times New Roman"/>
          <w:sz w:val="32"/>
          <w:szCs w:val="32"/>
        </w:rPr>
        <w:t>七、国有资产信息</w:t>
      </w:r>
    </w:p>
    <w:p>
      <w:pPr>
        <w:autoSpaceDE w:val="0"/>
        <w:autoSpaceDN w:val="0"/>
        <w:adjustRightInd w:val="0"/>
        <w:jc w:val="left"/>
        <w:rPr>
          <w:rFonts w:ascii="黑体" w:hAnsi="黑体" w:eastAsia="黑体" w:cs="Times New Roman"/>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张段固镇人民政府2019</w:t>
            </w:r>
            <w:r>
              <w:rPr>
                <w:rFonts w:ascii="Times New Roman" w:hAnsi="Times New Roman" w:eastAsia="仿宋" w:cs="Times New Roman"/>
                <w:sz w:val="32"/>
                <w:szCs w:val="32"/>
              </w:rPr>
              <w:t>年末固定资产金额为</w:t>
            </w:r>
            <w:r>
              <w:rPr>
                <w:rFonts w:hint="eastAsia" w:ascii="Times New Roman" w:hAnsi="Times New Roman" w:eastAsia="仿宋" w:cs="Times New Roman"/>
                <w:sz w:val="32"/>
                <w:szCs w:val="32"/>
              </w:rPr>
              <w:t>1292.217403</w:t>
            </w:r>
            <w:r>
              <w:rPr>
                <w:rFonts w:ascii="Times New Roman" w:hAnsi="Times New Roman" w:eastAsia="仿宋" w:cs="Times New Roman"/>
                <w:sz w:val="32"/>
                <w:szCs w:val="32"/>
              </w:rPr>
              <w:t>万元（详见下表），本年度拟购置固定资产</w:t>
            </w:r>
            <w:r>
              <w:rPr>
                <w:rFonts w:hint="eastAsia" w:ascii="Times New Roman" w:hAnsi="Times New Roman" w:eastAsia="仿宋" w:cs="Times New Roman"/>
                <w:sz w:val="32"/>
                <w:szCs w:val="32"/>
              </w:rPr>
              <w:t>总额为0</w:t>
            </w:r>
            <w:r>
              <w:rPr>
                <w:rFonts w:ascii="Times New Roman" w:hAnsi="Times New Roman" w:eastAsia="仿宋" w:cs="Times New Roman"/>
                <w:sz w:val="32"/>
                <w:szCs w:val="32"/>
              </w:rPr>
              <w:t>万元</w:t>
            </w:r>
            <w:r>
              <w:rPr>
                <w:rFonts w:hint="eastAsia" w:ascii="Times New Roman" w:hAnsi="Times New Roman" w:eastAsia="仿宋" w:cs="Times New Roman"/>
                <w:sz w:val="32"/>
                <w:szCs w:val="32"/>
              </w:rPr>
              <w:t>。</w:t>
            </w:r>
          </w:p>
          <w:p>
            <w:pPr>
              <w:widowControl/>
              <w:jc w:val="center"/>
              <w:rPr>
                <w:rFonts w:ascii="宋体" w:hAnsi="宋体" w:cs="宋体"/>
                <w:b/>
                <w:bCs/>
                <w:kern w:val="0"/>
                <w:sz w:val="32"/>
                <w:szCs w:val="32"/>
              </w:rPr>
            </w:pP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张段固镇人民政府</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1292.22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21300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573.90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18000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104.93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54.26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159.13</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9</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92DD7"/>
    <w:rsid w:val="00007046"/>
    <w:rsid w:val="00B92DD7"/>
    <w:rsid w:val="00C00AAC"/>
    <w:rsid w:val="07AF3C7E"/>
    <w:rsid w:val="21923468"/>
    <w:rsid w:val="247F4EE2"/>
    <w:rsid w:val="46500D37"/>
    <w:rsid w:val="50120041"/>
    <w:rsid w:val="59B70D2D"/>
    <w:rsid w:val="68EC15D0"/>
    <w:rsid w:val="7EEB6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13</Pages>
  <Words>814</Words>
  <Characters>4643</Characters>
  <Lines>38</Lines>
  <Paragraphs>10</Paragraphs>
  <TotalTime>2</TotalTime>
  <ScaleCrop>false</ScaleCrop>
  <LinksUpToDate>false</LinksUpToDate>
  <CharactersWithSpaces>5447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2024-04-10T07:14:50Z</dcterms:modified>
  <dc:title>hp</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D783304925534C13B4CB7DFB7A8B81E8</vt:lpwstr>
  </property>
</Properties>
</file>