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018B" w:rsidRDefault="00996F42">
      <w:pPr>
        <w:widowControl/>
        <w:jc w:val="center"/>
        <w:rPr>
          <w:rFonts w:asciiTheme="minorEastAsia" w:eastAsiaTheme="minorEastAsia" w:hAnsiTheme="minorEastAsia"/>
          <w:b/>
          <w:sz w:val="72"/>
          <w:szCs w:val="72"/>
        </w:rPr>
      </w:pPr>
      <w:r>
        <w:rPr>
          <w:rFonts w:asciiTheme="minorEastAsia" w:eastAsiaTheme="minorEastAsia" w:hAnsi="宋体" w:hint="eastAsia"/>
          <w:noProof/>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cstate="print"/>
                    <a:stretch>
                      <a:fillRect/>
                    </a:stretch>
                  </pic:blipFill>
                  <pic:spPr>
                    <a:xfrm>
                      <a:off x="0" y="0"/>
                      <a:ext cx="7576820" cy="10796905"/>
                    </a:xfrm>
                    <a:prstGeom prst="rect">
                      <a:avLst/>
                    </a:prstGeom>
                  </pic:spPr>
                </pic:pic>
              </a:graphicData>
            </a:graphic>
          </wp:anchor>
        </w:drawing>
      </w:r>
    </w:p>
    <w:p w:rsidR="005B018B" w:rsidRDefault="005B018B">
      <w:pPr>
        <w:widowControl/>
        <w:jc w:val="center"/>
        <w:rPr>
          <w:rFonts w:asciiTheme="minorEastAsia" w:eastAsiaTheme="minorEastAsia" w:hAnsi="宋体"/>
          <w:color w:val="002060"/>
          <w:sz w:val="72"/>
          <w:szCs w:val="72"/>
        </w:rPr>
      </w:pPr>
      <w:r w:rsidRPr="005B018B">
        <w:rPr>
          <w:sz w:val="72"/>
        </w:rPr>
        <w:pict>
          <v:shapetype id="_x0000_t202" coordsize="21600,21600" o:spt="202" path="m,l,21600r21600,l21600,xe">
            <v:stroke joinstyle="miter"/>
            <v:path gradientshapeok="t" o:connecttype="rect"/>
          </v:shapetype>
          <v:shape id="_x0000_s1026" type="#_x0000_t202" style="position:absolute;left:0;text-align:left;margin-left:-83.1pt;margin-top:43.25pt;width:596.2pt;height:166.25pt;z-index:251660288;mso-width-relative:page;mso-height-relative:page"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filled="f" stroked="f" strokeweight=".5pt">
            <v:textbox>
              <w:txbxContent>
                <w:p w:rsidR="005B018B" w:rsidRDefault="00996F4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无极县行政审批管理局</w:t>
                  </w:r>
                </w:p>
                <w:p w:rsidR="005B018B" w:rsidRDefault="00996F42">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w:t>
                  </w:r>
                </w:p>
                <w:p w:rsidR="005B018B" w:rsidRDefault="005B018B">
                  <w:pPr>
                    <w:rPr>
                      <w:color w:val="FDEFBE"/>
                      <w:sz w:val="96"/>
                      <w:szCs w:val="96"/>
                    </w:rPr>
                  </w:pPr>
                </w:p>
              </w:txbxContent>
            </v:textbox>
          </v:shape>
        </w:pict>
      </w:r>
    </w:p>
    <w:p w:rsidR="005B018B" w:rsidRDefault="005B018B">
      <w:pPr>
        <w:widowControl/>
        <w:jc w:val="center"/>
        <w:rPr>
          <w:rFonts w:asciiTheme="minorEastAsia" w:eastAsiaTheme="minorEastAsia" w:hAnsiTheme="minorEastAsia"/>
          <w:b/>
          <w:sz w:val="72"/>
          <w:szCs w:val="72"/>
        </w:rPr>
      </w:pPr>
    </w:p>
    <w:p w:rsidR="005B018B" w:rsidRDefault="005B018B">
      <w:pPr>
        <w:widowControl/>
        <w:jc w:val="center"/>
        <w:rPr>
          <w:rFonts w:asciiTheme="minorEastAsia" w:eastAsiaTheme="minorEastAsia" w:hAnsiTheme="minorEastAsia"/>
          <w:b/>
          <w:sz w:val="72"/>
          <w:szCs w:val="72"/>
        </w:rPr>
      </w:pPr>
    </w:p>
    <w:p w:rsidR="005B018B" w:rsidRDefault="005B018B">
      <w:pPr>
        <w:widowControl/>
        <w:jc w:val="center"/>
        <w:rPr>
          <w:rFonts w:asciiTheme="minorEastAsia" w:eastAsiaTheme="minorEastAsia" w:hAnsiTheme="minorEastAsia"/>
          <w:b/>
          <w:sz w:val="72"/>
          <w:szCs w:val="72"/>
        </w:rPr>
      </w:pPr>
    </w:p>
    <w:p w:rsidR="005B018B" w:rsidRDefault="005B018B">
      <w:pPr>
        <w:widowControl/>
        <w:jc w:val="center"/>
        <w:rPr>
          <w:rFonts w:asciiTheme="minorEastAsia" w:eastAsiaTheme="minorEastAsia" w:hAnsiTheme="minorEastAsia"/>
          <w:b/>
          <w:sz w:val="72"/>
          <w:szCs w:val="72"/>
        </w:rPr>
      </w:pPr>
    </w:p>
    <w:p w:rsidR="005B018B" w:rsidRDefault="005B018B">
      <w:pPr>
        <w:widowControl/>
        <w:jc w:val="center"/>
        <w:rPr>
          <w:rFonts w:asciiTheme="minorEastAsia" w:eastAsiaTheme="minorEastAsia" w:hAnsiTheme="minorEastAsia"/>
          <w:b/>
          <w:sz w:val="72"/>
          <w:szCs w:val="72"/>
        </w:rPr>
      </w:pPr>
    </w:p>
    <w:p w:rsidR="005B018B" w:rsidRDefault="005B018B">
      <w:pPr>
        <w:widowControl/>
        <w:jc w:val="center"/>
        <w:rPr>
          <w:rFonts w:asciiTheme="minorEastAsia" w:eastAsiaTheme="minorEastAsia" w:hAnsiTheme="minorEastAsia"/>
          <w:b/>
          <w:sz w:val="72"/>
          <w:szCs w:val="72"/>
        </w:rPr>
      </w:pPr>
    </w:p>
    <w:p w:rsidR="005B018B" w:rsidRDefault="005B018B">
      <w:pPr>
        <w:widowControl/>
        <w:jc w:val="center"/>
        <w:rPr>
          <w:rFonts w:asciiTheme="minorEastAsia" w:eastAsiaTheme="minorEastAsia" w:hAnsiTheme="minorEastAsia"/>
          <w:b/>
          <w:sz w:val="72"/>
          <w:szCs w:val="72"/>
        </w:rPr>
      </w:pPr>
    </w:p>
    <w:p w:rsidR="005B018B" w:rsidRDefault="005B018B">
      <w:pPr>
        <w:widowControl/>
        <w:jc w:val="center"/>
        <w:rPr>
          <w:rFonts w:asciiTheme="minorEastAsia" w:eastAsiaTheme="minorEastAsia" w:hAnsiTheme="minorEastAsia"/>
          <w:b/>
          <w:sz w:val="72"/>
          <w:szCs w:val="72"/>
        </w:rPr>
      </w:pPr>
    </w:p>
    <w:p w:rsidR="005B018B" w:rsidRDefault="005B018B">
      <w:pPr>
        <w:widowControl/>
        <w:jc w:val="center"/>
        <w:rPr>
          <w:rFonts w:ascii="楷体" w:eastAsia="楷体" w:hAnsi="楷体" w:cs="楷体"/>
          <w:b/>
          <w:sz w:val="40"/>
          <w:szCs w:val="40"/>
        </w:rPr>
      </w:pPr>
    </w:p>
    <w:p w:rsidR="005B018B" w:rsidRDefault="00996F42">
      <w:pPr>
        <w:widowControl/>
        <w:jc w:val="center"/>
        <w:rPr>
          <w:rFonts w:ascii="楷体_GB2312" w:eastAsia="楷体_GB2312" w:hAnsi="楷体" w:cs="楷体"/>
          <w:b/>
          <w:sz w:val="40"/>
          <w:szCs w:val="40"/>
        </w:rPr>
        <w:sectPr w:rsidR="005B018B">
          <w:pgSz w:w="11906" w:h="16838"/>
          <w:pgMar w:top="2098" w:right="1474" w:bottom="1985" w:left="1588" w:header="851" w:footer="992" w:gutter="0"/>
          <w:cols w:space="425"/>
          <w:docGrid w:type="lines" w:linePitch="312"/>
        </w:sectPr>
      </w:pPr>
      <w:r>
        <w:rPr>
          <w:rFonts w:ascii="楷体_GB2312" w:eastAsia="楷体_GB2312" w:hAnsi="楷体" w:cs="楷体" w:hint="eastAsia"/>
          <w:b/>
          <w:sz w:val="40"/>
          <w:szCs w:val="40"/>
        </w:rPr>
        <w:t>二</w:t>
      </w:r>
      <w:r>
        <w:rPr>
          <w:rFonts w:ascii="宋体" w:hAnsi="宋体" w:cs="宋体" w:hint="eastAsia"/>
          <w:b/>
          <w:sz w:val="40"/>
          <w:szCs w:val="40"/>
        </w:rPr>
        <w:t>〇</w:t>
      </w:r>
      <w:r>
        <w:rPr>
          <w:rFonts w:ascii="楷体_GB2312" w:eastAsia="楷体_GB2312" w:hAnsi="楷体_GB2312" w:cs="楷体_GB2312" w:hint="eastAsia"/>
          <w:b/>
          <w:sz w:val="40"/>
          <w:szCs w:val="40"/>
        </w:rPr>
        <w:t>一九年九</w:t>
      </w:r>
      <w:r>
        <w:rPr>
          <w:rFonts w:ascii="楷体_GB2312" w:eastAsia="楷体_GB2312" w:hAnsi="楷体" w:cs="楷体" w:hint="eastAsia"/>
          <w:b/>
          <w:sz w:val="40"/>
          <w:szCs w:val="40"/>
        </w:rPr>
        <w:t>月十日</w:t>
      </w:r>
    </w:p>
    <w:p w:rsidR="005B018B" w:rsidRDefault="00996F42" w:rsidP="005B018B">
      <w:pPr>
        <w:spacing w:beforeLines="200" w:after="0" w:line="1000" w:lineRule="exact"/>
        <w:jc w:val="center"/>
        <w:rPr>
          <w:rFonts w:ascii="黑体" w:eastAsia="黑体"/>
          <w:sz w:val="48"/>
          <w:szCs w:val="48"/>
        </w:rPr>
      </w:pPr>
      <w:r>
        <w:rPr>
          <w:rFonts w:ascii="黑体" w:eastAsia="黑体" w:hint="eastAsia"/>
          <w:sz w:val="48"/>
          <w:szCs w:val="48"/>
        </w:rPr>
        <w:lastRenderedPageBreak/>
        <w:t>目</w:t>
      </w:r>
      <w:r>
        <w:rPr>
          <w:rFonts w:ascii="黑体" w:eastAsia="黑体" w:hint="eastAsia"/>
          <w:sz w:val="48"/>
          <w:szCs w:val="48"/>
        </w:rPr>
        <w:t xml:space="preserve">    </w:t>
      </w:r>
      <w:r>
        <w:rPr>
          <w:rFonts w:ascii="黑体" w:eastAsia="黑体" w:hint="eastAsia"/>
          <w:sz w:val="48"/>
          <w:szCs w:val="48"/>
        </w:rPr>
        <w:t>录</w:t>
      </w:r>
    </w:p>
    <w:p w:rsidR="005B018B" w:rsidRDefault="005B018B">
      <w:pPr>
        <w:widowControl/>
        <w:spacing w:line="580" w:lineRule="exact"/>
        <w:ind w:firstLineChars="200" w:firstLine="640"/>
        <w:rPr>
          <w:rFonts w:eastAsia="黑体"/>
          <w:sz w:val="32"/>
          <w:szCs w:val="32"/>
        </w:rPr>
      </w:pPr>
    </w:p>
    <w:p w:rsidR="005B018B" w:rsidRDefault="00996F42">
      <w:pPr>
        <w:widowControl/>
        <w:spacing w:line="580" w:lineRule="exact"/>
        <w:ind w:firstLineChars="200" w:firstLine="640"/>
        <w:rPr>
          <w:rFonts w:eastAsia="仿宋_GB2312"/>
          <w:sz w:val="24"/>
          <w:szCs w:val="32"/>
        </w:rPr>
      </w:pPr>
      <w:r>
        <w:rPr>
          <w:rFonts w:eastAsia="黑体"/>
          <w:sz w:val="32"/>
          <w:szCs w:val="32"/>
        </w:rPr>
        <w:t>第一部分部门概况</w:t>
      </w:r>
    </w:p>
    <w:p w:rsidR="005B018B" w:rsidRDefault="00996F42" w:rsidP="005B018B">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5B018B" w:rsidRDefault="00996F42" w:rsidP="005B018B">
      <w:pPr>
        <w:widowControl/>
        <w:spacing w:line="580" w:lineRule="exact"/>
        <w:ind w:firstLineChars="398" w:firstLine="1274"/>
        <w:rPr>
          <w:rFonts w:eastAsia="仿宋_GB2312"/>
          <w:sz w:val="32"/>
          <w:szCs w:val="32"/>
        </w:rPr>
      </w:pPr>
      <w:r>
        <w:rPr>
          <w:rFonts w:eastAsia="仿宋_GB2312"/>
          <w:sz w:val="32"/>
          <w:szCs w:val="32"/>
        </w:rPr>
        <w:t>二、</w:t>
      </w:r>
      <w:r>
        <w:rPr>
          <w:rFonts w:eastAsia="仿宋_GB2312" w:hint="eastAsia"/>
          <w:sz w:val="32"/>
          <w:szCs w:val="32"/>
        </w:rPr>
        <w:t>机构设置</w:t>
      </w:r>
    </w:p>
    <w:p w:rsidR="005B018B" w:rsidRDefault="00996F42">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201</w:t>
      </w:r>
      <w:r>
        <w:rPr>
          <w:rFonts w:eastAsia="黑体" w:hint="eastAsia"/>
          <w:sz w:val="32"/>
          <w:szCs w:val="32"/>
        </w:rPr>
        <w:t>8</w:t>
      </w:r>
      <w:r>
        <w:rPr>
          <w:rFonts w:eastAsia="黑体"/>
          <w:sz w:val="32"/>
          <w:szCs w:val="32"/>
        </w:rPr>
        <w:t>年度部门决算报表</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二、收入决算表</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三、支出决算表</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w:t>
      </w:r>
      <w:r>
        <w:rPr>
          <w:rFonts w:eastAsia="仿宋_GB2312" w:hint="eastAsia"/>
          <w:sz w:val="32"/>
          <w:szCs w:val="32"/>
        </w:rPr>
        <w:t>支出决算表</w:t>
      </w:r>
    </w:p>
    <w:p w:rsidR="005B018B" w:rsidRDefault="00996F42">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rsidR="005B018B" w:rsidRDefault="00996F42">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rsidR="005B018B" w:rsidRDefault="00996F42">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rsidR="005B018B" w:rsidRDefault="005B018B">
      <w:pPr>
        <w:widowControl/>
        <w:spacing w:line="580" w:lineRule="exact"/>
        <w:ind w:firstLineChars="200" w:firstLine="640"/>
        <w:rPr>
          <w:rFonts w:eastAsia="黑体"/>
          <w:sz w:val="32"/>
          <w:szCs w:val="32"/>
        </w:rPr>
      </w:pPr>
    </w:p>
    <w:p w:rsidR="005B018B" w:rsidRDefault="00996F42">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无极县行政审批局</w:t>
      </w:r>
      <w:r>
        <w:rPr>
          <w:rFonts w:eastAsia="黑体"/>
          <w:sz w:val="32"/>
          <w:szCs w:val="32"/>
        </w:rPr>
        <w:t>部门</w:t>
      </w:r>
      <w:r>
        <w:rPr>
          <w:rFonts w:eastAsia="黑体"/>
          <w:sz w:val="32"/>
          <w:szCs w:val="32"/>
        </w:rPr>
        <w:t>201</w:t>
      </w:r>
      <w:r>
        <w:rPr>
          <w:rFonts w:eastAsia="黑体" w:hint="eastAsia"/>
          <w:sz w:val="32"/>
          <w:szCs w:val="32"/>
        </w:rPr>
        <w:t>8</w:t>
      </w:r>
      <w:r>
        <w:rPr>
          <w:rFonts w:eastAsia="黑体"/>
          <w:sz w:val="32"/>
          <w:szCs w:val="32"/>
        </w:rPr>
        <w:t>年部门决算情况说明</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5B018B" w:rsidRDefault="00996F42">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rsidR="005B018B" w:rsidRDefault="00996F42">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5B018B" w:rsidRDefault="00996F42">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rsidR="005B018B" w:rsidRDefault="00996F42">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rsidR="005B018B" w:rsidRDefault="00996F42">
      <w:pPr>
        <w:widowControl/>
        <w:spacing w:line="580" w:lineRule="exact"/>
        <w:ind w:firstLineChars="200" w:firstLine="640"/>
        <w:rPr>
          <w:rFonts w:eastAsia="黑体"/>
          <w:sz w:val="32"/>
          <w:szCs w:val="32"/>
        </w:rPr>
      </w:pPr>
      <w:r>
        <w:rPr>
          <w:rFonts w:eastAsia="黑体"/>
          <w:sz w:val="32"/>
          <w:szCs w:val="32"/>
        </w:rPr>
        <w:t>第四部分名词解释</w:t>
      </w:r>
    </w:p>
    <w:p w:rsidR="005B018B" w:rsidRDefault="005B018B">
      <w:pPr>
        <w:widowControl/>
        <w:spacing w:line="580" w:lineRule="exact"/>
        <w:ind w:firstLineChars="200" w:firstLine="640"/>
        <w:rPr>
          <w:rFonts w:eastAsia="黑体"/>
          <w:sz w:val="32"/>
          <w:szCs w:val="32"/>
        </w:rPr>
      </w:pPr>
    </w:p>
    <w:p w:rsidR="005B018B" w:rsidRDefault="005B018B">
      <w:pPr>
        <w:widowControl/>
        <w:spacing w:line="580" w:lineRule="exact"/>
        <w:ind w:firstLineChars="200" w:firstLine="640"/>
        <w:rPr>
          <w:rFonts w:eastAsia="黑体"/>
          <w:sz w:val="32"/>
          <w:szCs w:val="32"/>
        </w:rPr>
      </w:pPr>
    </w:p>
    <w:p w:rsidR="005B018B" w:rsidRDefault="005B018B">
      <w:pPr>
        <w:widowControl/>
        <w:spacing w:line="580" w:lineRule="exact"/>
        <w:ind w:firstLineChars="200" w:firstLine="640"/>
        <w:rPr>
          <w:rFonts w:eastAsia="黑体"/>
          <w:sz w:val="32"/>
          <w:szCs w:val="32"/>
        </w:rPr>
      </w:pPr>
    </w:p>
    <w:p w:rsidR="005B018B" w:rsidRDefault="005B018B">
      <w:pPr>
        <w:widowControl/>
        <w:spacing w:line="580" w:lineRule="exact"/>
        <w:ind w:firstLineChars="200" w:firstLine="640"/>
        <w:rPr>
          <w:rFonts w:eastAsia="黑体"/>
          <w:sz w:val="32"/>
          <w:szCs w:val="32"/>
        </w:rPr>
      </w:pPr>
    </w:p>
    <w:p w:rsidR="005B018B" w:rsidRDefault="00996F42">
      <w:r>
        <w:br w:type="page"/>
      </w:r>
    </w:p>
    <w:p w:rsidR="005B018B" w:rsidRDefault="00996F42">
      <w:r>
        <w:rPr>
          <w:rFonts w:ascii="宋体" w:hAnsi="宋体" w:cs="ArialUnicodeMS" w:hint="eastAsia"/>
          <w:noProof/>
          <w:color w:val="000000"/>
          <w:kern w:val="0"/>
        </w:rPr>
        <w:lastRenderedPageBreak/>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cstate="print"/>
                    <a:stretch>
                      <a:fillRect/>
                    </a:stretch>
                  </pic:blipFill>
                  <pic:spPr>
                    <a:xfrm>
                      <a:off x="0" y="0"/>
                      <a:ext cx="7585710" cy="10727055"/>
                    </a:xfrm>
                    <a:prstGeom prst="rect">
                      <a:avLst/>
                    </a:prstGeom>
                  </pic:spPr>
                </pic:pic>
              </a:graphicData>
            </a:graphic>
          </wp:anchor>
        </w:drawing>
      </w:r>
      <w:r w:rsidR="005B018B" w:rsidRPr="005B018B">
        <w:rPr>
          <w:sz w:val="72"/>
        </w:rPr>
        <w:pict>
          <v:shape id="_x0000_s1045" type="#_x0000_t202" style="position:absolute;left:0;text-align:left;margin-left:-97.3pt;margin-top:259.1pt;width:613.65pt;height:81.7pt;z-index:251671552;mso-position-horizontal-relative:text;mso-position-vertical-relative:text;mso-width-relative:page;mso-height-relative:page"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filled="f" stroked="f" strokeweight=".5pt">
            <v:textbox>
              <w:txbxContent>
                <w:p w:rsidR="005B018B" w:rsidRDefault="00996F42">
                  <w:pPr>
                    <w:widowControl/>
                    <w:jc w:val="center"/>
                    <w:rPr>
                      <w:color w:val="FDEFBE"/>
                      <w:sz w:val="96"/>
                      <w:szCs w:val="96"/>
                    </w:rPr>
                  </w:pPr>
                  <w:r>
                    <w:rPr>
                      <w:rFonts w:asciiTheme="minorEastAsia" w:eastAsiaTheme="minorEastAsia" w:hAnsi="宋体" w:hint="eastAsia"/>
                      <w:color w:val="FDEFBE"/>
                      <w:sz w:val="96"/>
                      <w:szCs w:val="96"/>
                    </w:rPr>
                    <w:t>第一部分</w:t>
                  </w:r>
                  <w:r>
                    <w:rPr>
                      <w:rFonts w:asciiTheme="minorEastAsia" w:eastAsiaTheme="minorEastAsia" w:hAnsi="宋体" w:hint="eastAsia"/>
                      <w:color w:val="FDEFBE"/>
                      <w:sz w:val="96"/>
                      <w:szCs w:val="96"/>
                    </w:rPr>
                    <w:t xml:space="preserve">  </w:t>
                  </w:r>
                  <w:r>
                    <w:rPr>
                      <w:rFonts w:asciiTheme="minorEastAsia" w:eastAsiaTheme="minorEastAsia" w:hAnsi="宋体" w:hint="eastAsia"/>
                      <w:color w:val="FDEFBE"/>
                      <w:sz w:val="96"/>
                      <w:szCs w:val="96"/>
                    </w:rPr>
                    <w:t>部门概况</w:t>
                  </w:r>
                </w:p>
              </w:txbxContent>
            </v:textbox>
          </v:shape>
        </w:pict>
      </w:r>
    </w:p>
    <w:p w:rsidR="005B018B" w:rsidRDefault="005B018B"/>
    <w:p w:rsidR="005B018B" w:rsidRDefault="005B018B"/>
    <w:p w:rsidR="005B018B" w:rsidRDefault="005B018B"/>
    <w:p w:rsidR="005B018B" w:rsidRDefault="005B018B"/>
    <w:p w:rsidR="005B018B" w:rsidRDefault="005B018B"/>
    <w:p w:rsidR="005B018B" w:rsidRDefault="005B018B"/>
    <w:p w:rsidR="005B018B" w:rsidRDefault="005B018B"/>
    <w:p w:rsidR="005B018B" w:rsidRDefault="005B018B"/>
    <w:p w:rsidR="005B018B" w:rsidRDefault="005B018B"/>
    <w:p w:rsidR="005B018B" w:rsidRDefault="005B018B"/>
    <w:p w:rsidR="005B018B" w:rsidRDefault="005B018B"/>
    <w:p w:rsidR="005B018B" w:rsidRDefault="005B018B"/>
    <w:p w:rsidR="005B018B" w:rsidRDefault="005B018B"/>
    <w:p w:rsidR="005B018B" w:rsidRDefault="005B018B"/>
    <w:p w:rsidR="005B018B" w:rsidRDefault="005B018B"/>
    <w:p w:rsidR="005B018B" w:rsidRDefault="00996F42">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lastRenderedPageBreak/>
        <w:t>一、部门职责</w:t>
      </w:r>
    </w:p>
    <w:p w:rsidR="005B018B" w:rsidRDefault="00996F42">
      <w:pPr>
        <w:spacing w:line="360" w:lineRule="auto"/>
        <w:ind w:firstLineChars="200" w:firstLine="640"/>
        <w:textAlignment w:val="bottom"/>
        <w:rPr>
          <w:rFonts w:ascii="仿宋_GB2312" w:eastAsia="仿宋_GB2312" w:hAnsi="仿宋_GB2312" w:cs="仿宋_GB2312"/>
          <w:sz w:val="32"/>
          <w:szCs w:val="32"/>
        </w:rPr>
      </w:pPr>
      <w:r>
        <w:rPr>
          <w:rFonts w:ascii="黑体" w:eastAsia="黑体" w:hAnsi="黑体" w:cs="黑体" w:hint="eastAsia"/>
          <w:sz w:val="32"/>
          <w:szCs w:val="32"/>
        </w:rPr>
        <w:t>第一条</w:t>
      </w:r>
      <w:r>
        <w:rPr>
          <w:rFonts w:ascii="仿宋_GB2312" w:eastAsia="仿宋_GB2312" w:hAnsi="仿宋_GB2312" w:cs="仿宋_GB2312" w:hint="eastAsia"/>
          <w:sz w:val="32"/>
          <w:szCs w:val="32"/>
        </w:rPr>
        <w:t>根据《中共石家庄市委办公厅、石家庄人民政府办公厅关于印发〈无极县机构改革方案〉的通知》（石办字</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2018</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71</w:t>
      </w:r>
      <w:r>
        <w:rPr>
          <w:rFonts w:ascii="仿宋_GB2312" w:eastAsia="仿宋_GB2312" w:hAnsi="仿宋_GB2312" w:cs="仿宋_GB2312" w:hint="eastAsia"/>
          <w:sz w:val="32"/>
          <w:szCs w:val="32"/>
        </w:rPr>
        <w:t>号），制定本规定。</w:t>
      </w:r>
    </w:p>
    <w:p w:rsidR="005B018B" w:rsidRDefault="00996F42">
      <w:pPr>
        <w:spacing w:line="360" w:lineRule="auto"/>
        <w:ind w:firstLineChars="200" w:firstLine="643"/>
        <w:textAlignment w:val="bottom"/>
        <w:rPr>
          <w:rFonts w:ascii="仿宋" w:eastAsia="仿宋" w:hAnsi="仿宋"/>
          <w:sz w:val="32"/>
        </w:rPr>
      </w:pPr>
      <w:r>
        <w:rPr>
          <w:rFonts w:ascii="黑体" w:eastAsia="黑体" w:hAnsi="黑体" w:hint="eastAsia"/>
          <w:b/>
          <w:sz w:val="32"/>
        </w:rPr>
        <w:t>第二条</w:t>
      </w:r>
      <w:r>
        <w:rPr>
          <w:rFonts w:ascii="黑体" w:eastAsia="黑体" w:hAnsi="黑体" w:hint="eastAsia"/>
          <w:b/>
          <w:sz w:val="32"/>
        </w:rPr>
        <w:t xml:space="preserve"> </w:t>
      </w:r>
      <w:r>
        <w:rPr>
          <w:rFonts w:ascii="仿宋" w:eastAsia="仿宋" w:hAnsi="仿宋" w:hint="eastAsia"/>
          <w:sz w:val="32"/>
        </w:rPr>
        <w:t>无极县行政审批局（简称县行政审批局）为县政府工作部门，机构规格正科级，加挂县政务服务管理办公室牌子。</w:t>
      </w:r>
    </w:p>
    <w:p w:rsidR="005B018B" w:rsidRDefault="00996F42">
      <w:pPr>
        <w:spacing w:line="360" w:lineRule="auto"/>
        <w:ind w:firstLine="639"/>
        <w:textAlignment w:val="bottom"/>
        <w:rPr>
          <w:rFonts w:ascii="仿宋" w:eastAsia="仿宋" w:hAnsi="仿宋"/>
          <w:sz w:val="32"/>
        </w:rPr>
      </w:pPr>
      <w:r>
        <w:rPr>
          <w:rFonts w:ascii="黑体" w:eastAsia="黑体" w:hAnsi="黑体" w:hint="eastAsia"/>
          <w:b/>
          <w:sz w:val="32"/>
        </w:rPr>
        <w:t>第三条</w:t>
      </w:r>
      <w:r>
        <w:rPr>
          <w:rFonts w:ascii="仿宋" w:eastAsia="仿宋" w:hAnsi="仿宋" w:hint="eastAsia"/>
          <w:sz w:val="32"/>
        </w:rPr>
        <w:t xml:space="preserve"> </w:t>
      </w:r>
      <w:r>
        <w:rPr>
          <w:rFonts w:ascii="仿宋" w:eastAsia="仿宋" w:hAnsi="仿宋" w:hint="eastAsia"/>
          <w:sz w:val="32"/>
        </w:rPr>
        <w:t>贯彻落实中央和省、市、县委关于行政审批制度改革和政务服务管理工作的方针政策和决策部署，坚持和加强党对行政审批制度改革和政务服务管理工作的集中统一领导。主要职责是：</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（一）</w:t>
      </w:r>
      <w:r>
        <w:rPr>
          <w:rFonts w:ascii="仿宋" w:eastAsia="仿宋" w:hAnsi="仿宋" w:hint="eastAsia"/>
          <w:sz w:val="32"/>
        </w:rPr>
        <w:t>贯彻落实党中央、国务院和省委省政府，市委市政府，县委县政府关于推进政府职能转变和“放管服”改革</w:t>
      </w:r>
      <w:r>
        <w:rPr>
          <w:rFonts w:ascii="仿宋" w:eastAsia="仿宋" w:hAnsi="仿宋" w:hint="eastAsia"/>
          <w:sz w:val="32"/>
        </w:rPr>
        <w:t>、行政审批制度改革、政务服务管理、公共资源交易管理、社会信用体系建设有关方针政策和法律法规。承担县推进政府职能转变改革协调小组办公室和“放管服”改革日常工作。</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（二）</w:t>
      </w:r>
      <w:r>
        <w:rPr>
          <w:rFonts w:ascii="仿宋" w:eastAsia="仿宋" w:hAnsi="仿宋" w:hint="eastAsia"/>
          <w:sz w:val="32"/>
        </w:rPr>
        <w:t>负责规范全县行政审批行为，创新和完善相关工作体制机制。推进简政放权，清理和规范各类行政许可等管理事项；承担县行政审批制度改革领导小组办公室日常工作。</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（三）</w:t>
      </w:r>
      <w:r>
        <w:rPr>
          <w:rFonts w:ascii="仿宋" w:eastAsia="仿宋" w:hAnsi="仿宋" w:hint="eastAsia"/>
          <w:sz w:val="32"/>
        </w:rPr>
        <w:t>负责公共资源交易监督管理工作。拟订全县公共资源</w:t>
      </w:r>
      <w:r>
        <w:rPr>
          <w:rFonts w:ascii="仿宋" w:eastAsia="仿宋" w:hAnsi="仿宋" w:hint="eastAsia"/>
          <w:sz w:val="32"/>
        </w:rPr>
        <w:lastRenderedPageBreak/>
        <w:t>交易管理制度和规则并组织实施，编制公共资源交易目录，建设、管理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（四）</w:t>
      </w:r>
      <w:r>
        <w:rPr>
          <w:rFonts w:ascii="仿宋" w:eastAsia="仿宋" w:hAnsi="仿宋" w:hint="eastAsia"/>
          <w:sz w:val="32"/>
        </w:rPr>
        <w:t>负责投资项目、商事登记、市场服务、文教体卫、社会事务、住建交通、生态环境、安全生产、农林畜水、经贸商务、城市管理等方面行政审批事项的办理及相关行政性收费，并承担相应的法律责任。</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（五）</w:t>
      </w:r>
      <w:r>
        <w:rPr>
          <w:rFonts w:ascii="仿宋" w:eastAsia="仿宋" w:hAnsi="仿宋" w:hint="eastAsia"/>
          <w:sz w:val="32"/>
        </w:rPr>
        <w:t>负责协</w:t>
      </w:r>
      <w:r>
        <w:rPr>
          <w:rFonts w:ascii="仿宋" w:eastAsia="仿宋" w:hAnsi="仿宋" w:hint="eastAsia"/>
          <w:sz w:val="32"/>
        </w:rPr>
        <w:t>调派驻部门行政审批事项的办理工作，规范、管理和监督派驻部门行政审批行为。</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（六）</w:t>
      </w:r>
      <w:r>
        <w:rPr>
          <w:rFonts w:ascii="仿宋" w:eastAsia="仿宋" w:hAnsi="仿宋" w:hint="eastAsia"/>
          <w:sz w:val="32"/>
        </w:rPr>
        <w:t>负责对行政审批、政务服务事项流程进行规范和优化，推进审批服务便民化、标准化建设。</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（七）</w:t>
      </w:r>
      <w:r>
        <w:rPr>
          <w:rFonts w:ascii="仿宋" w:eastAsia="仿宋" w:hAnsi="仿宋" w:hint="eastAsia"/>
          <w:sz w:val="32"/>
        </w:rPr>
        <w:t>会同有关部门，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（八）</w:t>
      </w:r>
      <w:r>
        <w:rPr>
          <w:rFonts w:ascii="仿宋" w:eastAsia="仿宋" w:hAnsi="仿宋" w:hint="eastAsia"/>
          <w:sz w:val="32"/>
        </w:rPr>
        <w:t>负责对行政审批、政务服务行为进行监督检查、日常</w:t>
      </w:r>
      <w:r>
        <w:rPr>
          <w:rFonts w:ascii="仿宋" w:eastAsia="仿宋" w:hAnsi="仿宋" w:hint="eastAsia"/>
          <w:sz w:val="32"/>
        </w:rPr>
        <w:lastRenderedPageBreak/>
        <w:t>管理、教育培训和考评考核，负责对有关单位派驻县政务服务大厅窗口人员的协调</w:t>
      </w:r>
      <w:r>
        <w:rPr>
          <w:rFonts w:ascii="仿宋" w:eastAsia="仿宋" w:hAnsi="仿宋" w:hint="eastAsia"/>
          <w:sz w:val="32"/>
        </w:rPr>
        <w:t>服务及后勤保障工作。</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（九）</w:t>
      </w:r>
      <w:r>
        <w:rPr>
          <w:rFonts w:ascii="仿宋" w:eastAsia="仿宋" w:hAnsi="仿宋" w:hint="eastAsia"/>
          <w:sz w:val="32"/>
        </w:rPr>
        <w:t>负责已划转行政许可事项涉及的现场勘验、审图、联合验收等工作。</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（十）</w:t>
      </w:r>
      <w:r>
        <w:rPr>
          <w:rFonts w:ascii="仿宋" w:eastAsia="仿宋" w:hAnsi="仿宋" w:hint="eastAsia"/>
          <w:sz w:val="32"/>
        </w:rPr>
        <w:t>负责行政审批信息化工作，以及行政审批信息资料的保管、整理、统计、编目和定期检查工作。</w:t>
      </w:r>
    </w:p>
    <w:p w:rsidR="005B018B" w:rsidRDefault="00996F42">
      <w:pPr>
        <w:spacing w:line="360" w:lineRule="auto"/>
        <w:ind w:firstLine="639"/>
        <w:textAlignment w:val="bottom"/>
        <w:rPr>
          <w:rFonts w:ascii="仿宋" w:eastAsia="仿宋" w:hAnsi="仿宋"/>
          <w:sz w:val="32"/>
        </w:rPr>
      </w:pPr>
      <w:r>
        <w:rPr>
          <w:rFonts w:ascii="楷体" w:eastAsia="楷体" w:hAnsi="楷体" w:hint="eastAsia"/>
          <w:b/>
          <w:sz w:val="32"/>
        </w:rPr>
        <w:t>（十一）</w:t>
      </w:r>
      <w:r>
        <w:rPr>
          <w:rFonts w:ascii="仿宋" w:eastAsia="仿宋" w:hAnsi="仿宋" w:hint="eastAsia"/>
          <w:sz w:val="32"/>
        </w:rPr>
        <w:t>完成县委县政府交办的其他任务。</w:t>
      </w:r>
    </w:p>
    <w:p w:rsidR="005B018B" w:rsidRDefault="00996F42">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t>二、机构设置</w:t>
      </w:r>
    </w:p>
    <w:p w:rsidR="005B018B" w:rsidRDefault="00996F42">
      <w:pPr>
        <w:spacing w:after="0" w:line="560" w:lineRule="exac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从决算编报单位构成看，纳入</w:t>
      </w:r>
      <w:r>
        <w:rPr>
          <w:rFonts w:ascii="仿宋_GB2312" w:eastAsia="仿宋_GB2312" w:hAnsiTheme="minorHAnsi" w:cs="ArialUnicodeMS" w:hint="eastAsia"/>
          <w:kern w:val="0"/>
          <w:sz w:val="32"/>
          <w:szCs w:val="32"/>
        </w:rPr>
        <w:t xml:space="preserve">2018 </w:t>
      </w:r>
      <w:r>
        <w:rPr>
          <w:rFonts w:ascii="仿宋_GB2312" w:eastAsia="仿宋_GB2312" w:hAnsiTheme="minorHAnsi" w:cs="ArialUnicodeMS" w:hint="eastAsia"/>
          <w:kern w:val="0"/>
          <w:sz w:val="32"/>
          <w:szCs w:val="32"/>
        </w:rPr>
        <w:t>年度本部门决算汇编范围的独立核算单位（以下简称“单位”）共</w:t>
      </w:r>
      <w:r>
        <w:rPr>
          <w:rFonts w:ascii="仿宋_GB2312" w:eastAsia="仿宋_GB2312" w:hAnsiTheme="minorHAnsi" w:cs="ArialUnicodeMS" w:hint="eastAsia"/>
          <w:kern w:val="0"/>
          <w:sz w:val="32"/>
          <w:szCs w:val="32"/>
        </w:rPr>
        <w:t xml:space="preserve"> 1</w:t>
      </w:r>
      <w:r>
        <w:rPr>
          <w:rFonts w:ascii="仿宋_GB2312" w:eastAsia="仿宋_GB2312" w:hAnsiTheme="minorHAnsi" w:cs="ArialUnicodeMS" w:hint="eastAsia"/>
          <w:kern w:val="0"/>
          <w:sz w:val="32"/>
          <w:szCs w:val="32"/>
        </w:rPr>
        <w:t>个，具体情况如下：</w:t>
      </w:r>
    </w:p>
    <w:tbl>
      <w:tblPr>
        <w:tblStyle w:val="a9"/>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5B018B">
        <w:trPr>
          <w:trHeight w:val="811"/>
          <w:jc w:val="center"/>
        </w:trPr>
        <w:tc>
          <w:tcPr>
            <w:tcW w:w="985" w:type="dxa"/>
            <w:vAlign w:val="center"/>
          </w:tcPr>
          <w:p w:rsidR="005B018B" w:rsidRDefault="00996F42">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序号</w:t>
            </w:r>
          </w:p>
        </w:tc>
        <w:tc>
          <w:tcPr>
            <w:tcW w:w="3485" w:type="dxa"/>
            <w:vAlign w:val="center"/>
          </w:tcPr>
          <w:p w:rsidR="005B018B" w:rsidRDefault="00996F42">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单位名称</w:t>
            </w:r>
          </w:p>
        </w:tc>
        <w:tc>
          <w:tcPr>
            <w:tcW w:w="2445" w:type="dxa"/>
            <w:vAlign w:val="center"/>
          </w:tcPr>
          <w:p w:rsidR="005B018B" w:rsidRDefault="00996F42">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单位基本性质</w:t>
            </w:r>
          </w:p>
        </w:tc>
        <w:tc>
          <w:tcPr>
            <w:tcW w:w="2665" w:type="dxa"/>
            <w:vAlign w:val="center"/>
          </w:tcPr>
          <w:p w:rsidR="005B018B" w:rsidRDefault="00996F42">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经费形式</w:t>
            </w:r>
          </w:p>
        </w:tc>
      </w:tr>
      <w:tr w:rsidR="005B018B">
        <w:trPr>
          <w:trHeight w:val="596"/>
          <w:jc w:val="center"/>
        </w:trPr>
        <w:tc>
          <w:tcPr>
            <w:tcW w:w="985" w:type="dxa"/>
          </w:tcPr>
          <w:p w:rsidR="005B018B" w:rsidRDefault="00996F42">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1</w:t>
            </w:r>
          </w:p>
        </w:tc>
        <w:tc>
          <w:tcPr>
            <w:tcW w:w="3485" w:type="dxa"/>
          </w:tcPr>
          <w:p w:rsidR="005B018B" w:rsidRDefault="00996F42">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无极县行政审批局</w:t>
            </w:r>
            <w:r>
              <w:rPr>
                <w:rFonts w:ascii="仿宋_GB2312" w:eastAsia="仿宋_GB2312" w:hAnsiTheme="minorHAnsi" w:cs="ArialUnicodeMS" w:hint="eastAsia"/>
                <w:kern w:val="0"/>
                <w:sz w:val="28"/>
                <w:szCs w:val="28"/>
              </w:rPr>
              <w:t>(</w:t>
            </w:r>
            <w:r>
              <w:rPr>
                <w:rFonts w:ascii="仿宋_GB2312" w:eastAsia="仿宋_GB2312" w:hAnsiTheme="minorHAnsi" w:cs="ArialUnicodeMS" w:hint="eastAsia"/>
                <w:kern w:val="0"/>
                <w:sz w:val="28"/>
                <w:szCs w:val="28"/>
              </w:rPr>
              <w:t>本级</w:t>
            </w:r>
            <w:r>
              <w:rPr>
                <w:rFonts w:ascii="仿宋_GB2312" w:eastAsia="仿宋_GB2312" w:hAnsiTheme="minorHAnsi" w:cs="ArialUnicodeMS" w:hint="eastAsia"/>
                <w:kern w:val="0"/>
                <w:sz w:val="28"/>
                <w:szCs w:val="28"/>
              </w:rPr>
              <w:t>)</w:t>
            </w:r>
          </w:p>
        </w:tc>
        <w:tc>
          <w:tcPr>
            <w:tcW w:w="2445" w:type="dxa"/>
          </w:tcPr>
          <w:p w:rsidR="005B018B" w:rsidRDefault="00996F42">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行政</w:t>
            </w:r>
          </w:p>
        </w:tc>
        <w:tc>
          <w:tcPr>
            <w:tcW w:w="2665" w:type="dxa"/>
          </w:tcPr>
          <w:p w:rsidR="005B018B" w:rsidRDefault="00996F42">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r w:rsidR="005B018B">
        <w:trPr>
          <w:trHeight w:val="596"/>
          <w:jc w:val="center"/>
        </w:trPr>
        <w:tc>
          <w:tcPr>
            <w:tcW w:w="985" w:type="dxa"/>
          </w:tcPr>
          <w:p w:rsidR="005B018B" w:rsidRDefault="00996F42">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2</w:t>
            </w:r>
          </w:p>
        </w:tc>
        <w:tc>
          <w:tcPr>
            <w:tcW w:w="3485" w:type="dxa"/>
          </w:tcPr>
          <w:p w:rsidR="005B018B" w:rsidRDefault="005B018B">
            <w:pPr>
              <w:spacing w:after="0" w:line="560" w:lineRule="exact"/>
              <w:rPr>
                <w:rFonts w:ascii="仿宋_GB2312" w:eastAsia="仿宋_GB2312" w:hAnsiTheme="minorHAnsi" w:cs="ArialUnicodeMS"/>
                <w:kern w:val="0"/>
                <w:sz w:val="28"/>
                <w:szCs w:val="28"/>
              </w:rPr>
            </w:pPr>
          </w:p>
        </w:tc>
        <w:tc>
          <w:tcPr>
            <w:tcW w:w="2445" w:type="dxa"/>
          </w:tcPr>
          <w:p w:rsidR="005B018B" w:rsidRDefault="005B018B">
            <w:pPr>
              <w:spacing w:after="0" w:line="560" w:lineRule="exact"/>
              <w:jc w:val="center"/>
              <w:rPr>
                <w:rFonts w:ascii="仿宋_GB2312" w:eastAsia="仿宋_GB2312" w:hAnsiTheme="minorHAnsi" w:cs="ArialUnicodeMS"/>
                <w:kern w:val="0"/>
                <w:sz w:val="28"/>
                <w:szCs w:val="28"/>
              </w:rPr>
            </w:pPr>
          </w:p>
        </w:tc>
        <w:tc>
          <w:tcPr>
            <w:tcW w:w="2665" w:type="dxa"/>
          </w:tcPr>
          <w:p w:rsidR="005B018B" w:rsidRDefault="005B018B">
            <w:pPr>
              <w:spacing w:after="0" w:line="560" w:lineRule="exact"/>
              <w:jc w:val="center"/>
              <w:rPr>
                <w:rFonts w:ascii="仿宋_GB2312" w:eastAsia="仿宋_GB2312" w:hAnsiTheme="minorHAnsi" w:cs="ArialUnicodeMS"/>
                <w:kern w:val="0"/>
                <w:sz w:val="28"/>
                <w:szCs w:val="28"/>
              </w:rPr>
            </w:pPr>
          </w:p>
        </w:tc>
      </w:tr>
      <w:tr w:rsidR="005B018B">
        <w:trPr>
          <w:trHeight w:val="596"/>
          <w:jc w:val="center"/>
        </w:trPr>
        <w:tc>
          <w:tcPr>
            <w:tcW w:w="985" w:type="dxa"/>
          </w:tcPr>
          <w:p w:rsidR="005B018B" w:rsidRDefault="00996F42">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3</w:t>
            </w:r>
          </w:p>
        </w:tc>
        <w:tc>
          <w:tcPr>
            <w:tcW w:w="3485" w:type="dxa"/>
          </w:tcPr>
          <w:p w:rsidR="005B018B" w:rsidRDefault="005B018B">
            <w:pPr>
              <w:spacing w:after="0" w:line="560" w:lineRule="exact"/>
              <w:rPr>
                <w:rFonts w:ascii="仿宋_GB2312" w:eastAsia="仿宋_GB2312" w:hAnsiTheme="minorHAnsi" w:cs="ArialUnicodeMS"/>
                <w:kern w:val="0"/>
                <w:sz w:val="28"/>
                <w:szCs w:val="28"/>
              </w:rPr>
            </w:pPr>
          </w:p>
        </w:tc>
        <w:tc>
          <w:tcPr>
            <w:tcW w:w="2445" w:type="dxa"/>
          </w:tcPr>
          <w:p w:rsidR="005B018B" w:rsidRDefault="005B018B">
            <w:pPr>
              <w:spacing w:after="0" w:line="560" w:lineRule="exact"/>
              <w:jc w:val="center"/>
              <w:rPr>
                <w:rFonts w:ascii="仿宋_GB2312" w:eastAsia="仿宋_GB2312" w:hAnsiTheme="minorHAnsi" w:cs="ArialUnicodeMS"/>
                <w:kern w:val="0"/>
                <w:sz w:val="28"/>
                <w:szCs w:val="28"/>
              </w:rPr>
            </w:pPr>
          </w:p>
        </w:tc>
        <w:tc>
          <w:tcPr>
            <w:tcW w:w="2665" w:type="dxa"/>
          </w:tcPr>
          <w:p w:rsidR="005B018B" w:rsidRDefault="005B018B">
            <w:pPr>
              <w:spacing w:after="0" w:line="560" w:lineRule="exact"/>
              <w:jc w:val="center"/>
              <w:rPr>
                <w:rFonts w:ascii="仿宋_GB2312" w:eastAsia="仿宋_GB2312" w:hAnsiTheme="minorHAnsi" w:cs="ArialUnicodeMS"/>
                <w:kern w:val="0"/>
                <w:sz w:val="28"/>
                <w:szCs w:val="28"/>
              </w:rPr>
            </w:pPr>
          </w:p>
        </w:tc>
      </w:tr>
      <w:tr w:rsidR="005B018B">
        <w:trPr>
          <w:trHeight w:val="606"/>
          <w:jc w:val="center"/>
        </w:trPr>
        <w:tc>
          <w:tcPr>
            <w:tcW w:w="985" w:type="dxa"/>
            <w:tcBorders>
              <w:bottom w:val="single" w:sz="4" w:space="0" w:color="auto"/>
            </w:tcBorders>
          </w:tcPr>
          <w:p w:rsidR="005B018B" w:rsidRDefault="00996F42">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w:t>
            </w:r>
          </w:p>
        </w:tc>
        <w:tc>
          <w:tcPr>
            <w:tcW w:w="3485" w:type="dxa"/>
            <w:tcBorders>
              <w:bottom w:val="single" w:sz="4" w:space="0" w:color="auto"/>
            </w:tcBorders>
          </w:tcPr>
          <w:p w:rsidR="005B018B" w:rsidRDefault="00996F42">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w:t>
            </w:r>
          </w:p>
        </w:tc>
        <w:tc>
          <w:tcPr>
            <w:tcW w:w="2445" w:type="dxa"/>
            <w:tcBorders>
              <w:bottom w:val="single" w:sz="4" w:space="0" w:color="auto"/>
            </w:tcBorders>
          </w:tcPr>
          <w:p w:rsidR="005B018B" w:rsidRDefault="005B018B">
            <w:pPr>
              <w:spacing w:after="0" w:line="560" w:lineRule="exact"/>
              <w:jc w:val="center"/>
              <w:rPr>
                <w:rFonts w:ascii="仿宋_GB2312" w:eastAsia="仿宋_GB2312" w:hAnsiTheme="minorHAnsi" w:cs="ArialUnicodeMS"/>
                <w:kern w:val="0"/>
                <w:sz w:val="28"/>
                <w:szCs w:val="28"/>
              </w:rPr>
            </w:pPr>
          </w:p>
        </w:tc>
        <w:tc>
          <w:tcPr>
            <w:tcW w:w="2665" w:type="dxa"/>
            <w:tcBorders>
              <w:bottom w:val="single" w:sz="4" w:space="0" w:color="auto"/>
            </w:tcBorders>
          </w:tcPr>
          <w:p w:rsidR="005B018B" w:rsidRDefault="005B018B">
            <w:pPr>
              <w:spacing w:after="0" w:line="560" w:lineRule="exact"/>
              <w:jc w:val="center"/>
              <w:rPr>
                <w:rFonts w:ascii="仿宋_GB2312" w:eastAsia="仿宋_GB2312" w:hAnsiTheme="minorHAnsi" w:cs="ArialUnicodeMS"/>
                <w:kern w:val="0"/>
                <w:sz w:val="28"/>
                <w:szCs w:val="28"/>
              </w:rPr>
            </w:pPr>
          </w:p>
        </w:tc>
      </w:tr>
      <w:tr w:rsidR="005B018B">
        <w:trPr>
          <w:trHeight w:val="606"/>
          <w:jc w:val="center"/>
        </w:trPr>
        <w:tc>
          <w:tcPr>
            <w:tcW w:w="9580" w:type="dxa"/>
            <w:gridSpan w:val="4"/>
            <w:tcBorders>
              <w:top w:val="single" w:sz="4" w:space="0" w:color="auto"/>
              <w:left w:val="nil"/>
              <w:bottom w:val="nil"/>
              <w:right w:val="nil"/>
            </w:tcBorders>
          </w:tcPr>
          <w:p w:rsidR="005B018B" w:rsidRDefault="005B018B">
            <w:pPr>
              <w:spacing w:after="0" w:line="560" w:lineRule="exact"/>
              <w:ind w:firstLineChars="200" w:firstLine="560"/>
              <w:jc w:val="left"/>
              <w:rPr>
                <w:rFonts w:ascii="仿宋_GB2312" w:eastAsiaTheme="minorEastAsia" w:hAnsiTheme="minorHAnsi" w:cs="ArialUnicodeMS"/>
                <w:kern w:val="0"/>
                <w:sz w:val="28"/>
                <w:szCs w:val="28"/>
              </w:rPr>
            </w:pPr>
          </w:p>
          <w:p w:rsidR="005B018B" w:rsidRDefault="005B018B">
            <w:pPr>
              <w:spacing w:after="0" w:line="560" w:lineRule="exact"/>
              <w:ind w:firstLineChars="200" w:firstLine="560"/>
              <w:jc w:val="left"/>
              <w:rPr>
                <w:rFonts w:ascii="仿宋_GB2312" w:eastAsiaTheme="minorEastAsia" w:hAnsiTheme="minorHAnsi" w:cs="ArialUnicodeMS"/>
                <w:kern w:val="0"/>
                <w:sz w:val="28"/>
                <w:szCs w:val="28"/>
              </w:rPr>
            </w:pPr>
          </w:p>
          <w:p w:rsidR="005B018B" w:rsidRDefault="005B018B">
            <w:pPr>
              <w:spacing w:after="0" w:line="560" w:lineRule="exact"/>
              <w:ind w:firstLineChars="200" w:firstLine="560"/>
              <w:jc w:val="left"/>
              <w:rPr>
                <w:rFonts w:ascii="仿宋_GB2312" w:eastAsiaTheme="minorEastAsia" w:hAnsiTheme="minorHAnsi" w:cs="ArialUnicodeMS"/>
                <w:kern w:val="0"/>
                <w:sz w:val="28"/>
                <w:szCs w:val="28"/>
              </w:rPr>
            </w:pPr>
          </w:p>
          <w:p w:rsidR="005B018B" w:rsidRDefault="005B018B">
            <w:pPr>
              <w:spacing w:after="0" w:line="560" w:lineRule="exact"/>
              <w:ind w:firstLineChars="200" w:firstLine="560"/>
              <w:jc w:val="left"/>
              <w:rPr>
                <w:rFonts w:ascii="仿宋_GB2312" w:eastAsiaTheme="minorEastAsia" w:hAnsiTheme="minorHAnsi" w:cs="ArialUnicodeMS"/>
                <w:kern w:val="0"/>
                <w:sz w:val="28"/>
                <w:szCs w:val="28"/>
              </w:rPr>
            </w:pPr>
          </w:p>
        </w:tc>
      </w:tr>
    </w:tbl>
    <w:p w:rsidR="005B018B" w:rsidRDefault="00996F42">
      <w:pPr>
        <w:widowControl/>
        <w:spacing w:line="560" w:lineRule="exact"/>
        <w:jc w:val="center"/>
        <w:rPr>
          <w:rFonts w:ascii="黑体" w:eastAsia="黑体" w:hAnsiTheme="minorHAnsi" w:cs="MS-UIGothic,Bold"/>
          <w:bCs/>
          <w:kern w:val="0"/>
          <w:sz w:val="52"/>
          <w:szCs w:val="52"/>
        </w:rPr>
      </w:pPr>
      <w:r>
        <w:rPr>
          <w:rFonts w:ascii="宋体" w:hAnsi="宋体" w:cs="ArialUnicodeMS" w:hint="eastAsia"/>
          <w:noProof/>
          <w:color w:val="000000"/>
          <w:kern w:val="0"/>
        </w:rPr>
        <w:lastRenderedPageBreak/>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cstate="print"/>
                    <a:stretch>
                      <a:fillRect/>
                    </a:stretch>
                  </pic:blipFill>
                  <pic:spPr>
                    <a:xfrm>
                      <a:off x="0" y="0"/>
                      <a:ext cx="7571105" cy="10680065"/>
                    </a:xfrm>
                    <a:prstGeom prst="rect">
                      <a:avLst/>
                    </a:prstGeom>
                  </pic:spPr>
                </pic:pic>
              </a:graphicData>
            </a:graphic>
          </wp:anchor>
        </w:drawing>
      </w:r>
    </w:p>
    <w:p w:rsidR="005B018B" w:rsidRDefault="005B018B">
      <w:pPr>
        <w:widowControl/>
        <w:spacing w:line="560" w:lineRule="exact"/>
        <w:jc w:val="center"/>
        <w:rPr>
          <w:rFonts w:ascii="黑体" w:eastAsia="黑体" w:hAnsiTheme="minorHAnsi" w:cs="MS-UIGothic,Bold"/>
          <w:bCs/>
          <w:kern w:val="0"/>
          <w:sz w:val="52"/>
          <w:szCs w:val="52"/>
        </w:rPr>
      </w:pPr>
    </w:p>
    <w:p w:rsidR="005B018B" w:rsidRDefault="005B018B">
      <w:pPr>
        <w:rPr>
          <w:rFonts w:ascii="宋体" w:hAnsi="宋体" w:cs="ArialUnicodeMS"/>
          <w:color w:val="000000"/>
          <w:kern w:val="0"/>
        </w:rPr>
      </w:pPr>
    </w:p>
    <w:p w:rsidR="005B018B" w:rsidRDefault="005B018B">
      <w:pPr>
        <w:rPr>
          <w:rFonts w:ascii="宋体" w:hAnsi="宋体" w:cs="ArialUnicodeMS"/>
          <w:color w:val="000000"/>
          <w:kern w:val="0"/>
        </w:rPr>
        <w:sectPr w:rsidR="005B018B">
          <w:pgSz w:w="11906" w:h="16838"/>
          <w:pgMar w:top="2098" w:right="1474" w:bottom="1984" w:left="1588" w:header="851" w:footer="992" w:gutter="0"/>
          <w:cols w:space="0"/>
          <w:docGrid w:type="lines" w:linePitch="312"/>
        </w:sectPr>
      </w:pPr>
      <w:r w:rsidRPr="005B018B">
        <w:rPr>
          <w:sz w:val="72"/>
        </w:rPr>
        <w:pict>
          <v:shape id="_x0000_s1044" type="#_x0000_t202" style="position:absolute;left:0;text-align:left;margin-left:-74.2pt;margin-top:120.3pt;width:596.2pt;height:159.1pt;z-index:251662336;mso-width-relative:page;mso-height-relative:page"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filled="f" stroked="f" strokeweight=".5pt">
            <v:textbox>
              <w:txbxContent>
                <w:p w:rsidR="005B018B" w:rsidRDefault="00996F4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第二部分</w:t>
                  </w:r>
                </w:p>
                <w:p w:rsidR="005B018B" w:rsidRDefault="00996F4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年度部门决算报表</w:t>
                  </w:r>
                </w:p>
                <w:p w:rsidR="005B018B" w:rsidRDefault="005B018B">
                  <w:pPr>
                    <w:widowControl/>
                    <w:spacing w:line="1200" w:lineRule="exact"/>
                    <w:jc w:val="center"/>
                    <w:rPr>
                      <w:rFonts w:asciiTheme="minorEastAsia" w:eastAsiaTheme="minorEastAsia" w:hAnsi="宋体"/>
                      <w:color w:val="FDEFBE"/>
                      <w:sz w:val="96"/>
                      <w:szCs w:val="96"/>
                    </w:rPr>
                  </w:pPr>
                </w:p>
                <w:p w:rsidR="005B018B" w:rsidRDefault="005B018B">
                  <w:pPr>
                    <w:widowControl/>
                    <w:spacing w:line="1200" w:lineRule="exact"/>
                    <w:jc w:val="center"/>
                    <w:rPr>
                      <w:rFonts w:asciiTheme="minorEastAsia" w:eastAsiaTheme="minorEastAsia" w:hAnsi="宋体"/>
                      <w:color w:val="FDEFBE"/>
                      <w:sz w:val="96"/>
                      <w:szCs w:val="96"/>
                    </w:rPr>
                  </w:pPr>
                </w:p>
                <w:p w:rsidR="005B018B" w:rsidRDefault="005B018B">
                  <w:pPr>
                    <w:widowControl/>
                    <w:spacing w:line="1200" w:lineRule="exact"/>
                    <w:jc w:val="center"/>
                    <w:rPr>
                      <w:color w:val="FDEFBE"/>
                      <w:sz w:val="96"/>
                      <w:szCs w:val="96"/>
                    </w:rPr>
                  </w:pPr>
                </w:p>
              </w:txbxContent>
            </v:textbox>
          </v:shape>
        </w:pict>
      </w:r>
    </w:p>
    <w:tbl>
      <w:tblPr>
        <w:tblW w:w="9300" w:type="dxa"/>
        <w:jc w:val="center"/>
        <w:tblLayout w:type="fixed"/>
        <w:tblCellMar>
          <w:left w:w="0" w:type="dxa"/>
          <w:right w:w="0" w:type="dxa"/>
        </w:tblCellMar>
        <w:tblLook w:val="04A0"/>
      </w:tblPr>
      <w:tblGrid>
        <w:gridCol w:w="2700"/>
        <w:gridCol w:w="567"/>
        <w:gridCol w:w="1336"/>
        <w:gridCol w:w="2700"/>
        <w:gridCol w:w="567"/>
        <w:gridCol w:w="1430"/>
      </w:tblGrid>
      <w:tr w:rsidR="005B018B">
        <w:trPr>
          <w:trHeight w:val="56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5B018B" w:rsidRDefault="00996F42">
            <w:pPr>
              <w:widowControl/>
              <w:spacing w:after="0" w:line="440" w:lineRule="exac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收入支出决算总表</w:t>
            </w:r>
          </w:p>
        </w:tc>
      </w:tr>
      <w:tr w:rsidR="005B018B">
        <w:trPr>
          <w:trHeight w:val="321"/>
          <w:jc w:val="center"/>
        </w:trPr>
        <w:tc>
          <w:tcPr>
            <w:tcW w:w="2700" w:type="dxa"/>
            <w:tcBorders>
              <w:top w:val="nil"/>
              <w:left w:val="nil"/>
              <w:bottom w:val="nil"/>
              <w:right w:val="nil"/>
            </w:tcBorders>
            <w:shd w:val="clear" w:color="auto" w:fill="auto"/>
            <w:tcMar>
              <w:top w:w="15" w:type="dxa"/>
              <w:left w:w="15" w:type="dxa"/>
              <w:right w:w="15" w:type="dxa"/>
            </w:tcMar>
            <w:vAlign w:val="center"/>
          </w:tcPr>
          <w:p w:rsidR="005B018B" w:rsidRDefault="005B018B">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5B018B" w:rsidRDefault="005B018B">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01</w:t>
            </w:r>
            <w:r>
              <w:rPr>
                <w:rFonts w:ascii="宋体" w:hAnsi="宋体" w:cs="宋体" w:hint="eastAsia"/>
                <w:color w:val="000000"/>
                <w:kern w:val="0"/>
                <w:sz w:val="20"/>
                <w:szCs w:val="20"/>
              </w:rPr>
              <w:t>表</w:t>
            </w:r>
          </w:p>
        </w:tc>
      </w:tr>
      <w:tr w:rsidR="005B018B">
        <w:trPr>
          <w:trHeight w:val="418"/>
          <w:jc w:val="center"/>
        </w:trPr>
        <w:tc>
          <w:tcPr>
            <w:tcW w:w="2700" w:type="dxa"/>
            <w:tcBorders>
              <w:top w:val="nil"/>
              <w:left w:val="nil"/>
              <w:bottom w:val="nil"/>
              <w:right w:val="nil"/>
            </w:tcBorders>
            <w:shd w:val="clear" w:color="auto" w:fill="auto"/>
            <w:tcMar>
              <w:top w:w="15" w:type="dxa"/>
              <w:left w:w="15" w:type="dxa"/>
              <w:right w:w="15" w:type="dxa"/>
            </w:tcMar>
            <w:vAlign w:val="center"/>
          </w:tcPr>
          <w:p w:rsidR="005B018B" w:rsidRDefault="00996F42">
            <w:pPr>
              <w:widowControl/>
              <w:spacing w:after="0" w:line="24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rsidR="005B018B" w:rsidRDefault="005B018B">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5B018B" w:rsidRDefault="005B018B">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5B018B" w:rsidRDefault="005B018B">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5B018B" w:rsidRDefault="005B018B">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5B018B">
        <w:trPr>
          <w:trHeight w:val="295"/>
          <w:jc w:val="center"/>
        </w:trPr>
        <w:tc>
          <w:tcPr>
            <w:tcW w:w="4603"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收入</w:t>
            </w:r>
          </w:p>
        </w:tc>
        <w:tc>
          <w:tcPr>
            <w:tcW w:w="469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支出</w:t>
            </w:r>
          </w:p>
        </w:tc>
      </w:tr>
      <w:tr w:rsidR="005B018B">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r>
      <w:tr w:rsidR="005B018B">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exact"/>
              <w:jc w:val="center"/>
              <w:rPr>
                <w:rFonts w:ascii="宋体" w:hAnsi="宋体" w:cs="宋体"/>
                <w:color w:val="000000"/>
                <w:sz w:val="20"/>
                <w:szCs w:val="20"/>
              </w:rPr>
            </w:pP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exact"/>
              <w:jc w:val="center"/>
              <w:rPr>
                <w:rFonts w:ascii="宋体" w:hAnsi="宋体" w:cs="宋体"/>
                <w:color w:val="000000"/>
                <w:sz w:val="20"/>
                <w:szCs w:val="20"/>
              </w:rPr>
            </w:pP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r>
      <w:tr w:rsidR="005B018B">
        <w:trPr>
          <w:trHeight w:val="36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一、财政拨款收入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385.30</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rPr>
                <w:rFonts w:ascii="宋体" w:hAnsi="宋体" w:cs="宋体"/>
                <w:color w:val="000000"/>
                <w:sz w:val="20"/>
                <w:szCs w:val="20"/>
              </w:rPr>
            </w:pPr>
            <w:r>
              <w:rPr>
                <w:rFonts w:ascii="宋体" w:hAnsi="宋体" w:cs="宋体" w:hint="eastAsia"/>
                <w:color w:val="000000"/>
                <w:sz w:val="20"/>
                <w:szCs w:val="20"/>
              </w:rPr>
              <w:t>398.44</w:t>
            </w: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二、上级补助收入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三、事业收入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四、经营收入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五、附属单位上缴收入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六、其他收入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七、文化体育与传媒支出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八、社会保障和就业支出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九、医疗卫生与计划生育支出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36</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十、节能环保支出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37</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十一、城乡社区支出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十二、农林水支出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十三、交通运输支出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十四、资源勘探信息等支出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十五、商业服务业等支出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十六、金融支出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十七、援助其他地区支出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18</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十八、国土海洋气象等支出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45</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19</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十九、住房保障支出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46</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20</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二十、粮油物资储备支出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47</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二十一、其他支出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二十二、债务还本支出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二十三、债务付息支出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385.30</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本年支出合计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398.44</w:t>
            </w:r>
          </w:p>
        </w:tc>
      </w:tr>
      <w:tr w:rsidR="005B018B">
        <w:trPr>
          <w:trHeight w:val="38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用事业基金弥补收支差额</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18"/>
                <w:szCs w:val="18"/>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结余分配</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00" w:lineRule="exact"/>
              <w:jc w:val="right"/>
              <w:rPr>
                <w:rFonts w:ascii="宋体" w:hAnsi="宋体" w:cs="宋体"/>
                <w:color w:val="000000"/>
                <w:sz w:val="20"/>
                <w:szCs w:val="20"/>
              </w:rPr>
            </w:pP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年初结转和结余</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14.41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年末结转和结余</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1.27</w:t>
            </w:r>
          </w:p>
        </w:tc>
      </w:tr>
      <w:tr w:rsidR="005B018B">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399.72</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399.72</w:t>
            </w:r>
          </w:p>
        </w:tc>
      </w:tr>
      <w:tr w:rsidR="005B018B">
        <w:trPr>
          <w:trHeight w:val="41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5B018B" w:rsidRDefault="00996F42">
            <w:pPr>
              <w:widowControl/>
              <w:spacing w:after="0" w:line="200" w:lineRule="exact"/>
              <w:jc w:val="left"/>
              <w:textAlignment w:val="center"/>
              <w:rPr>
                <w:rFonts w:ascii="宋体" w:hAnsi="宋体" w:cs="宋体"/>
                <w:color w:val="000000"/>
                <w:szCs w:val="21"/>
              </w:rPr>
            </w:pPr>
            <w:r>
              <w:rPr>
                <w:rFonts w:ascii="宋体" w:hAnsi="宋体" w:cs="宋体" w:hint="eastAsia"/>
                <w:color w:val="000000"/>
                <w:kern w:val="0"/>
                <w:szCs w:val="21"/>
              </w:rPr>
              <w:t>注：本表反映部门本年度的总收支和年末结转结余情况。</w:t>
            </w:r>
          </w:p>
        </w:tc>
      </w:tr>
    </w:tbl>
    <w:p w:rsidR="005B018B" w:rsidRDefault="005B018B">
      <w:pPr>
        <w:widowControl/>
        <w:spacing w:after="0" w:line="560" w:lineRule="exact"/>
        <w:jc w:val="left"/>
        <w:rPr>
          <w:rFonts w:ascii="仿宋_GB2312" w:eastAsia="仿宋_GB2312" w:hAnsiTheme="majorEastAsia"/>
          <w:b/>
          <w:sz w:val="28"/>
          <w:szCs w:val="28"/>
          <w:highlight w:val="yellow"/>
        </w:rPr>
        <w:sectPr w:rsidR="005B018B">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rsidR="005B018B">
        <w:trPr>
          <w:trHeight w:val="770"/>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rsidR="005B018B" w:rsidRDefault="00996F42">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收入决算表</w:t>
            </w:r>
          </w:p>
        </w:tc>
      </w:tr>
      <w:tr w:rsidR="005B018B">
        <w:trPr>
          <w:trHeight w:val="362"/>
          <w:jc w:val="center"/>
        </w:trPr>
        <w:tc>
          <w:tcPr>
            <w:tcW w:w="335"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02</w:t>
            </w:r>
            <w:r>
              <w:rPr>
                <w:rFonts w:ascii="宋体" w:hAnsi="宋体" w:cs="宋体" w:hint="eastAsia"/>
                <w:color w:val="000000"/>
                <w:kern w:val="0"/>
                <w:szCs w:val="21"/>
              </w:rPr>
              <w:t>表</w:t>
            </w:r>
          </w:p>
        </w:tc>
      </w:tr>
      <w:tr w:rsidR="005B018B">
        <w:trPr>
          <w:trHeight w:val="362"/>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26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5B018B">
        <w:trPr>
          <w:trHeight w:val="325"/>
          <w:jc w:val="center"/>
        </w:trPr>
        <w:tc>
          <w:tcPr>
            <w:tcW w:w="2352" w:type="dxa"/>
            <w:gridSpan w:val="4"/>
            <w:tcBorders>
              <w:top w:val="single" w:sz="4" w:space="0" w:color="000000"/>
              <w:left w:val="single" w:sz="4" w:space="0" w:color="000000"/>
              <w:bottom w:val="single" w:sz="4" w:space="0" w:color="000000"/>
              <w:right w:val="single" w:sz="4" w:space="0" w:color="auto"/>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920" w:type="dxa"/>
            <w:gridSpan w:val="3"/>
            <w:vMerge w:val="restart"/>
            <w:tcBorders>
              <w:top w:val="single" w:sz="4" w:space="0" w:color="auto"/>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财政拨款收入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上级补助收入</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事业收入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经营收入</w:t>
            </w:r>
          </w:p>
        </w:tc>
        <w:tc>
          <w:tcPr>
            <w:tcW w:w="920" w:type="dxa"/>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附属单位上缴收入</w:t>
            </w:r>
          </w:p>
        </w:tc>
        <w:tc>
          <w:tcPr>
            <w:tcW w:w="926" w:type="dxa"/>
            <w:vMerge w:val="restart"/>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其他收入</w:t>
            </w:r>
          </w:p>
        </w:tc>
      </w:tr>
      <w:tr w:rsidR="005B018B">
        <w:trPr>
          <w:trHeight w:val="626"/>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1318" w:type="dxa"/>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920" w:type="dxa"/>
            <w:gridSpan w:val="3"/>
            <w:vMerge/>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 w:val="20"/>
                <w:szCs w:val="20"/>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textAlignment w:val="center"/>
              <w:rPr>
                <w:rFonts w:ascii="宋体" w:hAnsi="宋体" w:cs="宋体"/>
                <w:color w:val="000000"/>
                <w:kern w:val="0"/>
                <w:sz w:val="20"/>
                <w:szCs w:val="20"/>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textAlignment w:val="center"/>
              <w:rPr>
                <w:rFonts w:ascii="宋体" w:hAnsi="宋体" w:cs="宋体"/>
                <w:color w:val="000000"/>
                <w:kern w:val="0"/>
                <w:sz w:val="20"/>
                <w:szCs w:val="20"/>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textAlignment w:val="center"/>
              <w:rPr>
                <w:rFonts w:ascii="宋体" w:hAnsi="宋体" w:cs="宋体"/>
                <w:color w:val="000000"/>
                <w:kern w:val="0"/>
                <w:sz w:val="20"/>
                <w:szCs w:val="20"/>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textAlignment w:val="center"/>
              <w:rPr>
                <w:rFonts w:ascii="宋体" w:hAnsi="宋体" w:cs="宋体"/>
                <w:color w:val="000000"/>
                <w:kern w:val="0"/>
                <w:sz w:val="20"/>
                <w:szCs w:val="20"/>
              </w:rPr>
            </w:pPr>
          </w:p>
        </w:tc>
        <w:tc>
          <w:tcPr>
            <w:tcW w:w="920" w:type="dxa"/>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textAlignment w:val="center"/>
              <w:rPr>
                <w:rFonts w:ascii="宋体" w:hAnsi="宋体" w:cs="宋体"/>
                <w:color w:val="000000"/>
                <w:kern w:val="0"/>
                <w:sz w:val="20"/>
                <w:szCs w:val="20"/>
              </w:rPr>
            </w:pPr>
          </w:p>
        </w:tc>
        <w:tc>
          <w:tcPr>
            <w:tcW w:w="926" w:type="dxa"/>
            <w:vMerge/>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5B018B" w:rsidRDefault="005B018B">
            <w:pPr>
              <w:widowControl/>
              <w:spacing w:after="0" w:line="240" w:lineRule="atLeast"/>
              <w:jc w:val="center"/>
              <w:textAlignment w:val="center"/>
              <w:rPr>
                <w:rFonts w:ascii="宋体" w:hAnsi="宋体" w:cs="宋体"/>
                <w:color w:val="000000"/>
                <w:kern w:val="0"/>
                <w:sz w:val="20"/>
                <w:szCs w:val="20"/>
              </w:rPr>
            </w:pPr>
          </w:p>
        </w:tc>
      </w:tr>
      <w:tr w:rsidR="005B018B">
        <w:trPr>
          <w:trHeight w:val="391"/>
          <w:jc w:val="center"/>
        </w:trPr>
        <w:tc>
          <w:tcPr>
            <w:tcW w:w="235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920"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9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r>
      <w:tr w:rsidR="005B018B">
        <w:trPr>
          <w:trHeight w:val="90"/>
          <w:jc w:val="center"/>
        </w:trPr>
        <w:tc>
          <w:tcPr>
            <w:tcW w:w="235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920"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 w:val="18"/>
                <w:szCs w:val="18"/>
              </w:rPr>
            </w:pPr>
          </w:p>
        </w:tc>
        <w:tc>
          <w:tcPr>
            <w:tcW w:w="920"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 w:val="18"/>
                <w:szCs w:val="18"/>
              </w:rPr>
            </w:pPr>
          </w:p>
        </w:tc>
        <w:tc>
          <w:tcPr>
            <w:tcW w:w="921"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 w:val="18"/>
                <w:szCs w:val="18"/>
              </w:rPr>
            </w:pPr>
          </w:p>
        </w:tc>
        <w:tc>
          <w:tcPr>
            <w:tcW w:w="920"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 w:val="18"/>
                <w:szCs w:val="18"/>
              </w:rPr>
            </w:pPr>
          </w:p>
        </w:tc>
        <w:tc>
          <w:tcPr>
            <w:tcW w:w="921"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 w:val="18"/>
                <w:szCs w:val="18"/>
              </w:rPr>
            </w:pPr>
          </w:p>
        </w:tc>
        <w:tc>
          <w:tcPr>
            <w:tcW w:w="920"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 w:val="18"/>
                <w:szCs w:val="18"/>
              </w:rPr>
            </w:pPr>
          </w:p>
        </w:tc>
        <w:tc>
          <w:tcPr>
            <w:tcW w:w="926"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 w:val="18"/>
                <w:szCs w:val="18"/>
              </w:rPr>
            </w:pPr>
          </w:p>
        </w:tc>
      </w:tr>
      <w:tr w:rsidR="005B018B">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385.30</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385.30</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20103</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政府办公厅（室）及相关机构事务</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385.30</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385.30</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2010306</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政务公开审批</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385.30</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385.30</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481"/>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注：本表反映部门本年度取得的各项收入情况。</w:t>
            </w:r>
          </w:p>
        </w:tc>
      </w:tr>
    </w:tbl>
    <w:p w:rsidR="005B018B" w:rsidRDefault="005B018B">
      <w:pPr>
        <w:widowControl/>
        <w:spacing w:after="0" w:line="560" w:lineRule="exact"/>
        <w:jc w:val="left"/>
        <w:rPr>
          <w:rFonts w:ascii="仿宋_GB2312" w:eastAsia="仿宋_GB2312" w:hAnsiTheme="majorEastAsia"/>
          <w:b/>
          <w:sz w:val="28"/>
          <w:szCs w:val="28"/>
          <w:highlight w:val="yellow"/>
        </w:rPr>
        <w:sectPr w:rsidR="005B018B">
          <w:pgSz w:w="11906" w:h="16838"/>
          <w:pgMar w:top="2098" w:right="1474" w:bottom="1984" w:left="1588" w:header="851" w:footer="992" w:gutter="0"/>
          <w:cols w:space="0"/>
          <w:docGrid w:type="lines" w:linePitch="312"/>
        </w:sectPr>
      </w:pPr>
    </w:p>
    <w:tbl>
      <w:tblPr>
        <w:tblW w:w="9000" w:type="dxa"/>
        <w:tblLayout w:type="fixed"/>
        <w:tblCellMar>
          <w:left w:w="0" w:type="dxa"/>
          <w:right w:w="0" w:type="dxa"/>
        </w:tblCellMar>
        <w:tblLook w:val="04A0"/>
      </w:tblPr>
      <w:tblGrid>
        <w:gridCol w:w="290"/>
        <w:gridCol w:w="289"/>
        <w:gridCol w:w="803"/>
        <w:gridCol w:w="335"/>
        <w:gridCol w:w="745"/>
        <w:gridCol w:w="37"/>
        <w:gridCol w:w="288"/>
        <w:gridCol w:w="359"/>
        <w:gridCol w:w="436"/>
        <w:gridCol w:w="55"/>
        <w:gridCol w:w="627"/>
        <w:gridCol w:w="402"/>
        <w:gridCol w:w="718"/>
        <w:gridCol w:w="365"/>
        <w:gridCol w:w="12"/>
        <w:gridCol w:w="191"/>
        <w:gridCol w:w="360"/>
        <w:gridCol w:w="190"/>
        <w:gridCol w:w="331"/>
        <w:gridCol w:w="129"/>
        <w:gridCol w:w="226"/>
        <w:gridCol w:w="434"/>
        <w:gridCol w:w="165"/>
        <w:gridCol w:w="129"/>
        <w:gridCol w:w="148"/>
        <w:gridCol w:w="876"/>
        <w:gridCol w:w="60"/>
      </w:tblGrid>
      <w:tr w:rsidR="005B018B">
        <w:trPr>
          <w:trHeight w:val="798"/>
        </w:trPr>
        <w:tc>
          <w:tcPr>
            <w:tcW w:w="9000" w:type="dxa"/>
            <w:gridSpan w:val="27"/>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支出决算表</w:t>
            </w:r>
          </w:p>
        </w:tc>
      </w:tr>
      <w:tr w:rsidR="005B018B">
        <w:trPr>
          <w:trHeight w:val="404"/>
        </w:trPr>
        <w:tc>
          <w:tcPr>
            <w:tcW w:w="29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117"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647"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118" w:type="dxa"/>
            <w:gridSpan w:val="5"/>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120" w:type="dxa"/>
            <w:gridSpan w:val="4"/>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378" w:type="dxa"/>
            <w:gridSpan w:val="5"/>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03</w:t>
            </w:r>
            <w:r>
              <w:rPr>
                <w:rFonts w:ascii="宋体" w:hAnsi="宋体" w:cs="宋体" w:hint="eastAsia"/>
                <w:color w:val="000000"/>
                <w:kern w:val="0"/>
                <w:szCs w:val="21"/>
              </w:rPr>
              <w:t>表</w:t>
            </w:r>
          </w:p>
        </w:tc>
      </w:tr>
      <w:tr w:rsidR="005B018B">
        <w:trPr>
          <w:trHeight w:val="380"/>
        </w:trPr>
        <w:tc>
          <w:tcPr>
            <w:tcW w:w="3146" w:type="dxa"/>
            <w:gridSpan w:val="8"/>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118" w:type="dxa"/>
            <w:gridSpan w:val="5"/>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2498" w:type="dxa"/>
            <w:gridSpan w:val="9"/>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5B018B">
        <w:trPr>
          <w:trHeight w:val="837"/>
        </w:trPr>
        <w:tc>
          <w:tcPr>
            <w:tcW w:w="2499" w:type="dxa"/>
            <w:gridSpan w:val="6"/>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083" w:type="dxa"/>
            <w:gridSpan w:val="3"/>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本年支出合计</w:t>
            </w:r>
          </w:p>
        </w:tc>
        <w:tc>
          <w:tcPr>
            <w:tcW w:w="1084" w:type="dxa"/>
            <w:gridSpan w:val="3"/>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084" w:type="dxa"/>
            <w:gridSpan w:val="5"/>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上缴上级支出</w:t>
            </w:r>
          </w:p>
        </w:tc>
        <w:tc>
          <w:tcPr>
            <w:tcW w:w="1083" w:type="dxa"/>
            <w:gridSpan w:val="5"/>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经营支出</w:t>
            </w:r>
          </w:p>
        </w:tc>
        <w:tc>
          <w:tcPr>
            <w:tcW w:w="1084" w:type="dxa"/>
            <w:gridSpan w:val="3"/>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对附属单位补助支出</w:t>
            </w:r>
          </w:p>
        </w:tc>
      </w:tr>
      <w:tr w:rsidR="005B018B">
        <w:trPr>
          <w:trHeight w:val="782"/>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117"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083" w:type="dxa"/>
            <w:gridSpan w:val="3"/>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084" w:type="dxa"/>
            <w:gridSpan w:val="3"/>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084" w:type="dxa"/>
            <w:gridSpan w:val="5"/>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083" w:type="dxa"/>
            <w:gridSpan w:val="5"/>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084" w:type="dxa"/>
            <w:gridSpan w:val="3"/>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r>
      <w:tr w:rsidR="005B018B">
        <w:trPr>
          <w:trHeight w:val="395"/>
        </w:trPr>
        <w:tc>
          <w:tcPr>
            <w:tcW w:w="2499" w:type="dxa"/>
            <w:gridSpan w:val="6"/>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08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08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084"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083"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08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6</w:t>
            </w:r>
          </w:p>
        </w:tc>
      </w:tr>
      <w:tr w:rsidR="005B018B">
        <w:trPr>
          <w:trHeight w:val="440"/>
        </w:trPr>
        <w:tc>
          <w:tcPr>
            <w:tcW w:w="2499" w:type="dxa"/>
            <w:gridSpan w:val="6"/>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08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Cs w:val="21"/>
              </w:rPr>
            </w:pP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Cs w:val="21"/>
              </w:rPr>
            </w:pPr>
          </w:p>
        </w:tc>
        <w:tc>
          <w:tcPr>
            <w:tcW w:w="1084"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Cs w:val="21"/>
              </w:rPr>
            </w:pPr>
          </w:p>
        </w:tc>
        <w:tc>
          <w:tcPr>
            <w:tcW w:w="1083"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Cs w:val="21"/>
              </w:rPr>
            </w:pP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Cs w:val="21"/>
              </w:rPr>
            </w:pPr>
          </w:p>
        </w:tc>
      </w:tr>
      <w:tr w:rsidR="005B018B">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1117"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108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398.44</w:t>
            </w: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398.44</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3"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20103</w:t>
            </w:r>
          </w:p>
        </w:tc>
        <w:tc>
          <w:tcPr>
            <w:tcW w:w="1117"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政府办公厅（室）及相关机构事务</w:t>
            </w:r>
          </w:p>
        </w:tc>
        <w:tc>
          <w:tcPr>
            <w:tcW w:w="108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398.44</w:t>
            </w: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398.44</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3"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2010306</w:t>
            </w:r>
          </w:p>
        </w:tc>
        <w:tc>
          <w:tcPr>
            <w:tcW w:w="1117"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 xml:space="preserve"> </w:t>
            </w:r>
            <w:r>
              <w:rPr>
                <w:rFonts w:ascii="宋体" w:hAnsi="宋体" w:cs="宋体" w:hint="eastAsia"/>
                <w:color w:val="000000"/>
                <w:kern w:val="0"/>
                <w:sz w:val="22"/>
                <w:szCs w:val="22"/>
              </w:rPr>
              <w:t>政务公开审批</w:t>
            </w:r>
          </w:p>
        </w:tc>
        <w:tc>
          <w:tcPr>
            <w:tcW w:w="108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397.86</w:t>
            </w: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397.86</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3"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2010399</w:t>
            </w:r>
          </w:p>
        </w:tc>
        <w:tc>
          <w:tcPr>
            <w:tcW w:w="1117"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rPr>
              <w:t xml:space="preserve">  </w:t>
            </w:r>
            <w:r>
              <w:rPr>
                <w:rFonts w:ascii="宋体" w:hAnsi="宋体" w:cs="宋体" w:hint="eastAsia"/>
                <w:color w:val="000000"/>
                <w:kern w:val="0"/>
                <w:sz w:val="22"/>
                <w:szCs w:val="22"/>
              </w:rPr>
              <w:t>其他政府办公厅（室）及相关机构事务支出</w:t>
            </w:r>
          </w:p>
        </w:tc>
        <w:tc>
          <w:tcPr>
            <w:tcW w:w="108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0.58</w:t>
            </w: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0.58</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3"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117"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08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3"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117"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083"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3"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084"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748"/>
        </w:trPr>
        <w:tc>
          <w:tcPr>
            <w:tcW w:w="9000" w:type="dxa"/>
            <w:gridSpan w:val="27"/>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注：本表反映部门本年度各项支出情况。</w:t>
            </w:r>
          </w:p>
        </w:tc>
      </w:tr>
      <w:tr w:rsidR="005B018B">
        <w:trPr>
          <w:gridAfter w:val="1"/>
          <w:wAfter w:w="60" w:type="dxa"/>
          <w:trHeight w:val="152"/>
        </w:trPr>
        <w:tc>
          <w:tcPr>
            <w:tcW w:w="8940" w:type="dxa"/>
            <w:gridSpan w:val="26"/>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财政拨款收入支出决算总表</w:t>
            </w:r>
          </w:p>
        </w:tc>
      </w:tr>
      <w:tr w:rsidR="005B018B">
        <w:trPr>
          <w:gridAfter w:val="1"/>
          <w:wAfter w:w="60" w:type="dxa"/>
          <w:trHeight w:val="90"/>
        </w:trPr>
        <w:tc>
          <w:tcPr>
            <w:tcW w:w="1717" w:type="dxa"/>
            <w:gridSpan w:val="4"/>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 w:val="20"/>
                <w:szCs w:val="20"/>
              </w:rPr>
            </w:pPr>
          </w:p>
        </w:tc>
        <w:tc>
          <w:tcPr>
            <w:tcW w:w="325"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 w:val="20"/>
                <w:szCs w:val="20"/>
              </w:rPr>
            </w:pPr>
          </w:p>
        </w:tc>
        <w:tc>
          <w:tcPr>
            <w:tcW w:w="2974" w:type="dxa"/>
            <w:gridSpan w:val="8"/>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 w:val="20"/>
                <w:szCs w:val="20"/>
              </w:rPr>
            </w:pPr>
          </w:p>
        </w:tc>
        <w:tc>
          <w:tcPr>
            <w:tcW w:w="650"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 w:val="20"/>
                <w:szCs w:val="20"/>
              </w:rPr>
            </w:pPr>
          </w:p>
        </w:tc>
        <w:tc>
          <w:tcPr>
            <w:tcW w:w="825"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 w:val="20"/>
                <w:szCs w:val="20"/>
              </w:rPr>
            </w:pPr>
          </w:p>
        </w:tc>
        <w:tc>
          <w:tcPr>
            <w:tcW w:w="1153"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04</w:t>
            </w:r>
            <w:r>
              <w:rPr>
                <w:rFonts w:ascii="宋体" w:hAnsi="宋体" w:cs="宋体" w:hint="eastAsia"/>
                <w:color w:val="000000"/>
                <w:kern w:val="0"/>
                <w:sz w:val="20"/>
                <w:szCs w:val="20"/>
              </w:rPr>
              <w:t>表</w:t>
            </w:r>
          </w:p>
        </w:tc>
      </w:tr>
      <w:tr w:rsidR="005B018B">
        <w:trPr>
          <w:gridAfter w:val="1"/>
          <w:wAfter w:w="60" w:type="dxa"/>
          <w:trHeight w:val="152"/>
        </w:trPr>
        <w:tc>
          <w:tcPr>
            <w:tcW w:w="6312" w:type="dxa"/>
            <w:gridSpan w:val="17"/>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20"/>
                <w:szCs w:val="20"/>
              </w:rPr>
            </w:pPr>
            <w:r>
              <w:rPr>
                <w:rFonts w:ascii="宋体" w:hAnsi="宋体" w:cs="宋体" w:hint="eastAsia"/>
                <w:color w:val="000000"/>
                <w:kern w:val="0"/>
                <w:sz w:val="20"/>
                <w:szCs w:val="20"/>
              </w:rPr>
              <w:t>部门：</w:t>
            </w:r>
          </w:p>
        </w:tc>
        <w:tc>
          <w:tcPr>
            <w:tcW w:w="650"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 w:val="20"/>
                <w:szCs w:val="20"/>
              </w:rPr>
            </w:pPr>
          </w:p>
        </w:tc>
        <w:tc>
          <w:tcPr>
            <w:tcW w:w="1978" w:type="dxa"/>
            <w:gridSpan w:val="6"/>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5B018B">
        <w:trPr>
          <w:gridAfter w:val="1"/>
          <w:wAfter w:w="60" w:type="dxa"/>
          <w:trHeight w:val="90"/>
        </w:trPr>
        <w:tc>
          <w:tcPr>
            <w:tcW w:w="2787"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收</w:t>
            </w: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入</w:t>
            </w:r>
          </w:p>
        </w:tc>
        <w:tc>
          <w:tcPr>
            <w:tcW w:w="6153" w:type="dxa"/>
            <w:gridSpan w:val="19"/>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支</w:t>
            </w: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出</w:t>
            </w:r>
          </w:p>
        </w:tc>
      </w:tr>
      <w:tr w:rsidR="005B018B">
        <w:trPr>
          <w:gridAfter w:val="1"/>
          <w:wAfter w:w="60" w:type="dxa"/>
          <w:trHeight w:val="170"/>
        </w:trPr>
        <w:tc>
          <w:tcPr>
            <w:tcW w:w="2462"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5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金额</w:t>
            </w:r>
          </w:p>
        </w:tc>
        <w:tc>
          <w:tcPr>
            <w:tcW w:w="2315"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876"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一般公共预算财政拨款</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政府性基金预算财政拨款</w:t>
            </w: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 w:val="18"/>
                <w:szCs w:val="18"/>
              </w:rPr>
            </w:pP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r>
      <w:tr w:rsidR="005B018B">
        <w:trPr>
          <w:gridAfter w:val="1"/>
          <w:wAfter w:w="60" w:type="dxa"/>
          <w:trHeight w:val="120"/>
        </w:trPr>
        <w:tc>
          <w:tcPr>
            <w:tcW w:w="2462"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一、一般公共预算财政拨款</w:t>
            </w: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385.30</w:t>
            </w: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一、一般公共服务支出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29</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398.44</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398.44</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120"/>
        </w:trPr>
        <w:tc>
          <w:tcPr>
            <w:tcW w:w="2462"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二、政府性基金预算财政拨款</w:t>
            </w: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二、外交支出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30</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三、国防支出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31</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四、公共安全支出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32</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五、教育支出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33</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六、科学技术支出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34</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七、文化体育与传媒支出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35</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8</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八、社会保障和就业支出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36</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9</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6"/>
                <w:szCs w:val="16"/>
              </w:rPr>
              <w:t>九、医疗卫生与计划生育支出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37</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10</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十、节能环保支出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38</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11</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十一、城乡社区支出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39</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12</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十二、农林水支出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40</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13</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十三、交通运输支出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41</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14</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十四、资源勘探信息等支出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42</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15</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十五、商业服务业等支出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43</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16</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十六、金融支出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44</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17</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十七、援助其他地区支出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45</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18</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十八、国土海洋气象等支出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46</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19</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十九、住房保障支出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47</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20</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二十、粮油物资储备支出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48</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21</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二十一、其他支出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49</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22</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二十二、债务还本支出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50</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23</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二十三、债务付息支出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51</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本年收入合计</w:t>
            </w: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24</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385.30</w:t>
            </w: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本年支出合计</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52</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398.44</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398.44</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120"/>
        </w:trPr>
        <w:tc>
          <w:tcPr>
            <w:tcW w:w="2462"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年初财政拨款结转和结余</w:t>
            </w: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25</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jc w:val="right"/>
              <w:textAlignment w:val="center"/>
              <w:rPr>
                <w:rFonts w:ascii="宋体" w:hAnsi="宋体" w:cs="宋体"/>
                <w:color w:val="000000"/>
                <w:sz w:val="22"/>
                <w:szCs w:val="22"/>
              </w:rPr>
            </w:pPr>
            <w:r>
              <w:rPr>
                <w:rFonts w:ascii="宋体" w:hAnsi="宋体" w:cs="宋体" w:hint="eastAsia"/>
                <w:color w:val="000000"/>
                <w:sz w:val="22"/>
                <w:szCs w:val="22"/>
              </w:rPr>
              <w:t>14.41</w:t>
            </w: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年末财政拨款结转和结余</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53</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1.27</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1.27</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120"/>
        </w:trPr>
        <w:tc>
          <w:tcPr>
            <w:tcW w:w="2462"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一般公共预算财政拨款</w:t>
            </w: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26</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14.41</w:t>
            </w: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54</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120"/>
        </w:trPr>
        <w:tc>
          <w:tcPr>
            <w:tcW w:w="2462"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政府性基金预算财政拨款</w:t>
            </w: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27</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55</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90"/>
        </w:trPr>
        <w:tc>
          <w:tcPr>
            <w:tcW w:w="2462"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lastRenderedPageBreak/>
              <w:t>总计</w:t>
            </w:r>
          </w:p>
        </w:tc>
        <w:tc>
          <w:tcPr>
            <w:tcW w:w="3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28</w:t>
            </w:r>
          </w:p>
        </w:tc>
        <w:tc>
          <w:tcPr>
            <w:tcW w:w="85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399.72</w:t>
            </w:r>
          </w:p>
        </w:tc>
        <w:tc>
          <w:tcPr>
            <w:tcW w:w="2315" w:type="dxa"/>
            <w:gridSpan w:val="6"/>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56</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tcPr>
          <w:p w:rsidR="005B018B" w:rsidRDefault="00996F42">
            <w:r>
              <w:rPr>
                <w:rFonts w:ascii="宋体" w:hAnsi="宋体" w:cs="宋体" w:hint="eastAsia"/>
                <w:color w:val="000000"/>
                <w:sz w:val="18"/>
                <w:szCs w:val="18"/>
              </w:rPr>
              <w:t>399.72</w:t>
            </w:r>
          </w:p>
        </w:tc>
        <w:tc>
          <w:tcPr>
            <w:tcW w:w="876"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tcPr>
          <w:p w:rsidR="005B018B" w:rsidRDefault="00996F42">
            <w:r>
              <w:rPr>
                <w:rFonts w:ascii="宋体" w:hAnsi="宋体" w:cs="宋体" w:hint="eastAsia"/>
                <w:color w:val="000000"/>
                <w:sz w:val="18"/>
                <w:szCs w:val="18"/>
              </w:rPr>
              <w:t>399.72</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 w:val="18"/>
                <w:szCs w:val="18"/>
              </w:rPr>
            </w:pPr>
          </w:p>
        </w:tc>
      </w:tr>
      <w:tr w:rsidR="005B018B">
        <w:trPr>
          <w:gridAfter w:val="1"/>
          <w:wAfter w:w="60" w:type="dxa"/>
          <w:trHeight w:val="155"/>
        </w:trPr>
        <w:tc>
          <w:tcPr>
            <w:tcW w:w="8940" w:type="dxa"/>
            <w:gridSpan w:val="26"/>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注：本表反映部门本年度一般公共预算财政拨款和政府性基金预算财政拨款的总收支和年末结转结余情况。</w:t>
            </w:r>
          </w:p>
        </w:tc>
      </w:tr>
    </w:tbl>
    <w:p w:rsidR="005B018B" w:rsidRDefault="005B018B">
      <w:pPr>
        <w:widowControl/>
        <w:spacing w:after="0" w:line="560" w:lineRule="exact"/>
        <w:jc w:val="left"/>
        <w:rPr>
          <w:rFonts w:ascii="仿宋_GB2312" w:eastAsia="仿宋_GB2312" w:hAnsiTheme="majorEastAsia"/>
          <w:b/>
          <w:sz w:val="28"/>
          <w:szCs w:val="28"/>
          <w:highlight w:val="yellow"/>
        </w:rPr>
        <w:sectPr w:rsidR="005B018B">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317"/>
        <w:gridCol w:w="319"/>
        <w:gridCol w:w="357"/>
        <w:gridCol w:w="2109"/>
        <w:gridCol w:w="745"/>
        <w:gridCol w:w="1174"/>
        <w:gridCol w:w="718"/>
        <w:gridCol w:w="1201"/>
        <w:gridCol w:w="1920"/>
      </w:tblGrid>
      <w:tr w:rsidR="005B018B">
        <w:trPr>
          <w:trHeight w:val="600"/>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rsidR="005B018B" w:rsidRDefault="00996F42">
            <w:pPr>
              <w:widowControl/>
              <w:spacing w:after="0" w:line="240" w:lineRule="auto"/>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一般公共预算财政拨款支出决算表</w:t>
            </w:r>
          </w:p>
        </w:tc>
      </w:tr>
      <w:tr w:rsidR="005B018B">
        <w:trPr>
          <w:trHeight w:val="334"/>
        </w:trPr>
        <w:tc>
          <w:tcPr>
            <w:tcW w:w="317"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05</w:t>
            </w:r>
            <w:r>
              <w:rPr>
                <w:rFonts w:ascii="宋体" w:hAnsi="宋体" w:cs="宋体" w:hint="eastAsia"/>
                <w:color w:val="000000"/>
                <w:kern w:val="0"/>
                <w:szCs w:val="21"/>
              </w:rPr>
              <w:t>表</w:t>
            </w:r>
          </w:p>
        </w:tc>
      </w:tr>
      <w:tr w:rsidR="005B018B">
        <w:trPr>
          <w:trHeight w:val="334"/>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5B018B">
        <w:trPr>
          <w:trHeight w:val="351"/>
        </w:trPr>
        <w:tc>
          <w:tcPr>
            <w:tcW w:w="3102"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5758"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w:t>
            </w:r>
          </w:p>
        </w:tc>
      </w:tr>
      <w:tr w:rsidR="005B018B">
        <w:trPr>
          <w:trHeight w:val="334"/>
        </w:trPr>
        <w:tc>
          <w:tcPr>
            <w:tcW w:w="99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210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9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r>
      <w:tr w:rsidR="005B018B">
        <w:trPr>
          <w:trHeight w:val="334"/>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r>
      <w:tr w:rsidR="005B018B">
        <w:trPr>
          <w:trHeight w:val="312"/>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tLeast"/>
              <w:jc w:val="center"/>
              <w:rPr>
                <w:rFonts w:ascii="宋体" w:hAnsi="宋体" w:cs="宋体"/>
                <w:color w:val="000000"/>
                <w:szCs w:val="21"/>
              </w:rPr>
            </w:pPr>
          </w:p>
        </w:tc>
      </w:tr>
      <w:tr w:rsidR="005B018B">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r>
      <w:tr w:rsidR="005B018B">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b/>
                <w:color w:val="000000"/>
                <w:szCs w:val="21"/>
              </w:rPr>
            </w:pPr>
            <w:r>
              <w:rPr>
                <w:rFonts w:ascii="宋体" w:hAnsi="宋体" w:cs="宋体" w:hint="eastAsia"/>
                <w:b/>
                <w:color w:val="000000"/>
                <w:szCs w:val="21"/>
              </w:rPr>
              <w:t>398.44</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b/>
                <w:color w:val="000000"/>
                <w:szCs w:val="21"/>
              </w:rPr>
            </w:pPr>
            <w:r>
              <w:rPr>
                <w:rFonts w:ascii="宋体" w:hAnsi="宋体" w:cs="宋体" w:hint="eastAsia"/>
                <w:b/>
                <w:color w:val="000000"/>
                <w:szCs w:val="21"/>
              </w:rPr>
              <w:t>398.44</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b/>
                <w:color w:val="000000"/>
                <w:szCs w:val="21"/>
              </w:rPr>
            </w:pPr>
          </w:p>
        </w:tc>
      </w:tr>
      <w:tr w:rsidR="005B018B">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b/>
                <w:color w:val="000000"/>
                <w:szCs w:val="21"/>
              </w:rPr>
            </w:pPr>
            <w:r>
              <w:rPr>
                <w:rFonts w:ascii="宋体" w:hAnsi="宋体" w:cs="宋体" w:hint="eastAsia"/>
                <w:b/>
                <w:color w:val="000000"/>
                <w:szCs w:val="21"/>
              </w:rPr>
              <w:t>398.44</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b/>
                <w:color w:val="000000"/>
                <w:szCs w:val="21"/>
              </w:rPr>
            </w:pPr>
            <w:r>
              <w:rPr>
                <w:rFonts w:ascii="宋体" w:hAnsi="宋体" w:cs="宋体" w:hint="eastAsia"/>
                <w:b/>
                <w:color w:val="000000"/>
                <w:szCs w:val="21"/>
              </w:rPr>
              <w:t>398.44</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20103</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政府办公厅（室）及相关机构事务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b/>
                <w:color w:val="000000"/>
                <w:szCs w:val="21"/>
              </w:rPr>
            </w:pPr>
            <w:r>
              <w:rPr>
                <w:rFonts w:ascii="宋体" w:hAnsi="宋体" w:cs="宋体" w:hint="eastAsia"/>
                <w:b/>
                <w:color w:val="000000"/>
                <w:szCs w:val="21"/>
              </w:rPr>
              <w:t>398.44</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b/>
                <w:color w:val="000000"/>
                <w:szCs w:val="21"/>
              </w:rPr>
            </w:pPr>
            <w:r>
              <w:rPr>
                <w:rFonts w:ascii="宋体" w:hAnsi="宋体" w:cs="宋体" w:hint="eastAsia"/>
                <w:b/>
                <w:color w:val="000000"/>
                <w:szCs w:val="21"/>
              </w:rPr>
              <w:t>398.44</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2010306</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政务公开审批</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397.86</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397.86</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2010399</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left"/>
              <w:rPr>
                <w:rFonts w:ascii="宋体" w:hAnsi="宋体" w:cs="宋体"/>
                <w:color w:val="000000"/>
                <w:szCs w:val="21"/>
              </w:rPr>
            </w:pPr>
            <w:r>
              <w:rPr>
                <w:rFonts w:ascii="宋体" w:hAnsi="宋体" w:cs="宋体" w:hint="eastAsia"/>
                <w:color w:val="000000"/>
                <w:szCs w:val="21"/>
              </w:rPr>
              <w:t xml:space="preserve">  </w:t>
            </w:r>
            <w:r>
              <w:rPr>
                <w:rFonts w:ascii="宋体" w:hAnsi="宋体" w:cs="宋体" w:hint="eastAsia"/>
                <w:color w:val="000000"/>
                <w:szCs w:val="21"/>
              </w:rPr>
              <w:t>其他政府办公厅（室）及相关机构事务支出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0.58</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tLeast"/>
              <w:jc w:val="right"/>
              <w:rPr>
                <w:rFonts w:ascii="宋体" w:hAnsi="宋体" w:cs="宋体"/>
                <w:color w:val="000000"/>
                <w:szCs w:val="21"/>
              </w:rPr>
            </w:pPr>
            <w:r>
              <w:rPr>
                <w:rFonts w:ascii="宋体" w:hAnsi="宋体" w:cs="宋体" w:hint="eastAsia"/>
                <w:color w:val="000000"/>
                <w:szCs w:val="21"/>
              </w:rPr>
              <w:t>0.58</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tLeast"/>
              <w:jc w:val="right"/>
              <w:rPr>
                <w:rFonts w:ascii="宋体" w:hAnsi="宋体" w:cs="宋体"/>
                <w:color w:val="000000"/>
                <w:szCs w:val="21"/>
              </w:rPr>
            </w:pPr>
          </w:p>
        </w:tc>
      </w:tr>
      <w:tr w:rsidR="005B018B">
        <w:trPr>
          <w:trHeight w:val="368"/>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注：本表反映部门本年度一般公共预算财政拨款收入及支出情况。</w:t>
            </w:r>
            <w:r>
              <w:rPr>
                <w:rFonts w:ascii="宋体" w:hAnsi="宋体" w:cs="宋体" w:hint="eastAsia"/>
                <w:color w:val="000000"/>
                <w:kern w:val="0"/>
                <w:szCs w:val="21"/>
              </w:rPr>
              <w:t xml:space="preserve">      </w:t>
            </w:r>
          </w:p>
        </w:tc>
      </w:tr>
    </w:tbl>
    <w:p w:rsidR="005B018B" w:rsidRDefault="005B018B">
      <w:pPr>
        <w:widowControl/>
        <w:spacing w:after="0" w:line="560" w:lineRule="exact"/>
        <w:jc w:val="left"/>
        <w:rPr>
          <w:rFonts w:ascii="仿宋_GB2312" w:eastAsia="仿宋_GB2312" w:hAnsiTheme="majorEastAsia"/>
          <w:b/>
          <w:sz w:val="28"/>
          <w:szCs w:val="28"/>
          <w:highlight w:val="yellow"/>
        </w:rPr>
        <w:sectPr w:rsidR="005B018B">
          <w:pgSz w:w="11906" w:h="16838"/>
          <w:pgMar w:top="2098" w:right="1474" w:bottom="1984" w:left="1588" w:header="851" w:footer="992" w:gutter="0"/>
          <w:cols w:space="0"/>
          <w:docGrid w:type="lines" w:linePitch="312"/>
        </w:sectPr>
      </w:pPr>
    </w:p>
    <w:tbl>
      <w:tblPr>
        <w:tblW w:w="9180" w:type="dxa"/>
        <w:jc w:val="center"/>
        <w:tblLayout w:type="fixed"/>
        <w:tblCellMar>
          <w:left w:w="0" w:type="dxa"/>
          <w:right w:w="0" w:type="dxa"/>
        </w:tblCellMar>
        <w:tblLook w:val="04A0"/>
      </w:tblPr>
      <w:tblGrid>
        <w:gridCol w:w="558"/>
        <w:gridCol w:w="1597"/>
        <w:gridCol w:w="840"/>
        <w:gridCol w:w="477"/>
        <w:gridCol w:w="1763"/>
        <w:gridCol w:w="740"/>
        <w:gridCol w:w="560"/>
        <w:gridCol w:w="1788"/>
        <w:gridCol w:w="857"/>
      </w:tblGrid>
      <w:tr w:rsidR="005B018B">
        <w:trPr>
          <w:trHeight w:val="526"/>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一般公共预算财政拨款基本支出决算表</w:t>
            </w:r>
          </w:p>
        </w:tc>
      </w:tr>
      <w:tr w:rsidR="005B018B">
        <w:trPr>
          <w:trHeight w:val="269"/>
          <w:jc w:val="center"/>
        </w:trPr>
        <w:tc>
          <w:tcPr>
            <w:tcW w:w="558"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5B018B" w:rsidRDefault="00996F42">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w:t>
            </w:r>
            <w:r>
              <w:rPr>
                <w:rFonts w:ascii="宋体" w:hAnsi="宋体" w:cs="宋体" w:hint="eastAsia"/>
                <w:color w:val="000000"/>
                <w:kern w:val="0"/>
                <w:sz w:val="22"/>
                <w:szCs w:val="22"/>
              </w:rPr>
              <w:t>06</w:t>
            </w:r>
            <w:r>
              <w:rPr>
                <w:rFonts w:ascii="宋体" w:hAnsi="宋体" w:cs="宋体" w:hint="eastAsia"/>
                <w:color w:val="000000"/>
                <w:kern w:val="0"/>
                <w:sz w:val="22"/>
                <w:szCs w:val="22"/>
              </w:rPr>
              <w:t>表</w:t>
            </w:r>
          </w:p>
        </w:tc>
      </w:tr>
      <w:tr w:rsidR="005B018B">
        <w:trPr>
          <w:trHeight w:val="269"/>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5B018B" w:rsidRDefault="00996F42">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5B018B">
        <w:trPr>
          <w:trHeight w:val="277"/>
          <w:jc w:val="center"/>
        </w:trPr>
        <w:tc>
          <w:tcPr>
            <w:tcW w:w="2995"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人员经费</w:t>
            </w:r>
          </w:p>
        </w:tc>
        <w:tc>
          <w:tcPr>
            <w:tcW w:w="6185"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公用经费</w:t>
            </w:r>
          </w:p>
        </w:tc>
      </w:tr>
      <w:tr w:rsidR="005B018B">
        <w:trPr>
          <w:trHeight w:val="312"/>
          <w:jc w:val="center"/>
        </w:trPr>
        <w:tc>
          <w:tcPr>
            <w:tcW w:w="5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5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4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7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5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8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5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5B018B">
        <w:trPr>
          <w:trHeight w:val="312"/>
          <w:jc w:val="center"/>
        </w:trPr>
        <w:tc>
          <w:tcPr>
            <w:tcW w:w="5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uto"/>
              <w:jc w:val="center"/>
              <w:rPr>
                <w:rFonts w:ascii="宋体" w:hAnsi="宋体" w:cs="宋体"/>
                <w:color w:val="000000"/>
                <w:sz w:val="22"/>
                <w:szCs w:val="22"/>
              </w:rPr>
            </w:pPr>
          </w:p>
        </w:tc>
        <w:tc>
          <w:tcPr>
            <w:tcW w:w="15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uto"/>
              <w:jc w:val="center"/>
              <w:rPr>
                <w:rFonts w:ascii="宋体" w:hAnsi="宋体" w:cs="宋体"/>
                <w:color w:val="000000"/>
                <w:sz w:val="22"/>
                <w:szCs w:val="22"/>
              </w:rPr>
            </w:pPr>
          </w:p>
        </w:tc>
        <w:tc>
          <w:tcPr>
            <w:tcW w:w="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uto"/>
              <w:jc w:val="center"/>
              <w:rPr>
                <w:rFonts w:ascii="宋体" w:hAnsi="宋体" w:cs="宋体"/>
                <w:color w:val="000000"/>
                <w:sz w:val="22"/>
                <w:szCs w:val="22"/>
              </w:rPr>
            </w:pPr>
          </w:p>
        </w:tc>
        <w:tc>
          <w:tcPr>
            <w:tcW w:w="4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uto"/>
              <w:jc w:val="center"/>
              <w:rPr>
                <w:rFonts w:ascii="宋体" w:hAnsi="宋体" w:cs="宋体"/>
                <w:color w:val="000000"/>
                <w:sz w:val="22"/>
                <w:szCs w:val="22"/>
              </w:rPr>
            </w:pPr>
          </w:p>
        </w:tc>
        <w:tc>
          <w:tcPr>
            <w:tcW w:w="17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uto"/>
              <w:jc w:val="center"/>
              <w:rPr>
                <w:rFonts w:ascii="宋体" w:hAnsi="宋体" w:cs="宋体"/>
                <w:color w:val="000000"/>
                <w:sz w:val="22"/>
                <w:szCs w:val="22"/>
              </w:rPr>
            </w:pPr>
          </w:p>
        </w:tc>
        <w:tc>
          <w:tcPr>
            <w:tcW w:w="7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uto"/>
              <w:jc w:val="center"/>
              <w:rPr>
                <w:rFonts w:ascii="宋体" w:hAnsi="宋体" w:cs="宋体"/>
                <w:color w:val="000000"/>
                <w:sz w:val="22"/>
                <w:szCs w:val="22"/>
              </w:rPr>
            </w:pPr>
          </w:p>
        </w:tc>
        <w:tc>
          <w:tcPr>
            <w:tcW w:w="5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uto"/>
              <w:jc w:val="center"/>
              <w:rPr>
                <w:rFonts w:ascii="宋体" w:hAnsi="宋体" w:cs="宋体"/>
                <w:color w:val="000000"/>
                <w:sz w:val="22"/>
                <w:szCs w:val="22"/>
              </w:rPr>
            </w:pPr>
          </w:p>
        </w:tc>
        <w:tc>
          <w:tcPr>
            <w:tcW w:w="178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uto"/>
              <w:jc w:val="center"/>
              <w:rPr>
                <w:rFonts w:ascii="宋体" w:hAnsi="宋体" w:cs="宋体"/>
                <w:color w:val="000000"/>
                <w:sz w:val="22"/>
                <w:szCs w:val="22"/>
              </w:rPr>
            </w:pPr>
          </w:p>
        </w:tc>
        <w:tc>
          <w:tcPr>
            <w:tcW w:w="85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pacing w:after="0" w:line="240" w:lineRule="auto"/>
              <w:jc w:val="center"/>
              <w:rPr>
                <w:rFonts w:ascii="宋体" w:hAnsi="宋体" w:cs="宋体"/>
                <w:color w:val="000000"/>
                <w:sz w:val="22"/>
                <w:szCs w:val="22"/>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工资福利支出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244.70</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商品和服务支出</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140.07</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债务利息及费用支出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基本工资</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132.66</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办公费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11.67</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国内债务付息</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津贴补贴</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47.83</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印刷费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国外债务付息</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奖金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29.29</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咨询费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资本性支出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20"/>
                <w:szCs w:val="20"/>
              </w:rPr>
            </w:pPr>
            <w:r>
              <w:rPr>
                <w:rFonts w:ascii="宋体" w:hAnsi="宋体" w:cs="宋体" w:hint="eastAsia"/>
                <w:color w:val="000000"/>
                <w:sz w:val="20"/>
                <w:szCs w:val="20"/>
              </w:rPr>
              <w:t>13.67</w:t>
            </w: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伙食补助费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手续费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房屋建筑物购建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绩效工资</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34.93</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水费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1.11</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办公设备购置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20"/>
                <w:szCs w:val="20"/>
              </w:rPr>
            </w:pPr>
            <w:r>
              <w:rPr>
                <w:rFonts w:ascii="宋体" w:hAnsi="宋体" w:cs="宋体" w:hint="eastAsia"/>
                <w:color w:val="000000"/>
                <w:sz w:val="20"/>
                <w:szCs w:val="20"/>
              </w:rPr>
              <w:t>5.69</w:t>
            </w:r>
          </w:p>
        </w:tc>
      </w:tr>
      <w:tr w:rsidR="005B018B">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机关事业单位基本养老保险缴费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电费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13.69</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专用设备购置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职业年金缴费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邮电费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31005</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基础设施建设</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职工基本医疗保险缴费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取暖费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大型修缮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公务员医疗补助缴费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物业管理费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信息网络及软件购置更新</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20"/>
                <w:szCs w:val="20"/>
              </w:rPr>
            </w:pPr>
            <w:r>
              <w:rPr>
                <w:rFonts w:ascii="宋体" w:hAnsi="宋体" w:cs="宋体" w:hint="eastAsia"/>
                <w:color w:val="000000"/>
                <w:sz w:val="20"/>
                <w:szCs w:val="20"/>
              </w:rPr>
              <w:t>7.98</w:t>
            </w: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其他社会保障缴费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差旅费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1.49</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物资储备</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住房公积金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因公出国（境）费用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土地补偿</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医疗费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维修（护）费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27.68</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安置补助</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其他工资福利支出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租赁费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地上附着物和青苗补偿</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对个人和家庭的补助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会议费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拆迁补偿</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离休费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培训费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4.99</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公务用车购置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退休费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公务接待费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其他交通工具购置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退职（役）费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专用材料费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26.92</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31021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文物和陈列品购置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抚恤金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被装购置费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31022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无形资产购置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30305</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生活补助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专用燃料费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其他资本性支出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救济费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劳务费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39.57</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医疗费补助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委托业务费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赠与</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助学金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工会经费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国家赔偿费用支出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420"/>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奖励金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福利费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对民间非营利组织和群众性自治组织补贴</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个人农业生产补贴</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30231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公务用车运行维护费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其他对个人和家庭的补助支出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30239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其他交通费用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10.91</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30240</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税金及附加费用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30299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其他商品和服务支出</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2.05</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napToGrid w:val="0"/>
              <w:spacing w:after="0" w:line="240" w:lineRule="auto"/>
              <w:jc w:val="right"/>
              <w:rPr>
                <w:rFonts w:ascii="宋体" w:hAnsi="宋体" w:cs="宋体"/>
                <w:color w:val="000000"/>
                <w:sz w:val="20"/>
                <w:szCs w:val="20"/>
              </w:rPr>
            </w:pPr>
          </w:p>
        </w:tc>
      </w:tr>
      <w:tr w:rsidR="005B018B">
        <w:trPr>
          <w:trHeight w:val="317"/>
          <w:jc w:val="center"/>
        </w:trPr>
        <w:tc>
          <w:tcPr>
            <w:tcW w:w="2155"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rPr>
              <w:t>人员经费合计</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244.70</w:t>
            </w:r>
          </w:p>
        </w:tc>
        <w:tc>
          <w:tcPr>
            <w:tcW w:w="5328"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rPr>
              <w:t>公用经费合计</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153.74</w:t>
            </w:r>
          </w:p>
        </w:tc>
      </w:tr>
      <w:tr w:rsidR="005B018B">
        <w:trPr>
          <w:trHeight w:val="277"/>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注：本表反映部门本年度一般公共预算财政拨款基本支出明细情况。</w:t>
            </w:r>
            <w:r>
              <w:rPr>
                <w:rFonts w:ascii="宋体" w:hAnsi="宋体" w:cs="宋体" w:hint="eastAsia"/>
                <w:color w:val="000000"/>
                <w:kern w:val="0"/>
                <w:sz w:val="20"/>
                <w:szCs w:val="20"/>
              </w:rPr>
              <w:t xml:space="preserve">        </w:t>
            </w:r>
          </w:p>
        </w:tc>
      </w:tr>
    </w:tbl>
    <w:p w:rsidR="005B018B" w:rsidRDefault="005B018B">
      <w:pPr>
        <w:widowControl/>
        <w:spacing w:after="0" w:line="560" w:lineRule="exact"/>
        <w:jc w:val="left"/>
        <w:rPr>
          <w:rFonts w:ascii="仿宋_GB2312" w:eastAsia="仿宋_GB2312" w:hAnsiTheme="majorEastAsia"/>
          <w:b/>
          <w:sz w:val="28"/>
          <w:szCs w:val="28"/>
          <w:highlight w:val="yellow"/>
        </w:rPr>
        <w:sectPr w:rsidR="005B018B">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1158"/>
        <w:gridCol w:w="1527"/>
        <w:gridCol w:w="1528"/>
        <w:gridCol w:w="1530"/>
        <w:gridCol w:w="1530"/>
        <w:gridCol w:w="1527"/>
      </w:tblGrid>
      <w:tr w:rsidR="005B018B">
        <w:trPr>
          <w:trHeight w:val="584"/>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一般公共预算财政拨款“三公”经费支出决算表</w:t>
            </w:r>
          </w:p>
        </w:tc>
      </w:tr>
      <w:tr w:rsidR="005B018B">
        <w:trPr>
          <w:trHeight w:val="347"/>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07</w:t>
            </w:r>
            <w:r>
              <w:rPr>
                <w:rFonts w:ascii="宋体" w:hAnsi="宋体" w:cs="宋体" w:hint="eastAsia"/>
                <w:color w:val="000000"/>
                <w:kern w:val="0"/>
                <w:sz w:val="20"/>
                <w:szCs w:val="20"/>
              </w:rPr>
              <w:t>表</w:t>
            </w:r>
          </w:p>
        </w:tc>
      </w:tr>
      <w:tr w:rsidR="005B018B">
        <w:trPr>
          <w:trHeight w:val="347"/>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5B018B">
        <w:trPr>
          <w:trHeight w:val="482"/>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预算数</w:t>
            </w:r>
          </w:p>
        </w:tc>
      </w:tr>
      <w:tr w:rsidR="005B018B">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5B018B">
        <w:trPr>
          <w:trHeight w:val="686"/>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r>
      <w:tr w:rsidR="005B018B">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5B018B">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r>
      <w:tr w:rsidR="005B018B">
        <w:trPr>
          <w:trHeight w:val="498"/>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5B018B">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5B018B">
        <w:trPr>
          <w:trHeight w:val="672"/>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r>
      <w:tr w:rsidR="005B018B">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7</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8</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9</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10</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12</w:t>
            </w:r>
          </w:p>
        </w:tc>
      </w:tr>
      <w:tr w:rsidR="005B018B">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r>
      <w:tr w:rsidR="005B018B">
        <w:trPr>
          <w:trHeight w:val="782"/>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注：本表反映部门本年度“三公”经费支出预决算情况。其中：预算数为“三公”经费年初预算数，决算数是包括当年一般公共预算财政拨款和以前年度结转资金安排的实际支出。</w:t>
            </w:r>
            <w:r>
              <w:rPr>
                <w:rFonts w:ascii="宋体" w:hAnsi="宋体" w:cs="宋体" w:hint="eastAsia"/>
                <w:color w:val="000000"/>
                <w:kern w:val="0"/>
                <w:szCs w:val="21"/>
              </w:rPr>
              <w:t xml:space="preserve">  </w:t>
            </w:r>
            <w:r>
              <w:rPr>
                <w:rFonts w:ascii="宋体" w:hAnsi="宋体" w:cs="宋体" w:hint="eastAsia"/>
                <w:color w:val="000000"/>
                <w:kern w:val="0"/>
                <w:szCs w:val="21"/>
              </w:rPr>
              <w:t>本年无数据，以空表列示</w:t>
            </w:r>
            <w:r>
              <w:rPr>
                <w:rFonts w:ascii="宋体" w:hAnsi="宋体" w:cs="宋体" w:hint="eastAsia"/>
                <w:color w:val="000000"/>
                <w:kern w:val="0"/>
                <w:szCs w:val="21"/>
              </w:rPr>
              <w:t xml:space="preserve">         </w:t>
            </w:r>
          </w:p>
        </w:tc>
      </w:tr>
    </w:tbl>
    <w:p w:rsidR="005B018B" w:rsidRDefault="005B018B">
      <w:pPr>
        <w:widowControl/>
        <w:spacing w:after="0" w:line="560" w:lineRule="exact"/>
        <w:jc w:val="left"/>
        <w:rPr>
          <w:rFonts w:ascii="仿宋_GB2312" w:eastAsia="仿宋_GB2312" w:hAnsiTheme="majorEastAsia"/>
          <w:b/>
          <w:sz w:val="28"/>
          <w:szCs w:val="28"/>
          <w:highlight w:val="yellow"/>
        </w:rPr>
        <w:sectPr w:rsidR="005B018B">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296"/>
        <w:gridCol w:w="191"/>
        <w:gridCol w:w="479"/>
        <w:gridCol w:w="669"/>
        <w:gridCol w:w="376"/>
        <w:gridCol w:w="1166"/>
        <w:gridCol w:w="840"/>
        <w:gridCol w:w="1191"/>
        <w:gridCol w:w="1192"/>
        <w:gridCol w:w="1192"/>
        <w:gridCol w:w="1268"/>
      </w:tblGrid>
      <w:tr w:rsidR="005B018B">
        <w:trPr>
          <w:trHeight w:val="707"/>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黑体" w:eastAsia="黑体" w:hAnsi="宋体" w:cs="黑体"/>
                <w:color w:val="000000"/>
                <w:sz w:val="36"/>
                <w:szCs w:val="36"/>
              </w:rPr>
            </w:pPr>
            <w:r>
              <w:rPr>
                <w:rFonts w:ascii="黑体" w:eastAsia="黑体" w:hAnsi="宋体" w:cs="黑体" w:hint="eastAsia"/>
                <w:color w:val="000000"/>
                <w:kern w:val="0"/>
                <w:sz w:val="36"/>
                <w:szCs w:val="36"/>
              </w:rPr>
              <w:lastRenderedPageBreak/>
              <w:t>政府性基金预算财政拨款收入支出决算表</w:t>
            </w:r>
          </w:p>
        </w:tc>
      </w:tr>
      <w:tr w:rsidR="005B018B">
        <w:trPr>
          <w:trHeight w:val="315"/>
        </w:trPr>
        <w:tc>
          <w:tcPr>
            <w:tcW w:w="296"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08</w:t>
            </w:r>
            <w:r>
              <w:rPr>
                <w:rFonts w:ascii="宋体" w:hAnsi="宋体" w:cs="宋体" w:hint="eastAsia"/>
                <w:color w:val="000000"/>
                <w:kern w:val="0"/>
                <w:szCs w:val="21"/>
              </w:rPr>
              <w:t>表</w:t>
            </w:r>
          </w:p>
        </w:tc>
      </w:tr>
      <w:tr w:rsidR="005B018B">
        <w:trPr>
          <w:trHeight w:val="411"/>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84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5B018B">
        <w:trPr>
          <w:trHeight w:val="324"/>
        </w:trPr>
        <w:tc>
          <w:tcPr>
            <w:tcW w:w="2011"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16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年初结转和结余</w:t>
            </w:r>
          </w:p>
        </w:tc>
        <w:tc>
          <w:tcPr>
            <w:tcW w:w="84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本年收入</w:t>
            </w:r>
          </w:p>
        </w:tc>
        <w:tc>
          <w:tcPr>
            <w:tcW w:w="357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本年支出</w:t>
            </w:r>
          </w:p>
        </w:tc>
        <w:tc>
          <w:tcPr>
            <w:tcW w:w="126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年末结转和结余</w:t>
            </w:r>
          </w:p>
        </w:tc>
      </w:tr>
      <w:tr w:rsidR="005B018B">
        <w:trPr>
          <w:trHeight w:val="324"/>
        </w:trPr>
        <w:tc>
          <w:tcPr>
            <w:tcW w:w="96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045" w:type="dxa"/>
            <w:gridSpan w:val="2"/>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r>
      <w:tr w:rsidR="005B018B">
        <w:trPr>
          <w:trHeight w:val="324"/>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r>
      <w:tr w:rsidR="005B018B">
        <w:trPr>
          <w:trHeight w:val="312"/>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5B018B">
            <w:pPr>
              <w:widowControl/>
              <w:adjustRightInd w:val="0"/>
              <w:spacing w:after="0" w:line="240" w:lineRule="auto"/>
              <w:jc w:val="center"/>
              <w:rPr>
                <w:rFonts w:ascii="宋体" w:hAnsi="宋体" w:cs="宋体"/>
                <w:color w:val="000000"/>
                <w:szCs w:val="21"/>
              </w:rPr>
            </w:pPr>
          </w:p>
        </w:tc>
      </w:tr>
      <w:tr w:rsidR="005B018B">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5B018B">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b/>
                <w:color w:val="000000"/>
                <w:szCs w:val="21"/>
              </w:rPr>
            </w:pPr>
          </w:p>
        </w:tc>
      </w:tr>
      <w:tr w:rsidR="005B018B">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r>
      <w:tr w:rsidR="005B018B">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r>
      <w:tr w:rsidR="005B018B">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r>
      <w:tr w:rsidR="005B018B">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r>
      <w:tr w:rsidR="005B018B">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r>
      <w:tr w:rsidR="005B018B">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r>
      <w:tr w:rsidR="005B018B">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r>
      <w:tr w:rsidR="005B018B">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r>
      <w:tr w:rsidR="005B018B">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r>
      <w:tr w:rsidR="005B018B">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pacing w:after="0" w:line="240" w:lineRule="auto"/>
              <w:jc w:val="right"/>
              <w:rPr>
                <w:rFonts w:ascii="宋体" w:hAnsi="宋体" w:cs="宋体"/>
                <w:color w:val="000000"/>
                <w:szCs w:val="21"/>
              </w:rPr>
            </w:pPr>
          </w:p>
        </w:tc>
      </w:tr>
      <w:tr w:rsidR="005B018B">
        <w:trPr>
          <w:trHeight w:val="324"/>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注：本表反映部门本年度政府性基金预算财政拨款收入、支出及结转和结余情况。</w:t>
            </w:r>
            <w:r>
              <w:rPr>
                <w:rFonts w:ascii="宋体" w:hAnsi="宋体" w:cs="宋体" w:hint="eastAsia"/>
                <w:color w:val="000000"/>
                <w:kern w:val="0"/>
                <w:szCs w:val="21"/>
              </w:rPr>
              <w:t xml:space="preserve"> </w:t>
            </w:r>
            <w:r>
              <w:rPr>
                <w:rFonts w:ascii="宋体" w:hAnsi="宋体" w:cs="宋体" w:hint="eastAsia"/>
                <w:color w:val="000000"/>
                <w:kern w:val="0"/>
                <w:szCs w:val="21"/>
              </w:rPr>
              <w:t>本单位本表今年无数据，以空表列示</w:t>
            </w:r>
            <w:r>
              <w:rPr>
                <w:rFonts w:ascii="宋体" w:hAnsi="宋体" w:cs="宋体" w:hint="eastAsia"/>
                <w:color w:val="000000"/>
                <w:kern w:val="0"/>
                <w:szCs w:val="21"/>
              </w:rPr>
              <w:t xml:space="preserve">    </w:t>
            </w:r>
          </w:p>
        </w:tc>
      </w:tr>
    </w:tbl>
    <w:p w:rsidR="005B018B" w:rsidRDefault="005B018B">
      <w:pPr>
        <w:widowControl/>
        <w:spacing w:after="0" w:line="560" w:lineRule="exact"/>
        <w:jc w:val="left"/>
        <w:rPr>
          <w:rFonts w:ascii="仿宋_GB2312" w:eastAsia="仿宋_GB2312" w:hAnsiTheme="majorEastAsia"/>
          <w:b/>
          <w:sz w:val="28"/>
          <w:szCs w:val="28"/>
          <w:highlight w:val="yellow"/>
        </w:rPr>
        <w:sectPr w:rsidR="005B018B">
          <w:pgSz w:w="11906" w:h="16838"/>
          <w:pgMar w:top="2098" w:right="1474" w:bottom="1984" w:left="1588" w:header="851" w:footer="992" w:gutter="0"/>
          <w:cols w:space="0"/>
          <w:docGrid w:type="lines" w:linePitch="312"/>
        </w:sectPr>
      </w:pPr>
    </w:p>
    <w:tbl>
      <w:tblPr>
        <w:tblW w:w="8800" w:type="dxa"/>
        <w:tblLayout w:type="fixed"/>
        <w:tblCellMar>
          <w:left w:w="0" w:type="dxa"/>
          <w:right w:w="0" w:type="dxa"/>
        </w:tblCellMar>
        <w:tblLook w:val="04A0"/>
      </w:tblPr>
      <w:tblGrid>
        <w:gridCol w:w="442"/>
        <w:gridCol w:w="208"/>
        <w:gridCol w:w="504"/>
        <w:gridCol w:w="274"/>
        <w:gridCol w:w="894"/>
        <w:gridCol w:w="783"/>
        <w:gridCol w:w="252"/>
        <w:gridCol w:w="1646"/>
        <w:gridCol w:w="359"/>
        <w:gridCol w:w="1539"/>
        <w:gridCol w:w="1899"/>
      </w:tblGrid>
      <w:tr w:rsidR="005B018B">
        <w:trPr>
          <w:trHeight w:val="656"/>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国有资本经营预算财政拨款支出决算表</w:t>
            </w:r>
          </w:p>
        </w:tc>
      </w:tr>
      <w:tr w:rsidR="005B018B">
        <w:trPr>
          <w:trHeight w:val="335"/>
        </w:trPr>
        <w:tc>
          <w:tcPr>
            <w:tcW w:w="442"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w:t>
            </w:r>
            <w:r>
              <w:rPr>
                <w:rFonts w:ascii="宋体" w:hAnsi="宋体" w:cs="宋体" w:hint="eastAsia"/>
                <w:color w:val="000000"/>
                <w:kern w:val="0"/>
                <w:sz w:val="22"/>
                <w:szCs w:val="22"/>
              </w:rPr>
              <w:t>09</w:t>
            </w:r>
            <w:r>
              <w:rPr>
                <w:rFonts w:ascii="宋体" w:hAnsi="宋体" w:cs="宋体" w:hint="eastAsia"/>
                <w:color w:val="000000"/>
                <w:kern w:val="0"/>
                <w:sz w:val="22"/>
                <w:szCs w:val="22"/>
              </w:rPr>
              <w:t>表</w:t>
            </w:r>
          </w:p>
        </w:tc>
      </w:tr>
      <w:tr w:rsidR="005B018B">
        <w:trPr>
          <w:trHeight w:val="335"/>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5B018B">
        <w:trPr>
          <w:trHeight w:val="358"/>
        </w:trPr>
        <w:tc>
          <w:tcPr>
            <w:tcW w:w="3105" w:type="dxa"/>
            <w:gridSpan w:val="6"/>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w:t>
            </w:r>
          </w:p>
        </w:tc>
        <w:tc>
          <w:tcPr>
            <w:tcW w:w="5695"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本年支出</w:t>
            </w:r>
          </w:p>
        </w:tc>
      </w:tr>
      <w:tr w:rsidR="005B018B">
        <w:trPr>
          <w:trHeight w:val="82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功能分类科目编码</w:t>
            </w: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科目名称</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小计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基本支出</w:t>
            </w: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项目支出</w:t>
            </w:r>
          </w:p>
        </w:tc>
      </w:tr>
      <w:tr w:rsidR="005B018B">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栏次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1</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2</w:t>
            </w: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3</w:t>
            </w:r>
          </w:p>
        </w:tc>
      </w:tr>
      <w:tr w:rsidR="005B018B">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合计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r>
      <w:tr w:rsidR="005B018B">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r>
      <w:tr w:rsidR="005B018B">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r>
      <w:tr w:rsidR="005B018B">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r>
      <w:tr w:rsidR="005B018B">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r>
      <w:tr w:rsidR="005B018B">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r>
      <w:tr w:rsidR="005B018B">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spacing w:after="0" w:line="240" w:lineRule="auto"/>
              <w:jc w:val="right"/>
              <w:rPr>
                <w:rFonts w:ascii="宋体" w:hAnsi="宋体" w:cs="宋体"/>
                <w:color w:val="000000"/>
                <w:sz w:val="22"/>
                <w:szCs w:val="22"/>
              </w:rPr>
            </w:pPr>
          </w:p>
        </w:tc>
      </w:tr>
      <w:tr w:rsidR="005B018B">
        <w:trPr>
          <w:trHeight w:val="358"/>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5B018B" w:rsidRDefault="00996F42">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注：本表反映部门本年度国有资本经营预算财政拨款支出情况。</w:t>
            </w:r>
            <w:r>
              <w:rPr>
                <w:rFonts w:ascii="宋体" w:hAnsi="宋体" w:cs="宋体" w:hint="eastAsia"/>
                <w:color w:val="000000"/>
                <w:kern w:val="0"/>
                <w:szCs w:val="21"/>
              </w:rPr>
              <w:t>本单位本表今年无数据，以空表列示</w:t>
            </w:r>
            <w:r>
              <w:rPr>
                <w:rFonts w:ascii="宋体" w:hAnsi="宋体" w:cs="宋体" w:hint="eastAsia"/>
                <w:color w:val="000000"/>
                <w:kern w:val="0"/>
                <w:szCs w:val="21"/>
              </w:rPr>
              <w:t xml:space="preserve">    </w:t>
            </w:r>
          </w:p>
        </w:tc>
      </w:tr>
    </w:tbl>
    <w:p w:rsidR="005B018B" w:rsidRDefault="005B018B">
      <w:pPr>
        <w:widowControl/>
        <w:spacing w:after="0" w:line="560" w:lineRule="exact"/>
        <w:jc w:val="left"/>
        <w:rPr>
          <w:rFonts w:ascii="仿宋_GB2312" w:eastAsia="仿宋_GB2312" w:hAnsiTheme="majorEastAsia"/>
          <w:b/>
          <w:sz w:val="28"/>
          <w:szCs w:val="28"/>
          <w:highlight w:val="yellow"/>
        </w:rPr>
        <w:sectPr w:rsidR="005B018B">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901"/>
        <w:gridCol w:w="1203"/>
        <w:gridCol w:w="790"/>
        <w:gridCol w:w="362"/>
        <w:gridCol w:w="911"/>
        <w:gridCol w:w="241"/>
        <w:gridCol w:w="1032"/>
        <w:gridCol w:w="120"/>
        <w:gridCol w:w="1154"/>
        <w:gridCol w:w="1226"/>
      </w:tblGrid>
      <w:tr w:rsidR="005B018B">
        <w:trPr>
          <w:trHeight w:val="635"/>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政府采购情况表</w:t>
            </w:r>
          </w:p>
        </w:tc>
      </w:tr>
      <w:tr w:rsidR="005B018B">
        <w:trPr>
          <w:trHeight w:val="326"/>
        </w:trPr>
        <w:tc>
          <w:tcPr>
            <w:tcW w:w="1901"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10</w:t>
            </w:r>
            <w:r>
              <w:rPr>
                <w:rFonts w:ascii="宋体" w:hAnsi="宋体" w:cs="宋体" w:hint="eastAsia"/>
                <w:color w:val="000000"/>
                <w:kern w:val="0"/>
                <w:szCs w:val="21"/>
              </w:rPr>
              <w:t>表</w:t>
            </w:r>
          </w:p>
        </w:tc>
      </w:tr>
      <w:tr w:rsidR="005B018B">
        <w:trPr>
          <w:trHeight w:val="360"/>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5B018B">
        <w:trPr>
          <w:trHeight w:val="309"/>
        </w:trPr>
        <w:tc>
          <w:tcPr>
            <w:tcW w:w="1901"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采购计划金额</w:t>
            </w:r>
          </w:p>
        </w:tc>
      </w:tr>
      <w:tr w:rsidR="005B018B">
        <w:trPr>
          <w:trHeight w:val="398"/>
        </w:trPr>
        <w:tc>
          <w:tcPr>
            <w:tcW w:w="190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5B018B">
        <w:trPr>
          <w:trHeight w:val="473"/>
        </w:trPr>
        <w:tc>
          <w:tcPr>
            <w:tcW w:w="190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r>
      <w:tr w:rsidR="005B018B">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5B018B">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w:t>
            </w:r>
            <w:r>
              <w:rPr>
                <w:rFonts w:ascii="宋体" w:hAnsi="宋体" w:cs="宋体" w:hint="eastAsia"/>
                <w:color w:val="000000"/>
                <w:kern w:val="0"/>
                <w:szCs w:val="21"/>
              </w:rPr>
              <w:t xml:space="preserve">       </w:t>
            </w:r>
            <w:r>
              <w:rPr>
                <w:rFonts w:ascii="宋体" w:hAnsi="宋体" w:cs="宋体" w:hint="eastAsia"/>
                <w:color w:val="000000"/>
                <w:kern w:val="0"/>
                <w:szCs w:val="21"/>
              </w:rPr>
              <w:t>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r>
      <w:tr w:rsidR="005B018B">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r>
      <w:tr w:rsidR="005B018B">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r>
      <w:tr w:rsidR="005B018B">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r>
      <w:tr w:rsidR="005B018B">
        <w:trPr>
          <w:trHeight w:val="309"/>
        </w:trPr>
        <w:tc>
          <w:tcPr>
            <w:tcW w:w="1901" w:type="dxa"/>
            <w:vMerge w:val="restart"/>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实际采购金额</w:t>
            </w:r>
          </w:p>
        </w:tc>
      </w:tr>
      <w:tr w:rsidR="005B018B">
        <w:trPr>
          <w:trHeight w:val="350"/>
        </w:trPr>
        <w:tc>
          <w:tcPr>
            <w:tcW w:w="1901" w:type="dxa"/>
            <w:vMerge/>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5B018B">
        <w:trPr>
          <w:trHeight w:val="543"/>
        </w:trPr>
        <w:tc>
          <w:tcPr>
            <w:tcW w:w="1901" w:type="dxa"/>
            <w:vMerge/>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center"/>
              <w:rPr>
                <w:rFonts w:ascii="宋体" w:hAnsi="宋体" w:cs="宋体"/>
                <w:color w:val="000000"/>
                <w:szCs w:val="21"/>
              </w:rPr>
            </w:pPr>
          </w:p>
        </w:tc>
      </w:tr>
      <w:tr w:rsidR="005B018B">
        <w:trPr>
          <w:trHeight w:val="309"/>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5B018B">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w:t>
            </w:r>
            <w:r>
              <w:rPr>
                <w:rFonts w:ascii="宋体" w:hAnsi="宋体" w:cs="宋体" w:hint="eastAsia"/>
                <w:color w:val="000000"/>
                <w:kern w:val="0"/>
                <w:szCs w:val="21"/>
              </w:rPr>
              <w:t xml:space="preserve">       </w:t>
            </w:r>
            <w:r>
              <w:rPr>
                <w:rFonts w:ascii="宋体" w:hAnsi="宋体" w:cs="宋体" w:hint="eastAsia"/>
                <w:color w:val="000000"/>
                <w:kern w:val="0"/>
                <w:szCs w:val="21"/>
              </w:rPr>
              <w:t>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r>
      <w:tr w:rsidR="005B018B">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r>
      <w:tr w:rsidR="005B018B">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r>
      <w:tr w:rsidR="005B018B">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5B018B" w:rsidRDefault="005B018B">
            <w:pPr>
              <w:widowControl/>
              <w:adjustRightInd w:val="0"/>
              <w:snapToGrid w:val="0"/>
              <w:spacing w:after="0" w:line="240" w:lineRule="auto"/>
              <w:jc w:val="right"/>
              <w:rPr>
                <w:rFonts w:ascii="宋体" w:hAnsi="宋体" w:cs="宋体"/>
                <w:color w:val="000000"/>
                <w:szCs w:val="21"/>
              </w:rPr>
            </w:pPr>
          </w:p>
        </w:tc>
      </w:tr>
      <w:tr w:rsidR="005B018B">
        <w:trPr>
          <w:trHeight w:val="398"/>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rsidR="005B018B" w:rsidRDefault="00996F42">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注：本表反映部门本年度纳入部门预算范围的政府采购预算及支出情况。本单位本表今年无数据，以空表列示</w:t>
            </w:r>
            <w:r>
              <w:rPr>
                <w:rFonts w:ascii="宋体" w:hAnsi="宋体" w:cs="宋体" w:hint="eastAsia"/>
                <w:color w:val="000000"/>
                <w:kern w:val="0"/>
                <w:szCs w:val="21"/>
              </w:rPr>
              <w:t xml:space="preserve">        </w:t>
            </w:r>
          </w:p>
        </w:tc>
      </w:tr>
    </w:tbl>
    <w:p w:rsidR="005B018B" w:rsidRDefault="005B018B">
      <w:pPr>
        <w:widowControl/>
        <w:spacing w:after="0" w:line="560" w:lineRule="exact"/>
        <w:jc w:val="left"/>
        <w:rPr>
          <w:rFonts w:ascii="仿宋_GB2312" w:eastAsia="仿宋_GB2312" w:hAnsiTheme="majorEastAsia"/>
          <w:b/>
          <w:sz w:val="28"/>
          <w:szCs w:val="28"/>
          <w:highlight w:val="yellow"/>
        </w:rPr>
      </w:pPr>
    </w:p>
    <w:p w:rsidR="005B018B" w:rsidRDefault="005B018B"/>
    <w:p w:rsidR="005B018B" w:rsidRDefault="005B018B"/>
    <w:p w:rsidR="005B018B" w:rsidRDefault="005B018B"/>
    <w:p w:rsidR="005B018B" w:rsidRDefault="005B018B"/>
    <w:p w:rsidR="005B018B" w:rsidRDefault="00996F42">
      <w:pPr>
        <w:tabs>
          <w:tab w:val="left" w:pos="1086"/>
        </w:tabs>
        <w:jc w:val="left"/>
        <w:rPr>
          <w:rFonts w:ascii="仿宋_GB2312" w:eastAsia="仿宋_GB2312" w:hAnsiTheme="majorEastAsia"/>
          <w:b/>
          <w:sz w:val="28"/>
          <w:szCs w:val="28"/>
          <w:highlight w:val="yellow"/>
        </w:rPr>
        <w:sectPr w:rsidR="005B018B">
          <w:pgSz w:w="11906" w:h="16838"/>
          <w:pgMar w:top="2098" w:right="1474" w:bottom="1984" w:left="1588" w:header="851" w:footer="992" w:gutter="0"/>
          <w:cols w:space="0"/>
          <w:docGrid w:type="lines" w:linePitch="312"/>
        </w:sectPr>
      </w:pPr>
      <w:r>
        <w:rPr>
          <w:rFonts w:hint="eastAsia"/>
        </w:rPr>
        <w:tab/>
      </w:r>
    </w:p>
    <w:p w:rsidR="005B018B" w:rsidRDefault="00996F42">
      <w:pPr>
        <w:rPr>
          <w:rFonts w:ascii="宋体" w:hAnsi="宋体" w:cs="ArialUnicodeMS"/>
          <w:color w:val="000000"/>
          <w:kern w:val="0"/>
        </w:rPr>
        <w:sectPr w:rsidR="005B018B">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cstate="print"/>
                    <a:stretch>
                      <a:fillRect/>
                    </a:stretch>
                  </pic:blipFill>
                  <pic:spPr>
                    <a:xfrm>
                      <a:off x="0" y="0"/>
                      <a:ext cx="7550150" cy="10680065"/>
                    </a:xfrm>
                    <a:prstGeom prst="rect">
                      <a:avLst/>
                    </a:prstGeom>
                  </pic:spPr>
                </pic:pic>
              </a:graphicData>
            </a:graphic>
          </wp:anchor>
        </w:drawing>
      </w:r>
      <w:r w:rsidR="005B018B" w:rsidRPr="005B018B">
        <w:rPr>
          <w:sz w:val="72"/>
        </w:rPr>
        <w:pict>
          <v:shape id="_x0000_s1043" type="#_x0000_t202" style="position:absolute;left:0;text-align:left;margin-left:-78.7pt;margin-top:232.8pt;width:596.2pt;height:159.1pt;z-index:251664384;mso-position-horizontal-relative:text;mso-position-vertical-relative:text;mso-width-relative:page;mso-height-relative:page"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filled="f" stroked="f" strokeweight=".5pt">
            <v:textbox>
              <w:txbxContent>
                <w:p w:rsidR="005B018B" w:rsidRDefault="00996F4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第三部分</w:t>
                  </w:r>
                </w:p>
                <w:p w:rsidR="005B018B" w:rsidRDefault="00996F42">
                  <w:pPr>
                    <w:widowControl/>
                    <w:spacing w:line="1200" w:lineRule="exact"/>
                    <w:jc w:val="center"/>
                    <w:rPr>
                      <w:color w:val="FDEFBE"/>
                      <w:sz w:val="96"/>
                      <w:szCs w:val="96"/>
                    </w:rPr>
                  </w:pPr>
                  <w:r>
                    <w:rPr>
                      <w:rFonts w:asciiTheme="minorEastAsia" w:eastAsiaTheme="minorEastAsia" w:hAnsi="宋体" w:hint="eastAsia"/>
                      <w:color w:val="FDEFBE"/>
                      <w:sz w:val="96"/>
                      <w:szCs w:val="96"/>
                    </w:rPr>
                    <w:t>部门决算情况说明</w:t>
                  </w:r>
                </w:p>
              </w:txbxContent>
            </v:textbox>
          </v:shape>
        </w:pict>
      </w:r>
    </w:p>
    <w:p w:rsidR="005B018B" w:rsidRDefault="00996F42">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一、收入</w:t>
      </w:r>
      <w:r>
        <w:rPr>
          <w:rFonts w:ascii="黑体" w:eastAsia="黑体" w:hAnsiTheme="minorHAnsi" w:cs="黑体" w:hint="eastAsia"/>
          <w:b w:val="0"/>
          <w:bCs w:val="0"/>
          <w:kern w:val="0"/>
        </w:rPr>
        <w:t>支出</w:t>
      </w:r>
      <w:r>
        <w:rPr>
          <w:rFonts w:ascii="黑体" w:eastAsia="黑体" w:hint="eastAsia"/>
          <w:b w:val="0"/>
          <w:bCs w:val="0"/>
        </w:rPr>
        <w:t>决算总体情况说明</w:t>
      </w:r>
    </w:p>
    <w:p w:rsidR="005B018B" w:rsidRDefault="00996F4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年度收支总计（含结转和结余）</w:t>
      </w:r>
      <w:r>
        <w:rPr>
          <w:rFonts w:ascii="仿宋_GB2312" w:eastAsia="仿宋_GB2312" w:cs="DengXian-Regular" w:hint="eastAsia"/>
          <w:sz w:val="32"/>
          <w:szCs w:val="32"/>
        </w:rPr>
        <w:t>3</w:t>
      </w:r>
      <w:r>
        <w:rPr>
          <w:rFonts w:ascii="宋体" w:hAnsi="宋体" w:cs="宋体" w:hint="eastAsia"/>
          <w:sz w:val="32"/>
          <w:szCs w:val="32"/>
        </w:rPr>
        <w:t>99.72</w:t>
      </w:r>
      <w:r>
        <w:rPr>
          <w:rFonts w:ascii="仿宋_GB2312" w:eastAsia="仿宋_GB2312" w:cs="DengXian-Regular" w:hint="eastAsia"/>
          <w:sz w:val="32"/>
          <w:szCs w:val="32"/>
        </w:rPr>
        <w:t>万元。与</w:t>
      </w:r>
      <w:r>
        <w:rPr>
          <w:rFonts w:ascii="仿宋_GB2312" w:eastAsia="仿宋_GB2312" w:cs="DengXian-Regular" w:hint="eastAsia"/>
          <w:sz w:val="32"/>
          <w:szCs w:val="32"/>
        </w:rPr>
        <w:t>2017</w:t>
      </w:r>
      <w:r>
        <w:rPr>
          <w:rFonts w:ascii="仿宋_GB2312" w:eastAsia="仿宋_GB2312" w:cs="DengXian-Regular" w:hint="eastAsia"/>
          <w:sz w:val="32"/>
          <w:szCs w:val="32"/>
        </w:rPr>
        <w:t>年度决算相比，收支各增加</w:t>
      </w:r>
      <w:r>
        <w:rPr>
          <w:rFonts w:ascii="仿宋_GB2312" w:eastAsia="仿宋_GB2312" w:cs="DengXian-Regular" w:hint="eastAsia"/>
          <w:sz w:val="32"/>
          <w:szCs w:val="32"/>
        </w:rPr>
        <w:t>268.0</w:t>
      </w:r>
      <w:r>
        <w:rPr>
          <w:rFonts w:asciiTheme="minorEastAsia" w:eastAsiaTheme="minorEastAsia" w:hAnsiTheme="minorEastAsia" w:cs="DengXian-Regular" w:hint="eastAsia"/>
          <w:sz w:val="32"/>
          <w:szCs w:val="32"/>
        </w:rPr>
        <w:t>3</w:t>
      </w:r>
      <w:r>
        <w:rPr>
          <w:rFonts w:ascii="仿宋_GB2312" w:eastAsia="仿宋_GB2312" w:cs="DengXian-Regular" w:hint="eastAsia"/>
          <w:sz w:val="32"/>
          <w:szCs w:val="32"/>
        </w:rPr>
        <w:t>万元，增长</w:t>
      </w:r>
      <w:r>
        <w:rPr>
          <w:rFonts w:ascii="仿宋_GB2312" w:eastAsia="仿宋_GB2312" w:cs="DengXian-Regular" w:hint="eastAsia"/>
          <w:sz w:val="32"/>
          <w:szCs w:val="32"/>
        </w:rPr>
        <w:t>67.05%</w:t>
      </w:r>
      <w:r>
        <w:rPr>
          <w:rFonts w:ascii="仿宋_GB2312" w:eastAsia="仿宋_GB2312" w:cs="DengXian-Regular" w:hint="eastAsia"/>
          <w:sz w:val="32"/>
          <w:szCs w:val="32"/>
        </w:rPr>
        <w:t>，主要原因是人员增加、业务增加。</w:t>
      </w:r>
    </w:p>
    <w:p w:rsidR="005B018B" w:rsidRDefault="00996F42">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rsidR="005B018B" w:rsidRDefault="00996F42">
      <w:pPr>
        <w:adjustRightInd w:val="0"/>
        <w:snapToGrid w:val="0"/>
        <w:spacing w:after="0" w:line="580" w:lineRule="exact"/>
        <w:ind w:firstLineChars="200" w:firstLine="640"/>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年度本年收入合计</w:t>
      </w:r>
      <w:r>
        <w:rPr>
          <w:rFonts w:ascii="仿宋_GB2312" w:eastAsia="仿宋_GB2312" w:cs="DengXian-Regular" w:hint="eastAsia"/>
          <w:sz w:val="32"/>
          <w:szCs w:val="32"/>
        </w:rPr>
        <w:t>385.30</w:t>
      </w:r>
      <w:r>
        <w:rPr>
          <w:rFonts w:ascii="仿宋_GB2312" w:eastAsia="仿宋_GB2312" w:cs="DengXian-Regular" w:hint="eastAsia"/>
          <w:sz w:val="32"/>
          <w:szCs w:val="32"/>
        </w:rPr>
        <w:t>万元，其中：财政拨款收入</w:t>
      </w:r>
      <w:r>
        <w:rPr>
          <w:rFonts w:ascii="仿宋_GB2312" w:eastAsia="仿宋_GB2312" w:cs="DengXian-Regular" w:hint="eastAsia"/>
          <w:sz w:val="32"/>
          <w:szCs w:val="32"/>
        </w:rPr>
        <w:t>385.30</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w:t>
      </w:r>
      <w:r w:rsidR="005B018B">
        <w:pict>
          <v:group id="_x0000_s1040" style="position:absolute;left:0;text-align:left;margin-left:73.8pt;margin-top:8.3pt;width:303.05pt;height:247.35pt;z-index:251669504;mso-position-horizontal-relative:text;mso-position-vertical-relative:text" coordorigin="6817,180097" coordsize="5156,-105076409320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2" type="#_x0000_t75" style="position:absolute;left:6817;top:180097;width:5156;height:285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imagedata r:id="rId12" o:title="" croptop="1490f" cropbottom="5217f" cropleft="2131f" cropright="1218f"/>
            </v:shape>
            <v:shape id="_x0000_s1041" type="#_x0000_t202" style="position:absolute;left:7658;top:182920;width:3303;height:421"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stroked="f" strokeweight=".5pt">
              <v:textbox>
                <w:txbxContent>
                  <w:p w:rsidR="005B018B" w:rsidRDefault="00996F42">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w:t>
                    </w:r>
                    <w:r>
                      <w:rPr>
                        <w:rFonts w:ascii="仿宋_GB2312" w:eastAsia="仿宋_GB2312" w:cs="DengXian-Regular" w:hint="eastAsia"/>
                        <w:sz w:val="28"/>
                        <w:szCs w:val="28"/>
                      </w:rPr>
                      <w:t>1</w:t>
                    </w:r>
                    <w:r>
                      <w:rPr>
                        <w:rFonts w:ascii="仿宋_GB2312" w:eastAsia="仿宋_GB2312" w:cs="DengXian-Regular" w:hint="eastAsia"/>
                        <w:sz w:val="28"/>
                        <w:szCs w:val="28"/>
                      </w:rPr>
                      <w:t>：收入构成情况</w:t>
                    </w:r>
                  </w:p>
                  <w:p w:rsidR="005B018B" w:rsidRDefault="005B018B">
                    <w:pPr>
                      <w:rPr>
                        <w:sz w:val="20"/>
                        <w:szCs w:val="22"/>
                      </w:rPr>
                    </w:pPr>
                  </w:p>
                </w:txbxContent>
              </v:textbox>
            </v:shape>
          </v:group>
        </w:pict>
      </w:r>
    </w:p>
    <w:p w:rsidR="005B018B" w:rsidRDefault="00996F42">
      <w:pPr>
        <w:pStyle w:val="2"/>
        <w:spacing w:before="0" w:after="0" w:line="580" w:lineRule="exact"/>
        <w:ind w:firstLineChars="200" w:firstLine="643"/>
        <w:rPr>
          <w:rFonts w:ascii="黑体" w:eastAsia="黑体"/>
          <w:b w:val="0"/>
          <w:bCs w:val="0"/>
        </w:rPr>
      </w:pPr>
      <w:r>
        <w:rPr>
          <w:noProof/>
        </w:rPr>
        <w:drawing>
          <wp:anchor distT="0" distB="0" distL="114300" distR="114300" simplePos="0" relativeHeight="251675648" behindDoc="0" locked="0" layoutInCell="1" allowOverlap="1">
            <wp:simplePos x="0" y="0"/>
            <wp:positionH relativeFrom="column">
              <wp:posOffset>520700</wp:posOffset>
            </wp:positionH>
            <wp:positionV relativeFrom="paragraph">
              <wp:posOffset>270510</wp:posOffset>
            </wp:positionV>
            <wp:extent cx="4356100" cy="2308225"/>
            <wp:effectExtent l="47625" t="4445" r="53975" b="106680"/>
            <wp:wrapTopAndBottom/>
            <wp:docPr id="3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Pr>
          <w:rFonts w:ascii="黑体" w:eastAsia="黑体" w:hint="eastAsia"/>
          <w:b w:val="0"/>
          <w:bCs w:val="0"/>
        </w:rPr>
        <w:t>三、支出决算情况说明</w:t>
      </w:r>
    </w:p>
    <w:p w:rsidR="005B018B" w:rsidRDefault="00996F42">
      <w:pPr>
        <w:adjustRightInd w:val="0"/>
        <w:snapToGrid w:val="0"/>
        <w:spacing w:after="0" w:line="580" w:lineRule="exact"/>
        <w:ind w:firstLineChars="200" w:firstLine="420"/>
        <w:rPr>
          <w:rFonts w:ascii="黑体" w:eastAsia="黑体"/>
        </w:rPr>
      </w:pPr>
      <w:r>
        <w:rPr>
          <w:noProof/>
        </w:rPr>
        <w:drawing>
          <wp:anchor distT="0" distB="0" distL="114300" distR="114300" simplePos="0" relativeHeight="251676672" behindDoc="0" locked="0" layoutInCell="1" allowOverlap="1">
            <wp:simplePos x="0" y="0"/>
            <wp:positionH relativeFrom="column">
              <wp:posOffset>946150</wp:posOffset>
            </wp:positionH>
            <wp:positionV relativeFrom="paragraph">
              <wp:posOffset>958215</wp:posOffset>
            </wp:positionV>
            <wp:extent cx="3514725" cy="1981835"/>
            <wp:effectExtent l="4445" t="4445" r="5080" b="13970"/>
            <wp:wrapTopAndBottom/>
            <wp:docPr id="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年度本年支出合计</w:t>
      </w:r>
      <w:r>
        <w:rPr>
          <w:rFonts w:asciiTheme="minorEastAsia" w:eastAsiaTheme="minorEastAsia" w:hAnsiTheme="minorEastAsia" w:cs="DengXian-Regular" w:hint="eastAsia"/>
          <w:sz w:val="32"/>
          <w:szCs w:val="32"/>
        </w:rPr>
        <w:t>3</w:t>
      </w:r>
      <w:r>
        <w:rPr>
          <w:rFonts w:ascii="宋体" w:hAnsi="宋体" w:cs="宋体" w:hint="eastAsia"/>
          <w:sz w:val="32"/>
          <w:szCs w:val="32"/>
        </w:rPr>
        <w:t>98.44</w:t>
      </w:r>
      <w:r>
        <w:rPr>
          <w:rFonts w:ascii="仿宋_GB2312" w:eastAsia="仿宋_GB2312" w:cs="DengXian-Regular" w:hint="eastAsia"/>
          <w:sz w:val="32"/>
          <w:szCs w:val="32"/>
        </w:rPr>
        <w:t>万元，其中：基本支出</w:t>
      </w:r>
      <w:r>
        <w:rPr>
          <w:rFonts w:asciiTheme="minorEastAsia" w:eastAsiaTheme="minorEastAsia" w:hAnsiTheme="minorEastAsia" w:cs="DengXian-Regular" w:hint="eastAsia"/>
          <w:sz w:val="32"/>
          <w:szCs w:val="32"/>
        </w:rPr>
        <w:t>3</w:t>
      </w:r>
      <w:r>
        <w:rPr>
          <w:rFonts w:ascii="宋体" w:hAnsi="宋体" w:cs="宋体" w:hint="eastAsia"/>
          <w:sz w:val="32"/>
          <w:szCs w:val="32"/>
        </w:rPr>
        <w:t>98.44</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w:t>
      </w:r>
      <w:r w:rsidR="005B018B" w:rsidRPr="005B018B">
        <w:pict>
          <v:group id="_x0000_s1037" style="position:absolute;left:0;text-align:left;margin-left:59.55pt;margin-top:6.75pt;width:274.45pt;height:230.55pt;z-index:-251648000;mso-position-horizontal-relative:text;mso-position-vertical-relative:text" coordorigin="7032,190738" coordsize="4600,-68776409320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v:shape id="_x0000_s1039" type="#_x0000_t75" style="position:absolute;left:7032;top:190738;width:4600;height:2947"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imagedata r:id="rId12" o:title="" croptop="1490f" cropbottom="5217f" cropleft="2131f" cropright="1218f"/>
            </v:shape>
            <v:shape id="_x0000_s1038" type="#_x0000_t202" style="position:absolute;left:7289;top:193685;width:4169;height:66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stroked="f" strokeweight=".5pt">
              <v:textbox>
                <w:txbxContent>
                  <w:p w:rsidR="005B018B" w:rsidRDefault="00996F42">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w:t>
                    </w:r>
                    <w:r>
                      <w:rPr>
                        <w:rFonts w:ascii="仿宋_GB2312" w:eastAsia="仿宋_GB2312" w:cs="DengXian-Regular" w:hint="eastAsia"/>
                        <w:sz w:val="28"/>
                        <w:szCs w:val="28"/>
                      </w:rPr>
                      <w:t>2</w:t>
                    </w:r>
                    <w:r>
                      <w:rPr>
                        <w:rFonts w:ascii="仿宋_GB2312" w:eastAsia="仿宋_GB2312" w:cs="DengXian-Regular" w:hint="eastAsia"/>
                        <w:sz w:val="28"/>
                        <w:szCs w:val="28"/>
                      </w:rPr>
                      <w:t>：支出构成情况（按支出性质）</w:t>
                    </w:r>
                  </w:p>
                  <w:p w:rsidR="005B018B" w:rsidRDefault="005B018B">
                    <w:pPr>
                      <w:rPr>
                        <w:sz w:val="20"/>
                        <w:szCs w:val="22"/>
                      </w:rPr>
                    </w:pPr>
                  </w:p>
                </w:txbxContent>
              </v:textbox>
            </v:shape>
          </v:group>
        </w:pict>
      </w:r>
    </w:p>
    <w:p w:rsidR="005B018B" w:rsidRDefault="00996F42">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四、</w:t>
      </w:r>
      <w:r>
        <w:rPr>
          <w:rFonts w:ascii="黑体" w:eastAsia="黑体" w:hAnsiTheme="minorHAnsi" w:cs="黑体" w:hint="eastAsia"/>
          <w:b w:val="0"/>
          <w:bCs w:val="0"/>
          <w:kern w:val="0"/>
        </w:rPr>
        <w:t>财政</w:t>
      </w:r>
      <w:r>
        <w:rPr>
          <w:rFonts w:ascii="黑体" w:eastAsia="黑体" w:hint="eastAsia"/>
          <w:b w:val="0"/>
          <w:bCs w:val="0"/>
        </w:rPr>
        <w:t>拨款收入支出决算情况说明</w:t>
      </w:r>
    </w:p>
    <w:p w:rsidR="005B018B" w:rsidRDefault="00996F42" w:rsidP="005B018B">
      <w:pPr>
        <w:spacing w:after="0" w:line="580" w:lineRule="exact"/>
        <w:ind w:firstLineChars="200" w:firstLine="641"/>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2017 </w:t>
      </w:r>
      <w:r>
        <w:rPr>
          <w:rFonts w:ascii="楷体_GB2312" w:eastAsia="楷体_GB2312" w:cs="DengXian-Bold" w:hint="eastAsia"/>
          <w:b/>
          <w:bCs/>
          <w:sz w:val="32"/>
          <w:szCs w:val="32"/>
        </w:rPr>
        <w:t>年度决算对比情况</w:t>
      </w:r>
    </w:p>
    <w:p w:rsidR="005B018B" w:rsidRDefault="00996F4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年度形成的财政拨款收支均为一般公共预算财政拨款，其中一般公共预算财政拨款本年收入</w:t>
      </w:r>
      <w:r>
        <w:rPr>
          <w:rFonts w:ascii="仿宋_GB2312" w:eastAsia="仿宋_GB2312" w:cs="DengXian-Regular" w:hint="eastAsia"/>
          <w:sz w:val="32"/>
          <w:szCs w:val="32"/>
        </w:rPr>
        <w:t>385.30</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比</w:t>
      </w:r>
      <w:r>
        <w:rPr>
          <w:rFonts w:ascii="仿宋_GB2312" w:eastAsia="仿宋_GB2312" w:cs="DengXian-Regular" w:hint="eastAsia"/>
          <w:sz w:val="32"/>
          <w:szCs w:val="32"/>
        </w:rPr>
        <w:t>2017</w:t>
      </w:r>
      <w:r>
        <w:rPr>
          <w:rFonts w:ascii="仿宋_GB2312" w:eastAsia="仿宋_GB2312" w:cs="DengXian-Regular" w:hint="eastAsia"/>
          <w:sz w:val="32"/>
          <w:szCs w:val="32"/>
        </w:rPr>
        <w:t>年度增加</w:t>
      </w:r>
      <w:r>
        <w:rPr>
          <w:rFonts w:asciiTheme="minorEastAsia" w:eastAsiaTheme="minorEastAsia" w:hAnsiTheme="minorEastAsia" w:cs="DengXian-Regular" w:hint="eastAsia"/>
          <w:sz w:val="32"/>
          <w:szCs w:val="32"/>
        </w:rPr>
        <w:t>254.42</w:t>
      </w:r>
      <w:r>
        <w:rPr>
          <w:rFonts w:ascii="仿宋_GB2312" w:eastAsia="仿宋_GB2312" w:cs="DengXian-Regular" w:hint="eastAsia"/>
          <w:sz w:val="32"/>
          <w:szCs w:val="32"/>
        </w:rPr>
        <w:t>万元，增长</w:t>
      </w:r>
      <w:r>
        <w:rPr>
          <w:rFonts w:asciiTheme="minorEastAsia" w:eastAsiaTheme="minorEastAsia" w:hAnsiTheme="minorEastAsia" w:cs="DengXian-Regular" w:hint="eastAsia"/>
          <w:sz w:val="32"/>
          <w:szCs w:val="32"/>
        </w:rPr>
        <w:t>1</w:t>
      </w:r>
      <w:r>
        <w:rPr>
          <w:rFonts w:ascii="宋体" w:hAnsi="宋体" w:cs="宋体" w:hint="eastAsia"/>
          <w:sz w:val="32"/>
          <w:szCs w:val="32"/>
        </w:rPr>
        <w:t>94.39</w:t>
      </w:r>
      <w:r>
        <w:rPr>
          <w:rFonts w:ascii="仿宋_GB2312" w:eastAsia="仿宋_GB2312" w:cs="DengXian-Regular" w:hint="eastAsia"/>
          <w:sz w:val="32"/>
          <w:szCs w:val="32"/>
        </w:rPr>
        <w:t>%</w:t>
      </w:r>
      <w:r>
        <w:rPr>
          <w:rFonts w:ascii="仿宋_GB2312" w:eastAsia="仿宋_GB2312" w:cs="DengXian-Regular" w:hint="eastAsia"/>
          <w:sz w:val="32"/>
          <w:szCs w:val="32"/>
        </w:rPr>
        <w:t>，主要是人员增加、业务增加；本年支出</w:t>
      </w:r>
      <w:r>
        <w:rPr>
          <w:rFonts w:ascii="仿宋_GB2312" w:eastAsia="仿宋_GB2312" w:cs="DengXian-Regular" w:hint="eastAsia"/>
          <w:sz w:val="32"/>
          <w:szCs w:val="32"/>
        </w:rPr>
        <w:t>3</w:t>
      </w:r>
      <w:r>
        <w:rPr>
          <w:rFonts w:ascii="宋体" w:hAnsi="宋体" w:cs="宋体" w:hint="eastAsia"/>
          <w:sz w:val="32"/>
          <w:szCs w:val="32"/>
        </w:rPr>
        <w:t>98.44</w:t>
      </w:r>
      <w:r>
        <w:rPr>
          <w:rFonts w:ascii="仿宋_GB2312" w:eastAsia="仿宋_GB2312" w:cs="DengXian-Regular" w:hint="eastAsia"/>
          <w:sz w:val="32"/>
          <w:szCs w:val="32"/>
        </w:rPr>
        <w:t>万元，增加</w:t>
      </w:r>
      <w:r>
        <w:rPr>
          <w:rFonts w:ascii="仿宋_GB2312" w:eastAsia="仿宋_GB2312" w:cs="DengXian-Regular" w:hint="eastAsia"/>
          <w:sz w:val="32"/>
          <w:szCs w:val="32"/>
        </w:rPr>
        <w:t>281.1</w:t>
      </w:r>
      <w:r>
        <w:rPr>
          <w:rFonts w:asciiTheme="minorEastAsia" w:eastAsiaTheme="minorEastAsia" w:hAnsiTheme="minorEastAsia" w:cs="DengXian-Regular" w:hint="eastAsia"/>
          <w:sz w:val="32"/>
          <w:szCs w:val="32"/>
        </w:rPr>
        <w:t>7</w:t>
      </w:r>
      <w:r>
        <w:rPr>
          <w:rFonts w:ascii="仿宋_GB2312" w:eastAsia="仿宋_GB2312" w:cs="DengXian-Regular" w:hint="eastAsia"/>
          <w:sz w:val="32"/>
          <w:szCs w:val="32"/>
        </w:rPr>
        <w:t>万元，增长</w:t>
      </w:r>
      <w:r>
        <w:rPr>
          <w:rFonts w:asciiTheme="minorEastAsia" w:eastAsiaTheme="minorEastAsia" w:hAnsiTheme="minorEastAsia" w:cs="DengXian-Regular" w:hint="eastAsia"/>
          <w:sz w:val="32"/>
          <w:szCs w:val="32"/>
        </w:rPr>
        <w:t>239.76</w:t>
      </w:r>
      <w:r>
        <w:rPr>
          <w:rFonts w:ascii="仿宋_GB2312" w:eastAsia="仿宋_GB2312" w:cs="DengXian-Regular" w:hint="eastAsia"/>
          <w:sz w:val="32"/>
          <w:szCs w:val="32"/>
        </w:rPr>
        <w:t>%</w:t>
      </w:r>
      <w:r>
        <w:rPr>
          <w:rFonts w:ascii="仿宋_GB2312" w:eastAsia="仿宋_GB2312" w:cs="DengXian-Regular" w:hint="eastAsia"/>
          <w:sz w:val="32"/>
          <w:szCs w:val="32"/>
        </w:rPr>
        <w:t>，主要是人员增加业务增加。</w:t>
      </w:r>
    </w:p>
    <w:p w:rsidR="005B018B" w:rsidRDefault="00996F42">
      <w:pPr>
        <w:adjustRightInd w:val="0"/>
        <w:snapToGrid w:val="0"/>
        <w:spacing w:after="0" w:line="240" w:lineRule="auto"/>
        <w:ind w:firstLineChars="200" w:firstLine="640"/>
        <w:rPr>
          <w:rFonts w:ascii="仿宋_GB2312" w:eastAsia="仿宋_GB2312" w:cs="DengXian-Regular"/>
          <w:sz w:val="32"/>
          <w:szCs w:val="32"/>
        </w:rPr>
      </w:pPr>
      <w:r>
        <w:rPr>
          <w:rFonts w:ascii="仿宋_GB2312" w:eastAsia="仿宋_GB2312" w:cs="DengXian-Regular"/>
          <w:noProof/>
          <w:sz w:val="32"/>
          <w:szCs w:val="32"/>
        </w:rPr>
        <w:drawing>
          <wp:inline distT="0" distB="0" distL="0" distR="0">
            <wp:extent cx="4572000" cy="2981325"/>
            <wp:effectExtent l="0" t="0" r="0" b="0"/>
            <wp:docPr id="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B018B" w:rsidRDefault="005B018B">
      <w:pPr>
        <w:adjustRightInd w:val="0"/>
        <w:snapToGrid w:val="0"/>
        <w:spacing w:after="0" w:line="240" w:lineRule="auto"/>
        <w:ind w:firstLineChars="200" w:firstLine="640"/>
        <w:rPr>
          <w:rFonts w:ascii="仿宋_GB2312" w:eastAsia="仿宋_GB2312" w:cs="DengXian-Regular"/>
          <w:sz w:val="32"/>
          <w:szCs w:val="32"/>
        </w:rPr>
      </w:pPr>
    </w:p>
    <w:p w:rsidR="005B018B" w:rsidRDefault="005B018B">
      <w:pPr>
        <w:adjustRightInd w:val="0"/>
        <w:snapToGrid w:val="0"/>
        <w:spacing w:after="0" w:line="580" w:lineRule="exact"/>
        <w:ind w:firstLineChars="200" w:firstLine="420"/>
        <w:rPr>
          <w:rFonts w:ascii="仿宋_GB2312" w:eastAsia="仿宋_GB2312" w:cs="DengXian-Bold"/>
          <w:b/>
          <w:bCs/>
          <w:sz w:val="32"/>
          <w:szCs w:val="32"/>
        </w:rPr>
      </w:pPr>
      <w:r w:rsidRPr="005B018B">
        <w:pict>
          <v:group id="_x0000_s1034" style="position:absolute;left:0;text-align:left;margin-left:51.25pt;margin-top:13.45pt;width:331.1pt;height:210.05pt;z-index:-251642880" coordorigin="6151,199960" coordsize="6345,-24676409320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v:shape id="图片 3" o:spid="_x0000_s1036" type="#_x0000_t75" style="position:absolute;left:6532;top:199960;width:5714;height:3271"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imagedata r:id="rId16" o:title=""/>
            </v:shape>
            <v:shape id="_x0000_s1035" type="#_x0000_t202" style="position:absolute;left:6151;top:203196;width:6345;height:812"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stroked="f" strokeweight=".5pt">
              <v:textbox>
                <w:txbxContent>
                  <w:p w:rsidR="005B018B" w:rsidRDefault="00996F42">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w:t>
                    </w:r>
                    <w:r>
                      <w:rPr>
                        <w:rFonts w:ascii="仿宋_GB2312" w:eastAsia="仿宋_GB2312" w:cs="DengXian-Regular" w:hint="eastAsia"/>
                        <w:sz w:val="28"/>
                        <w:szCs w:val="28"/>
                      </w:rPr>
                      <w:t>3</w:t>
                    </w:r>
                    <w:r>
                      <w:rPr>
                        <w:rFonts w:ascii="仿宋_GB2312" w:eastAsia="仿宋_GB2312" w:cs="DengXian-Regular" w:hint="eastAsia"/>
                        <w:sz w:val="28"/>
                        <w:szCs w:val="28"/>
                      </w:rPr>
                      <w:t>：</w:t>
                    </w:r>
                    <w:r>
                      <w:rPr>
                        <w:rFonts w:ascii="仿宋_GB2312" w:eastAsia="仿宋_GB2312" w:cs="DengXian-Regular" w:hint="eastAsia"/>
                        <w:sz w:val="28"/>
                        <w:szCs w:val="28"/>
                      </w:rPr>
                      <w:t>2017-2018</w:t>
                    </w:r>
                    <w:r>
                      <w:rPr>
                        <w:rFonts w:ascii="仿宋_GB2312" w:eastAsia="仿宋_GB2312" w:cs="DengXian-Regular" w:hint="eastAsia"/>
                        <w:sz w:val="28"/>
                        <w:szCs w:val="28"/>
                      </w:rPr>
                      <w:t>年财政拨款收支情况</w:t>
                    </w:r>
                  </w:p>
                  <w:p w:rsidR="005B018B" w:rsidRDefault="005B018B">
                    <w:pPr>
                      <w:rPr>
                        <w:sz w:val="20"/>
                        <w:szCs w:val="22"/>
                      </w:rPr>
                    </w:pPr>
                  </w:p>
                </w:txbxContent>
              </v:textbox>
            </v:shape>
          </v:group>
        </w:pict>
      </w:r>
      <w:r w:rsidR="00996F42">
        <w:rPr>
          <w:rFonts w:ascii="楷体_GB2312" w:eastAsia="楷体_GB2312" w:cs="DengXian-Bold" w:hint="eastAsia"/>
          <w:b/>
          <w:bCs/>
          <w:sz w:val="32"/>
          <w:szCs w:val="32"/>
        </w:rPr>
        <w:t>（二）财政拨款收支与年初预算数对比情况</w:t>
      </w:r>
    </w:p>
    <w:p w:rsidR="005B018B" w:rsidRDefault="00996F4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年度一般公共预算财政拨款收入</w:t>
      </w:r>
      <w:r>
        <w:rPr>
          <w:rFonts w:ascii="仿宋_GB2312" w:eastAsia="仿宋_GB2312" w:cs="DengXian-Regular" w:hint="eastAsia"/>
          <w:sz w:val="32"/>
          <w:szCs w:val="32"/>
        </w:rPr>
        <w:t>385.30</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w:t>
      </w:r>
      <w:r>
        <w:rPr>
          <w:rFonts w:asciiTheme="minorEastAsia" w:eastAsiaTheme="minorEastAsia" w:hAnsiTheme="minorEastAsia" w:cs="DengXian-Regular" w:hint="eastAsia"/>
          <w:sz w:val="32"/>
          <w:szCs w:val="32"/>
        </w:rPr>
        <w:t>76.34</w:t>
      </w:r>
      <w:r>
        <w:rPr>
          <w:rFonts w:ascii="仿宋_GB2312" w:eastAsia="仿宋_GB2312" w:cs="DengXian-Regular" w:hint="eastAsia"/>
          <w:sz w:val="32"/>
          <w:szCs w:val="32"/>
        </w:rPr>
        <w:t>%,</w:t>
      </w:r>
      <w:r>
        <w:rPr>
          <w:rFonts w:ascii="仿宋_GB2312" w:eastAsia="仿宋_GB2312" w:cs="DengXian-Regular" w:hint="eastAsia"/>
          <w:sz w:val="32"/>
          <w:szCs w:val="32"/>
        </w:rPr>
        <w:t>比年初预算增加</w:t>
      </w:r>
      <w:r>
        <w:rPr>
          <w:rFonts w:asciiTheme="minorEastAsia" w:eastAsiaTheme="minorEastAsia" w:hAnsiTheme="minorEastAsia" w:cs="DengXian-Regular" w:hint="eastAsia"/>
          <w:sz w:val="32"/>
          <w:szCs w:val="32"/>
        </w:rPr>
        <w:t>166.80</w:t>
      </w:r>
      <w:r>
        <w:rPr>
          <w:rFonts w:ascii="仿宋_GB2312" w:eastAsia="仿宋_GB2312" w:cs="DengXian-Regular" w:hint="eastAsia"/>
          <w:sz w:val="32"/>
          <w:szCs w:val="32"/>
        </w:rPr>
        <w:t>万元，决算数大于预算数主要原因是人员增加业务增加；本年支出</w:t>
      </w:r>
      <w:r>
        <w:rPr>
          <w:rFonts w:ascii="仿宋_GB2312" w:eastAsia="仿宋_GB2312" w:cs="DengXian-Regular"/>
          <w:sz w:val="32"/>
          <w:szCs w:val="32"/>
        </w:rPr>
        <w:t>3</w:t>
      </w:r>
      <w:r>
        <w:rPr>
          <w:rFonts w:ascii="宋体" w:hAnsi="宋体" w:cs="宋体" w:hint="eastAsia"/>
          <w:sz w:val="32"/>
          <w:szCs w:val="32"/>
        </w:rPr>
        <w:t>9</w:t>
      </w:r>
      <w:r>
        <w:rPr>
          <w:rFonts w:ascii="仿宋_GB2312" w:eastAsia="仿宋_GB2312" w:cs="DengXian-Regular"/>
          <w:sz w:val="32"/>
          <w:szCs w:val="32"/>
        </w:rPr>
        <w:t>8</w:t>
      </w:r>
      <w:r>
        <w:rPr>
          <w:rFonts w:asciiTheme="minorEastAsia" w:eastAsiaTheme="minorEastAsia" w:hAnsiTheme="minorEastAsia" w:cs="DengXian-Regular" w:hint="eastAsia"/>
          <w:sz w:val="32"/>
          <w:szCs w:val="32"/>
        </w:rPr>
        <w:t>.</w:t>
      </w:r>
      <w:r>
        <w:rPr>
          <w:rFonts w:ascii="仿宋_GB2312" w:eastAsia="仿宋_GB2312" w:cs="DengXian-Regular"/>
          <w:sz w:val="32"/>
          <w:szCs w:val="32"/>
        </w:rPr>
        <w:t>44</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w:t>
      </w:r>
      <w:r>
        <w:rPr>
          <w:rFonts w:asciiTheme="minorEastAsia" w:eastAsiaTheme="minorEastAsia" w:hAnsiTheme="minorEastAsia" w:cs="DengXian-Regular" w:hint="eastAsia"/>
          <w:sz w:val="32"/>
          <w:szCs w:val="32"/>
        </w:rPr>
        <w:t>82.35</w:t>
      </w:r>
      <w:r>
        <w:rPr>
          <w:rFonts w:ascii="仿宋_GB2312" w:eastAsia="仿宋_GB2312" w:cs="DengXian-Regular" w:hint="eastAsia"/>
          <w:sz w:val="32"/>
          <w:szCs w:val="32"/>
        </w:rPr>
        <w:t>%,</w:t>
      </w:r>
      <w:r>
        <w:rPr>
          <w:rFonts w:ascii="仿宋_GB2312" w:eastAsia="仿宋_GB2312" w:cs="DengXian-Regular" w:hint="eastAsia"/>
          <w:sz w:val="32"/>
          <w:szCs w:val="32"/>
        </w:rPr>
        <w:t>比年初预算增加</w:t>
      </w:r>
      <w:r>
        <w:rPr>
          <w:rFonts w:asciiTheme="minorEastAsia" w:eastAsiaTheme="minorEastAsia" w:hAnsiTheme="minorEastAsia" w:cs="DengXian-Regular" w:hint="eastAsia"/>
          <w:sz w:val="32"/>
          <w:szCs w:val="32"/>
        </w:rPr>
        <w:t>179.94</w:t>
      </w:r>
      <w:r>
        <w:rPr>
          <w:rFonts w:ascii="仿宋_GB2312" w:eastAsia="仿宋_GB2312" w:cs="DengXian-Regular" w:hint="eastAsia"/>
          <w:sz w:val="32"/>
          <w:szCs w:val="32"/>
        </w:rPr>
        <w:t>万元，决算数大于预算数主要原因是人员增加业务增加。</w:t>
      </w:r>
    </w:p>
    <w:p w:rsidR="005B018B" w:rsidRDefault="00996F42">
      <w:pPr>
        <w:adjustRightInd w:val="0"/>
        <w:snapToGrid w:val="0"/>
        <w:spacing w:after="0" w:line="240" w:lineRule="auto"/>
        <w:ind w:firstLineChars="200" w:firstLine="640"/>
        <w:rPr>
          <w:rFonts w:ascii="仿宋_GB2312" w:eastAsia="仿宋_GB2312" w:cs="DengXian-Regular"/>
          <w:sz w:val="32"/>
          <w:szCs w:val="32"/>
        </w:rPr>
      </w:pPr>
      <w:r>
        <w:rPr>
          <w:rFonts w:ascii="仿宋_GB2312" w:eastAsia="仿宋_GB2312" w:cs="DengXian-Regular"/>
          <w:noProof/>
          <w:sz w:val="32"/>
          <w:szCs w:val="32"/>
        </w:rPr>
        <w:lastRenderedPageBreak/>
        <w:drawing>
          <wp:inline distT="0" distB="0" distL="0" distR="0">
            <wp:extent cx="3869690" cy="2211070"/>
            <wp:effectExtent l="0" t="0" r="0" b="0"/>
            <wp:docPr id="6"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B018B" w:rsidRDefault="005B018B">
      <w:pPr>
        <w:adjustRightInd w:val="0"/>
        <w:snapToGrid w:val="0"/>
        <w:spacing w:after="0" w:line="240" w:lineRule="auto"/>
        <w:ind w:firstLineChars="200" w:firstLine="420"/>
        <w:rPr>
          <w:rFonts w:ascii="仿宋_GB2312" w:eastAsia="仿宋_GB2312" w:cs="DengXian-Regular"/>
          <w:sz w:val="32"/>
          <w:szCs w:val="32"/>
          <w:highlight w:val="yellow"/>
        </w:rPr>
      </w:pPr>
      <w:r w:rsidRPr="005B018B">
        <w:pict>
          <v:group id="_x0000_s1031" style="position:absolute;left:0;text-align:left;margin-left:45.95pt;margin-top:15.25pt;width:343.1pt;height:193.35pt;z-index:-251641856" coordorigin="5233,225704" coordsize="6344,-44476409320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v:shape id="图片 6" o:spid="_x0000_s1033" type="#_x0000_t75" style="position:absolute;left:5470;top:225704;width:5870;height:3353"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imagedata r:id="rId18" o:title=""/>
            </v:shape>
            <v:shape id="文本框 28" o:spid="_x0000_s1032" type="#_x0000_t202" style="position:absolute;left:5233;top:228834;width:6345;height:72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stroked="f" strokeweight=".5pt">
              <v:textbox>
                <w:txbxContent>
                  <w:p w:rsidR="005B018B" w:rsidRDefault="00996F42">
                    <w:pPr>
                      <w:adjustRightInd w:val="0"/>
                      <w:snapToGrid w:val="0"/>
                      <w:spacing w:line="560" w:lineRule="exact"/>
                      <w:jc w:val="center"/>
                      <w:rPr>
                        <w:rFonts w:ascii="仿宋_GB2312" w:eastAsia="仿宋_GB2312" w:cs="DengXian-Regular"/>
                        <w:sz w:val="24"/>
                      </w:rPr>
                    </w:pPr>
                    <w:r>
                      <w:rPr>
                        <w:rFonts w:ascii="仿宋_GB2312" w:eastAsia="仿宋_GB2312" w:cs="DengXian-Regular" w:hint="eastAsia"/>
                        <w:sz w:val="24"/>
                      </w:rPr>
                      <w:t>图</w:t>
                    </w:r>
                    <w:r>
                      <w:rPr>
                        <w:rFonts w:ascii="仿宋_GB2312" w:eastAsia="仿宋_GB2312" w:cs="DengXian-Regular" w:hint="eastAsia"/>
                        <w:sz w:val="24"/>
                      </w:rPr>
                      <w:t>4</w:t>
                    </w:r>
                    <w:r>
                      <w:rPr>
                        <w:rFonts w:ascii="仿宋_GB2312" w:eastAsia="仿宋_GB2312" w:cs="DengXian-Regular" w:hint="eastAsia"/>
                        <w:sz w:val="24"/>
                      </w:rPr>
                      <w:t>：财政拨款收支预决算对比情况</w:t>
                    </w:r>
                  </w:p>
                  <w:p w:rsidR="005B018B" w:rsidRDefault="005B018B">
                    <w:pPr>
                      <w:rPr>
                        <w:sz w:val="18"/>
                        <w:szCs w:val="21"/>
                      </w:rPr>
                    </w:pPr>
                  </w:p>
                </w:txbxContent>
              </v:textbox>
            </v:shape>
          </v:group>
        </w:pict>
      </w:r>
    </w:p>
    <w:p w:rsidR="005B018B" w:rsidRDefault="00996F42">
      <w:pPr>
        <w:numPr>
          <w:ilvl w:val="0"/>
          <w:numId w:val="1"/>
        </w:num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财政拨款支出决算结构情况。</w:t>
      </w:r>
    </w:p>
    <w:p w:rsidR="005B018B" w:rsidRDefault="00996F42">
      <w:pPr>
        <w:adjustRightInd w:val="0"/>
        <w:snapToGrid w:val="0"/>
        <w:spacing w:after="0" w:line="580" w:lineRule="exact"/>
        <w:ind w:firstLineChars="200" w:firstLine="640"/>
        <w:rPr>
          <w:rFonts w:ascii="仿宋_GB2312" w:eastAsiaTheme="minorEastAsia" w:cs="DengXian-Regular"/>
          <w:sz w:val="32"/>
          <w:szCs w:val="32"/>
        </w:rPr>
      </w:pPr>
      <w:r>
        <w:rPr>
          <w:rFonts w:ascii="仿宋_GB2312" w:eastAsia="仿宋_GB2312" w:cs="DengXian-Regular"/>
          <w:noProof/>
          <w:sz w:val="32"/>
          <w:szCs w:val="32"/>
        </w:rPr>
        <w:drawing>
          <wp:anchor distT="0" distB="0" distL="0" distR="0" simplePos="0" relativeHeight="251677696" behindDoc="0" locked="0" layoutInCell="1" allowOverlap="1">
            <wp:simplePos x="0" y="0"/>
            <wp:positionH relativeFrom="column">
              <wp:posOffset>1062990</wp:posOffset>
            </wp:positionH>
            <wp:positionV relativeFrom="paragraph">
              <wp:posOffset>1983105</wp:posOffset>
            </wp:positionV>
            <wp:extent cx="3343275" cy="2788285"/>
            <wp:effectExtent l="0" t="0" r="9525" b="12065"/>
            <wp:wrapTopAndBottom/>
            <wp:docPr id="9"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年度财政拨款支出</w:t>
      </w:r>
      <w:r>
        <w:rPr>
          <w:rFonts w:ascii="仿宋_GB2312" w:eastAsia="仿宋_GB2312" w:cs="DengXian-Regular"/>
          <w:sz w:val="32"/>
          <w:szCs w:val="32"/>
        </w:rPr>
        <w:t>3</w:t>
      </w:r>
      <w:r>
        <w:rPr>
          <w:rFonts w:ascii="宋体" w:hAnsi="宋体" w:cs="宋体" w:hint="eastAsia"/>
          <w:sz w:val="32"/>
          <w:szCs w:val="32"/>
        </w:rPr>
        <w:t>9</w:t>
      </w:r>
      <w:r>
        <w:rPr>
          <w:rFonts w:ascii="仿宋_GB2312" w:eastAsia="仿宋_GB2312" w:cs="DengXian-Regular"/>
          <w:sz w:val="32"/>
          <w:szCs w:val="32"/>
        </w:rPr>
        <w:t>8</w:t>
      </w:r>
      <w:r>
        <w:rPr>
          <w:rFonts w:asciiTheme="minorEastAsia" w:eastAsiaTheme="minorEastAsia" w:hAnsiTheme="minorEastAsia" w:cs="DengXian-Regular" w:hint="eastAsia"/>
          <w:sz w:val="32"/>
          <w:szCs w:val="32"/>
        </w:rPr>
        <w:t>.</w:t>
      </w:r>
      <w:r>
        <w:rPr>
          <w:rFonts w:ascii="仿宋_GB2312" w:eastAsia="仿宋_GB2312" w:cs="DengXian-Regular"/>
          <w:sz w:val="32"/>
          <w:szCs w:val="32"/>
        </w:rPr>
        <w:t>44</w:t>
      </w:r>
      <w:r>
        <w:rPr>
          <w:rFonts w:ascii="仿宋_GB2312" w:eastAsia="仿宋_GB2312" w:cs="DengXian-Regular" w:hint="eastAsia"/>
          <w:sz w:val="32"/>
          <w:szCs w:val="32"/>
        </w:rPr>
        <w:t>万元，主要用于以下方面一般公共服务（类）支出</w:t>
      </w:r>
      <w:r>
        <w:rPr>
          <w:rFonts w:ascii="仿宋_GB2312" w:eastAsia="仿宋_GB2312" w:cs="DengXian-Regular"/>
          <w:sz w:val="32"/>
          <w:szCs w:val="32"/>
        </w:rPr>
        <w:t>3</w:t>
      </w:r>
      <w:r>
        <w:rPr>
          <w:rFonts w:ascii="宋体" w:hAnsi="宋体" w:cs="宋体" w:hint="eastAsia"/>
          <w:sz w:val="32"/>
          <w:szCs w:val="32"/>
        </w:rPr>
        <w:t>9</w:t>
      </w:r>
      <w:r>
        <w:rPr>
          <w:rFonts w:ascii="仿宋_GB2312" w:eastAsia="仿宋_GB2312" w:cs="DengXian-Regular"/>
          <w:sz w:val="32"/>
          <w:szCs w:val="32"/>
        </w:rPr>
        <w:t>8</w:t>
      </w:r>
      <w:r>
        <w:rPr>
          <w:rFonts w:asciiTheme="minorEastAsia" w:eastAsiaTheme="minorEastAsia" w:hAnsiTheme="minorEastAsia" w:cs="DengXian-Regular" w:hint="eastAsia"/>
          <w:sz w:val="32"/>
          <w:szCs w:val="32"/>
        </w:rPr>
        <w:t>.</w:t>
      </w:r>
      <w:r>
        <w:rPr>
          <w:rFonts w:ascii="仿宋_GB2312" w:eastAsia="仿宋_GB2312" w:cs="DengXian-Regular"/>
          <w:sz w:val="32"/>
          <w:szCs w:val="32"/>
        </w:rPr>
        <w:t>44</w:t>
      </w:r>
      <w:r>
        <w:rPr>
          <w:rFonts w:ascii="仿宋_GB2312" w:eastAsia="仿宋_GB2312" w:cs="DengXian-Regular" w:hint="eastAsia"/>
          <w:sz w:val="32"/>
          <w:szCs w:val="32"/>
        </w:rPr>
        <w:t>万元，占</w:t>
      </w:r>
      <w:r>
        <w:rPr>
          <w:rFonts w:asciiTheme="minorEastAsia" w:eastAsiaTheme="minorEastAsia" w:hAnsiTheme="minorEastAsia" w:cs="DengXian-Regular" w:hint="eastAsia"/>
          <w:sz w:val="32"/>
          <w:szCs w:val="32"/>
        </w:rPr>
        <w:t>100</w:t>
      </w:r>
      <w:r>
        <w:rPr>
          <w:rFonts w:ascii="仿宋_GB2312" w:eastAsia="仿宋_GB2312" w:cs="DengXian-Regular" w:hint="eastAsia"/>
          <w:sz w:val="32"/>
          <w:szCs w:val="32"/>
        </w:rPr>
        <w:t>%</w:t>
      </w:r>
      <w:r>
        <w:rPr>
          <w:rFonts w:ascii="仿宋_GB2312" w:eastAsia="仿宋_GB2312" w:cs="DengXian-Regular" w:hint="eastAsia"/>
          <w:sz w:val="32"/>
          <w:szCs w:val="32"/>
        </w:rPr>
        <w:t>；公共安全类（类）支出</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万元，占</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；教育（类）支出</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万元，占</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；科学技术（类）支出</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 xml:space="preserve"> </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；社会保障和就业（类）支出</w:t>
      </w:r>
      <w:r>
        <w:rPr>
          <w:rFonts w:ascii="仿宋_GB2312" w:eastAsia="仿宋_GB2312" w:cs="DengXian-Regular" w:hint="eastAsia"/>
          <w:sz w:val="32"/>
          <w:szCs w:val="32"/>
        </w:rPr>
        <w:t xml:space="preserve"> </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万元，占</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；住房保障（类）支出</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 xml:space="preserve"> </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w:t>
      </w:r>
    </w:p>
    <w:p w:rsidR="005B018B" w:rsidRDefault="005B018B">
      <w:pPr>
        <w:adjustRightInd w:val="0"/>
        <w:snapToGrid w:val="0"/>
        <w:spacing w:after="0" w:line="240" w:lineRule="auto"/>
        <w:rPr>
          <w:rFonts w:ascii="仿宋_GB2312" w:eastAsia="仿宋_GB2312" w:cs="DengXian-Regular"/>
          <w:sz w:val="32"/>
          <w:szCs w:val="32"/>
        </w:rPr>
      </w:pPr>
      <w:r w:rsidRPr="005B018B">
        <w:pict>
          <v:group id="_x0000_s1028" style="position:absolute;left:0;text-align:left;margin-left:86.35pt;margin-top:15.9pt;width:296.35pt;height:195.05pt;z-index:-251643904" coordorigin="6921,180284" coordsize="5331,-408764093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v:shape id="图片 1" o:spid="_x0000_s1030" type="#_x0000_t75" style="position:absolute;left:7157;top:180284;width:4586;height:2988"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imagedata r:id="rId12" o:title="" croptop="1490f" cropbottom="5217f" cropleft="2131f" cropright="1218f"/>
            </v:shape>
            <v:shape id="文本框 32" o:spid="_x0000_s1029" type="#_x0000_t202" style="position:absolute;left:6921;top:183134;width:5331;height:1036"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stroked="f" strokeweight=".5pt">
              <v:textbox>
                <w:txbxContent>
                  <w:p w:rsidR="005B018B" w:rsidRDefault="00996F42">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w:t>
                    </w:r>
                    <w:r>
                      <w:rPr>
                        <w:rFonts w:ascii="仿宋_GB2312" w:eastAsia="仿宋_GB2312" w:cs="DengXian-Regular" w:hint="eastAsia"/>
                        <w:sz w:val="28"/>
                        <w:szCs w:val="28"/>
                      </w:rPr>
                      <w:t>5</w:t>
                    </w:r>
                    <w:r>
                      <w:rPr>
                        <w:rFonts w:ascii="仿宋_GB2312" w:eastAsia="仿宋_GB2312" w:cs="DengXian-Regular" w:hint="eastAsia"/>
                        <w:sz w:val="28"/>
                        <w:szCs w:val="28"/>
                      </w:rPr>
                      <w:t>：财政拨款支出决算结构（按功能分类）</w:t>
                    </w:r>
                  </w:p>
                  <w:p w:rsidR="005B018B" w:rsidRDefault="005B018B">
                    <w:pPr>
                      <w:rPr>
                        <w:sz w:val="20"/>
                        <w:szCs w:val="22"/>
                      </w:rPr>
                    </w:pPr>
                  </w:p>
                </w:txbxContent>
              </v:textbox>
            </v:shape>
          </v:group>
        </w:pict>
      </w:r>
    </w:p>
    <w:p w:rsidR="005B018B" w:rsidRDefault="00996F42">
      <w:p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lastRenderedPageBreak/>
        <w:t>（四）一般公共预算财政拨款基本支出决算情况说明</w:t>
      </w:r>
    </w:p>
    <w:p w:rsidR="005B018B" w:rsidRDefault="00996F4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年度一般公共预算财政拨款基本支出</w:t>
      </w:r>
      <w:r>
        <w:rPr>
          <w:rFonts w:ascii="仿宋_GB2312" w:eastAsia="仿宋_GB2312" w:cs="DengXian-Regular"/>
          <w:color w:val="0000FF"/>
          <w:sz w:val="32"/>
          <w:szCs w:val="32"/>
        </w:rPr>
        <w:t>3</w:t>
      </w:r>
      <w:r>
        <w:rPr>
          <w:rFonts w:ascii="宋体" w:hAnsi="宋体" w:cs="宋体" w:hint="eastAsia"/>
          <w:color w:val="0000FF"/>
          <w:sz w:val="32"/>
          <w:szCs w:val="32"/>
        </w:rPr>
        <w:t>9</w:t>
      </w:r>
      <w:r>
        <w:rPr>
          <w:rFonts w:ascii="仿宋_GB2312" w:eastAsia="仿宋_GB2312" w:cs="DengXian-Regular"/>
          <w:color w:val="0000FF"/>
          <w:sz w:val="32"/>
          <w:szCs w:val="32"/>
        </w:rPr>
        <w:t>8</w:t>
      </w:r>
      <w:r>
        <w:rPr>
          <w:rFonts w:asciiTheme="minorEastAsia" w:eastAsiaTheme="minorEastAsia" w:hAnsiTheme="minorEastAsia" w:cs="DengXian-Regular" w:hint="eastAsia"/>
          <w:color w:val="0000FF"/>
          <w:sz w:val="32"/>
          <w:szCs w:val="32"/>
        </w:rPr>
        <w:t>.</w:t>
      </w:r>
      <w:r>
        <w:rPr>
          <w:rFonts w:ascii="仿宋_GB2312" w:eastAsia="仿宋_GB2312" w:cs="DengXian-Regular"/>
          <w:color w:val="0000FF"/>
          <w:sz w:val="32"/>
          <w:szCs w:val="32"/>
        </w:rPr>
        <w:t>44</w:t>
      </w:r>
      <w:r>
        <w:rPr>
          <w:rFonts w:ascii="仿宋_GB2312" w:eastAsia="仿宋_GB2312" w:cs="DengXian-Regular" w:hint="eastAsia"/>
          <w:sz w:val="32"/>
          <w:szCs w:val="32"/>
        </w:rPr>
        <w:t>万元，其中：人员经费</w:t>
      </w:r>
      <w:r>
        <w:rPr>
          <w:rFonts w:ascii="仿宋_GB2312" w:eastAsia="仿宋_GB2312" w:cs="DengXian-Regular" w:hint="eastAsia"/>
          <w:sz w:val="32"/>
          <w:szCs w:val="32"/>
        </w:rPr>
        <w:t xml:space="preserve"> </w:t>
      </w:r>
      <w:r>
        <w:rPr>
          <w:rFonts w:ascii="仿宋_GB2312" w:eastAsia="仿宋_GB2312" w:cs="DengXian-Regular"/>
          <w:sz w:val="32"/>
          <w:szCs w:val="32"/>
        </w:rPr>
        <w:t>244</w:t>
      </w:r>
      <w:r>
        <w:rPr>
          <w:rFonts w:asciiTheme="minorEastAsia" w:eastAsiaTheme="minorEastAsia" w:hAnsiTheme="minorEastAsia" w:cs="DengXian-Regular" w:hint="eastAsia"/>
          <w:sz w:val="32"/>
          <w:szCs w:val="32"/>
        </w:rPr>
        <w:t>.</w:t>
      </w:r>
      <w:r>
        <w:rPr>
          <w:rFonts w:ascii="仿宋_GB2312" w:eastAsia="仿宋_GB2312" w:cs="DengXian-Regular"/>
          <w:sz w:val="32"/>
          <w:szCs w:val="32"/>
        </w:rPr>
        <w:t>70</w:t>
      </w:r>
      <w:r>
        <w:rPr>
          <w:rFonts w:ascii="仿宋_GB2312" w:eastAsia="仿宋_GB2312"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cs="DengXian-Regular" w:hint="eastAsia"/>
          <w:sz w:val="32"/>
          <w:szCs w:val="32"/>
        </w:rPr>
        <w:t xml:space="preserve"> </w:t>
      </w:r>
      <w:r>
        <w:rPr>
          <w:rFonts w:ascii="仿宋_GB2312" w:eastAsia="仿宋_GB2312" w:cs="DengXian-Regular"/>
          <w:sz w:val="32"/>
          <w:szCs w:val="32"/>
        </w:rPr>
        <w:t>153</w:t>
      </w:r>
      <w:r>
        <w:rPr>
          <w:rFonts w:asciiTheme="minorEastAsia" w:eastAsiaTheme="minorEastAsia" w:hAnsiTheme="minorEastAsia" w:cs="DengXian-Regular" w:hint="eastAsia"/>
          <w:sz w:val="32"/>
          <w:szCs w:val="32"/>
        </w:rPr>
        <w:t>.</w:t>
      </w:r>
      <w:r>
        <w:rPr>
          <w:rFonts w:ascii="仿宋_GB2312" w:eastAsia="仿宋_GB2312" w:cs="DengXian-Regular"/>
          <w:sz w:val="32"/>
          <w:szCs w:val="32"/>
        </w:rPr>
        <w:t>74</w:t>
      </w:r>
      <w:r>
        <w:rPr>
          <w:rFonts w:ascii="仿宋_GB2312" w:eastAsia="仿宋_GB2312" w:cs="DengXian-Regular" w:hint="eastAsia"/>
          <w:sz w:val="32"/>
          <w:szCs w:val="32"/>
        </w:rPr>
        <w:t>万元，主要包括办公费、印刷费、咨询费、手续费、水费、电费、邮电费、取</w:t>
      </w:r>
      <w:r>
        <w:rPr>
          <w:rFonts w:ascii="仿宋_GB2312" w:eastAsia="仿宋_GB2312" w:cs="DengXian-Regular" w:hint="eastAsia"/>
          <w:sz w:val="32"/>
          <w:szCs w:val="32"/>
        </w:rPr>
        <w:t>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5B018B" w:rsidRDefault="00996F42">
      <w:pPr>
        <w:pStyle w:val="2"/>
        <w:spacing w:before="0" w:after="0" w:line="580" w:lineRule="exact"/>
        <w:ind w:firstLineChars="200" w:firstLine="640"/>
        <w:rPr>
          <w:rFonts w:ascii="黑体" w:eastAsia="黑体"/>
          <w:b w:val="0"/>
          <w:bCs w:val="0"/>
        </w:rPr>
      </w:pPr>
      <w:r>
        <w:rPr>
          <w:rFonts w:ascii="黑体" w:eastAsia="黑体" w:hint="eastAsia"/>
          <w:b w:val="0"/>
          <w:bCs w:val="0"/>
        </w:rPr>
        <w:t>五、一般公共预算财政拨款“三公”</w:t>
      </w:r>
      <w:r>
        <w:rPr>
          <w:rFonts w:ascii="黑体" w:eastAsia="黑体" w:hint="eastAsia"/>
          <w:b w:val="0"/>
          <w:bCs w:val="0"/>
        </w:rPr>
        <w:t xml:space="preserve"> </w:t>
      </w:r>
      <w:r>
        <w:rPr>
          <w:rFonts w:ascii="黑体" w:eastAsia="黑体" w:hint="eastAsia"/>
          <w:b w:val="0"/>
          <w:bCs w:val="0"/>
        </w:rPr>
        <w:t>经费支出决算情况说明</w:t>
      </w:r>
    </w:p>
    <w:p w:rsidR="005B018B" w:rsidRDefault="00996F42">
      <w:pPr>
        <w:adjustRightInd w:val="0"/>
        <w:snapToGrid w:val="0"/>
        <w:spacing w:after="0" w:line="580" w:lineRule="exact"/>
        <w:ind w:firstLineChars="200" w:firstLine="640"/>
        <w:rPr>
          <w:rFonts w:ascii="仿宋" w:eastAsia="仿宋" w:hAnsi="仿宋" w:cs="宋体"/>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w:t>
      </w:r>
      <w:r>
        <w:rPr>
          <w:rFonts w:ascii="仿宋_GB2312" w:eastAsia="仿宋_GB2312" w:cs="DengXian-Regular" w:hint="eastAsia"/>
          <w:sz w:val="32"/>
          <w:szCs w:val="32"/>
        </w:rPr>
        <w:t xml:space="preserve"> </w:t>
      </w:r>
      <w:r>
        <w:rPr>
          <w:rFonts w:ascii="仿宋_GB2312" w:eastAsia="仿宋_GB2312" w:cs="DengXian-Regular" w:hint="eastAsia"/>
          <w:sz w:val="32"/>
          <w:szCs w:val="32"/>
        </w:rPr>
        <w:t>“三公”经费支出共计</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w:t>
      </w:r>
      <w:r>
        <w:rPr>
          <w:rFonts w:ascii="仿宋_GB2312" w:eastAsia="仿宋_GB2312" w:cs="DengXian-Regular" w:hint="eastAsia"/>
          <w:b/>
          <w:bCs/>
          <w:sz w:val="32"/>
          <w:szCs w:val="32"/>
        </w:rPr>
        <w:t>较年初预算增加</w:t>
      </w:r>
      <w:r>
        <w:rPr>
          <w:rFonts w:asciiTheme="minorEastAsia" w:eastAsiaTheme="minorEastAsia" w:hAnsiTheme="minorEastAsia" w:cs="DengXian-Regular" w:hint="eastAsia"/>
          <w:b/>
          <w:bCs/>
          <w:sz w:val="32"/>
          <w:szCs w:val="32"/>
        </w:rPr>
        <w:t>0</w:t>
      </w:r>
      <w:r>
        <w:rPr>
          <w:rFonts w:ascii="仿宋_GB2312" w:eastAsia="仿宋_GB2312" w:cs="DengXian-Regular" w:hint="eastAsia"/>
          <w:b/>
          <w:bCs/>
          <w:sz w:val="32"/>
          <w:szCs w:val="32"/>
        </w:rPr>
        <w:t>万元，增长</w:t>
      </w:r>
      <w:r>
        <w:rPr>
          <w:rFonts w:asciiTheme="minorEastAsia" w:eastAsiaTheme="minorEastAsia" w:hAnsiTheme="minorEastAsia" w:cs="DengXian-Regular" w:hint="eastAsia"/>
          <w:b/>
          <w:bCs/>
          <w:sz w:val="32"/>
          <w:szCs w:val="32"/>
        </w:rPr>
        <w:t>0</w:t>
      </w:r>
      <w:r>
        <w:rPr>
          <w:rFonts w:ascii="仿宋_GB2312" w:eastAsia="仿宋_GB2312" w:cs="DengXian-Regular" w:hint="eastAsia"/>
          <w:b/>
          <w:bCs/>
          <w:sz w:val="32"/>
          <w:szCs w:val="32"/>
        </w:rPr>
        <w:t>%</w:t>
      </w:r>
      <w:r>
        <w:rPr>
          <w:rFonts w:ascii="仿宋_GB2312" w:eastAsia="仿宋_GB2312" w:cs="DengXian-Regular" w:hint="eastAsia"/>
          <w:b/>
          <w:bCs/>
          <w:sz w:val="32"/>
          <w:szCs w:val="32"/>
        </w:rPr>
        <w:t>，</w:t>
      </w:r>
      <w:r>
        <w:rPr>
          <w:rFonts w:ascii="仿宋" w:eastAsia="仿宋" w:hAnsi="仿宋" w:cs="宋体" w:hint="eastAsia"/>
          <w:sz w:val="32"/>
          <w:szCs w:val="32"/>
        </w:rPr>
        <w:t>无相关结余收入支出数据，按要求空表列示。</w:t>
      </w:r>
    </w:p>
    <w:p w:rsidR="005B018B" w:rsidRDefault="00996F42" w:rsidP="005B018B">
      <w:pPr>
        <w:adjustRightInd w:val="0"/>
        <w:snapToGrid w:val="0"/>
        <w:spacing w:after="0" w:line="580" w:lineRule="exact"/>
        <w:ind w:firstLineChars="200" w:firstLine="641"/>
        <w:rPr>
          <w:rFonts w:ascii="仿宋" w:eastAsia="仿宋" w:hAnsi="仿宋" w:cs="宋体"/>
          <w:sz w:val="32"/>
          <w:szCs w:val="32"/>
        </w:rPr>
      </w:pP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xx</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年度因</w:t>
      </w:r>
      <w:r>
        <w:rPr>
          <w:rFonts w:ascii="仿宋_GB2312" w:eastAsia="仿宋_GB2312" w:cs="DengXian-Regular" w:hint="eastAsia"/>
          <w:sz w:val="32"/>
          <w:szCs w:val="32"/>
        </w:rPr>
        <w:lastRenderedPageBreak/>
        <w:t>公出国（境）团组</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个、共</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人，支出费用</w:t>
      </w:r>
      <w:r>
        <w:rPr>
          <w:rFonts w:ascii="仿宋_GB2312" w:eastAsia="仿宋_GB2312" w:cs="DengXian-Regular" w:hint="eastAsia"/>
          <w:sz w:val="32"/>
          <w:szCs w:val="32"/>
        </w:rPr>
        <w:t>0</w:t>
      </w:r>
      <w:r>
        <w:rPr>
          <w:rFonts w:ascii="仿宋_GB2312" w:eastAsia="仿宋_GB2312" w:cs="DengXian-Regular" w:hint="eastAsia"/>
          <w:sz w:val="32"/>
          <w:szCs w:val="32"/>
        </w:rPr>
        <w:t>万元，</w:t>
      </w:r>
      <w:r w:rsidR="004E6942">
        <w:rPr>
          <w:rFonts w:ascii="仿宋_GB2312" w:eastAsia="仿宋_GB2312" w:cs="DengXian-Regular" w:hint="eastAsia"/>
          <w:sz w:val="32"/>
          <w:szCs w:val="32"/>
        </w:rPr>
        <w:t>参加其他单位组织的因公出国（境）团组</w:t>
      </w:r>
      <w:r w:rsidR="007516E0">
        <w:rPr>
          <w:rFonts w:ascii="仿宋_GB2312" w:eastAsia="仿宋_GB2312" w:cs="DengXian-Regular" w:hint="eastAsia"/>
          <w:sz w:val="32"/>
          <w:szCs w:val="32"/>
        </w:rPr>
        <w:t>0</w:t>
      </w:r>
      <w:r w:rsidR="004E6942">
        <w:rPr>
          <w:rFonts w:ascii="仿宋_GB2312" w:eastAsia="仿宋_GB2312" w:cs="DengXian-Regular" w:hint="eastAsia"/>
          <w:sz w:val="32"/>
          <w:szCs w:val="32"/>
        </w:rPr>
        <w:t>个、共0人/无本单位组织的出国（境）团组。因公出国（境）费支出较年初预算增加（减少）01万元，增长（降低）0%,.</w:t>
      </w:r>
    </w:p>
    <w:p w:rsidR="005B018B" w:rsidRDefault="00996F42" w:rsidP="005B018B">
      <w:pPr>
        <w:adjustRightInd w:val="0"/>
        <w:snapToGrid w:val="0"/>
        <w:spacing w:after="0" w:line="580" w:lineRule="exact"/>
        <w:ind w:firstLineChars="200" w:firstLine="641"/>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宋体" w:hAnsi="宋体" w:cs="宋体"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年度公务用车购置及运行维护费较年初预算减少</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万元，降低</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，支出费用</w:t>
      </w:r>
      <w:r>
        <w:rPr>
          <w:rFonts w:ascii="仿宋_GB2312" w:eastAsia="仿宋_GB2312" w:cs="DengXian-Regular" w:hint="eastAsia"/>
          <w:sz w:val="32"/>
          <w:szCs w:val="32"/>
        </w:rPr>
        <w:t>0</w:t>
      </w:r>
      <w:r>
        <w:rPr>
          <w:rFonts w:ascii="仿宋_GB2312" w:eastAsia="仿宋_GB2312" w:cs="DengXian-Regular" w:hint="eastAsia"/>
          <w:sz w:val="32"/>
          <w:szCs w:val="32"/>
        </w:rPr>
        <w:t>万元</w:t>
      </w:r>
      <w:r w:rsidR="0074466E">
        <w:rPr>
          <w:rFonts w:ascii="仿宋_GB2312" w:eastAsia="仿宋_GB2312" w:cs="DengXian-Regular" w:hint="eastAsia"/>
          <w:sz w:val="32"/>
          <w:szCs w:val="32"/>
        </w:rPr>
        <w:t>,与上年持平。</w:t>
      </w:r>
      <w:r>
        <w:rPr>
          <w:rFonts w:ascii="仿宋_GB2312" w:eastAsia="仿宋_GB2312" w:cs="DengXian-Bold" w:hint="eastAsia"/>
          <w:b/>
          <w:bCs/>
          <w:sz w:val="32"/>
          <w:szCs w:val="32"/>
        </w:rPr>
        <w:t>其中：</w:t>
      </w:r>
    </w:p>
    <w:p w:rsidR="005B018B" w:rsidRPr="008B32AF" w:rsidRDefault="00996F42" w:rsidP="005B018B">
      <w:pPr>
        <w:adjustRightInd w:val="0"/>
        <w:snapToGrid w:val="0"/>
        <w:spacing w:after="0" w:line="580" w:lineRule="exact"/>
        <w:ind w:firstLineChars="200" w:firstLine="641"/>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年度公务用车购置量</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辆，发生“公务用车购置”经费支出</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万元。公务用车购置费支出较年初预算增加</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w:t>
      </w:r>
      <w:r w:rsidR="00F46A88">
        <w:rPr>
          <w:rFonts w:ascii="仿宋_GB2312" w:eastAsia="仿宋_GB2312" w:cs="DengXian-Regular" w:hint="eastAsia"/>
          <w:sz w:val="32"/>
          <w:szCs w:val="32"/>
        </w:rPr>
        <w:t>。</w:t>
      </w:r>
      <w:r w:rsidR="00F46A88" w:rsidRPr="008B32AF">
        <w:rPr>
          <w:rFonts w:ascii="仿宋_GB2312" w:eastAsia="仿宋_GB2312" w:cs="DengXian-Regular"/>
          <w:sz w:val="32"/>
          <w:szCs w:val="32"/>
        </w:rPr>
        <w:t xml:space="preserve"> </w:t>
      </w:r>
    </w:p>
    <w:p w:rsidR="00F46A88" w:rsidRDefault="00996F42" w:rsidP="005B018B">
      <w:pPr>
        <w:adjustRightInd w:val="0"/>
        <w:snapToGrid w:val="0"/>
        <w:spacing w:after="0" w:line="580" w:lineRule="exact"/>
        <w:ind w:firstLineChars="200" w:firstLine="641"/>
        <w:rPr>
          <w:rFonts w:ascii="仿宋_GB2312" w:eastAsia="仿宋_GB2312" w:cs="DengXian-Regular" w:hint="eastAsia"/>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年度单位公务用车保有量</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辆。公车运行维护费支出较年初预算增加</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万元，增长</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，支出费用</w:t>
      </w:r>
      <w:r>
        <w:rPr>
          <w:rFonts w:ascii="仿宋_GB2312" w:eastAsia="仿宋_GB2312" w:cs="DengXian-Regular" w:hint="eastAsia"/>
          <w:sz w:val="32"/>
          <w:szCs w:val="32"/>
        </w:rPr>
        <w:t>0</w:t>
      </w:r>
      <w:r>
        <w:rPr>
          <w:rFonts w:ascii="仿宋_GB2312" w:eastAsia="仿宋_GB2312" w:cs="DengXian-Regular" w:hint="eastAsia"/>
          <w:sz w:val="32"/>
          <w:szCs w:val="32"/>
        </w:rPr>
        <w:t>万元</w:t>
      </w:r>
      <w:r w:rsidR="00F46A88">
        <w:rPr>
          <w:rFonts w:ascii="仿宋_GB2312" w:eastAsia="仿宋_GB2312" w:cs="DengXian-Regular" w:hint="eastAsia"/>
          <w:sz w:val="32"/>
          <w:szCs w:val="32"/>
        </w:rPr>
        <w:t>。</w:t>
      </w:r>
    </w:p>
    <w:p w:rsidR="005B018B" w:rsidRDefault="00996F42" w:rsidP="00F46A88">
      <w:pPr>
        <w:adjustRightInd w:val="0"/>
        <w:snapToGrid w:val="0"/>
        <w:spacing w:after="0" w:line="580" w:lineRule="exact"/>
        <w:ind w:firstLineChars="200" w:firstLine="641"/>
        <w:rPr>
          <w:rFonts w:ascii="仿宋" w:eastAsia="仿宋" w:hAnsi="仿宋" w:cs="宋体"/>
          <w:sz w:val="32"/>
          <w:szCs w:val="32"/>
        </w:rPr>
      </w:pPr>
      <w:r>
        <w:rPr>
          <w:rFonts w:ascii="楷体_GB2312" w:eastAsia="楷体_GB2312" w:cs="DengXian-Bold" w:hint="eastAsia"/>
          <w:b/>
          <w:bCs/>
          <w:sz w:val="32"/>
          <w:szCs w:val="32"/>
        </w:rPr>
        <w:t>（三）公务接待费支出</w:t>
      </w:r>
      <w:r>
        <w:rPr>
          <w:rFonts w:ascii="宋体" w:hAnsi="宋体" w:cs="宋体"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年度公务接待共</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批次、</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人次。公务接待费支出较年初预算增加</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万元，增长</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，支出费用</w:t>
      </w:r>
      <w:r>
        <w:rPr>
          <w:rFonts w:ascii="仿宋_GB2312" w:eastAsia="仿宋_GB2312" w:cs="DengXian-Regular" w:hint="eastAsia"/>
          <w:sz w:val="32"/>
          <w:szCs w:val="32"/>
        </w:rPr>
        <w:t>0</w:t>
      </w:r>
      <w:r>
        <w:rPr>
          <w:rFonts w:ascii="仿宋_GB2312" w:eastAsia="仿宋_GB2312" w:cs="DengXian-Regular" w:hint="eastAsia"/>
          <w:sz w:val="32"/>
          <w:szCs w:val="32"/>
        </w:rPr>
        <w:t>万元</w:t>
      </w:r>
      <w:r w:rsidR="00F46A88">
        <w:rPr>
          <w:rFonts w:ascii="仿宋_GB2312" w:eastAsia="仿宋_GB2312" w:cs="DengXian-Regular" w:hint="eastAsia"/>
          <w:sz w:val="32"/>
          <w:szCs w:val="32"/>
        </w:rPr>
        <w:t>。</w:t>
      </w:r>
    </w:p>
    <w:p w:rsidR="005B018B" w:rsidRDefault="00996F42">
      <w:pPr>
        <w:pStyle w:val="2"/>
        <w:spacing w:before="0" w:after="0" w:line="580" w:lineRule="exact"/>
        <w:ind w:firstLineChars="200" w:firstLine="640"/>
        <w:rPr>
          <w:rFonts w:ascii="黑体" w:eastAsia="黑体"/>
          <w:b w:val="0"/>
          <w:bCs w:val="0"/>
        </w:rPr>
      </w:pPr>
      <w:r>
        <w:rPr>
          <w:rFonts w:ascii="黑体" w:eastAsia="黑体" w:hint="eastAsia"/>
          <w:b w:val="0"/>
          <w:bCs w:val="0"/>
        </w:rPr>
        <w:t>六、绩效预算情况说明</w:t>
      </w:r>
    </w:p>
    <w:p w:rsidR="005B018B" w:rsidRDefault="00996F4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（一）绩效管理工作开展情况。根据《关于开展</w:t>
      </w:r>
      <w:r>
        <w:rPr>
          <w:rFonts w:ascii="仿宋_GB2312" w:eastAsia="仿宋_GB2312" w:cs="DengXian-Regular" w:hint="eastAsia"/>
          <w:sz w:val="32"/>
          <w:szCs w:val="32"/>
        </w:rPr>
        <w:t>2018</w:t>
      </w:r>
      <w:r>
        <w:rPr>
          <w:rFonts w:ascii="仿宋_GB2312" w:eastAsia="仿宋_GB2312" w:cs="DengXian-Regular" w:hint="eastAsia"/>
          <w:sz w:val="32"/>
          <w:szCs w:val="32"/>
        </w:rPr>
        <w:t>年度财政专项资金部门绩效自评价工作的通知》（石财绩</w:t>
      </w:r>
      <w:r>
        <w:rPr>
          <w:rFonts w:ascii="宋体" w:hAnsi="宋体" w:cs="宋体" w:hint="eastAsia"/>
          <w:sz w:val="32"/>
          <w:szCs w:val="32"/>
        </w:rPr>
        <w:t>[2019]</w:t>
      </w:r>
      <w:r>
        <w:rPr>
          <w:rFonts w:ascii="仿宋_GB2312" w:eastAsia="仿宋_GB2312" w:cs="DengXian-Regular" w:hint="eastAsia"/>
          <w:sz w:val="32"/>
          <w:szCs w:val="32"/>
        </w:rPr>
        <w:t>1</w:t>
      </w:r>
      <w:r>
        <w:rPr>
          <w:rFonts w:ascii="仿宋_GB2312" w:eastAsia="仿宋_GB2312" w:cs="DengXian-Regular" w:hint="eastAsia"/>
          <w:sz w:val="32"/>
          <w:szCs w:val="32"/>
        </w:rPr>
        <w:t>号），本单位认真开展了预算</w:t>
      </w:r>
      <w:r>
        <w:rPr>
          <w:rFonts w:ascii="仿宋_GB2312" w:eastAsia="仿宋_GB2312" w:cs="DengXian-Regular" w:hint="eastAsia"/>
          <w:sz w:val="32"/>
          <w:szCs w:val="32"/>
        </w:rPr>
        <w:t>绩效管理改革开展情况自查本单位无项目。</w:t>
      </w:r>
    </w:p>
    <w:p w:rsidR="005B018B" w:rsidRDefault="00996F4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lastRenderedPageBreak/>
        <w:t>（二）预算项目绩效评价开展情况根据预算绩效管理要求，本单位组织对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年度一般公共预算项目支出全面开展绩效自评，涉及</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等</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个项目，涉及资金</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万元。从评价情况看，评价结果为优秀的项目有</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个，良好的项目有</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个，一般的项目有</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个。</w:t>
      </w:r>
    </w:p>
    <w:p w:rsidR="005B018B" w:rsidRDefault="00996F4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5B018B" w:rsidRDefault="00996F4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本单位无民生项目和重点支出项目。</w:t>
      </w:r>
    </w:p>
    <w:p w:rsidR="005B018B" w:rsidRDefault="00996F42">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bookmarkStart w:id="0" w:name="_GoBack"/>
      <w:bookmarkEnd w:id="0"/>
    </w:p>
    <w:p w:rsidR="005B018B" w:rsidRDefault="00996F42" w:rsidP="005B018B">
      <w:pPr>
        <w:pStyle w:val="3"/>
        <w:spacing w:before="0" w:after="0" w:line="580" w:lineRule="exact"/>
        <w:ind w:firstLineChars="200" w:firstLine="641"/>
        <w:rPr>
          <w:rFonts w:ascii="楷体_GB2312" w:eastAsia="楷体_GB2312" w:cs="DengXian-Bold"/>
        </w:rPr>
      </w:pPr>
      <w:r>
        <w:rPr>
          <w:rFonts w:ascii="楷体_GB2312" w:eastAsia="楷体_GB2312" w:cs="DengXian-Bold" w:hint="eastAsia"/>
        </w:rPr>
        <w:t>（一）机关运行经费情况</w:t>
      </w:r>
    </w:p>
    <w:p w:rsidR="005B018B" w:rsidRDefault="00996F4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年度机关运行经费支出</w:t>
      </w:r>
      <w:r>
        <w:rPr>
          <w:rFonts w:asciiTheme="minorEastAsia" w:eastAsiaTheme="minorEastAsia" w:hAnsiTheme="minorEastAsia" w:cs="DengXian-Regular"/>
          <w:sz w:val="32"/>
          <w:szCs w:val="32"/>
        </w:rPr>
        <w:t>153</w:t>
      </w:r>
      <w:r>
        <w:rPr>
          <w:rFonts w:asciiTheme="minorEastAsia" w:eastAsiaTheme="minorEastAsia" w:hAnsiTheme="minorEastAsia" w:cs="DengXian-Regular" w:hint="eastAsia"/>
          <w:sz w:val="32"/>
          <w:szCs w:val="32"/>
        </w:rPr>
        <w:t>.</w:t>
      </w:r>
      <w:r>
        <w:rPr>
          <w:rFonts w:asciiTheme="minorEastAsia" w:eastAsiaTheme="minorEastAsia" w:hAnsiTheme="minorEastAsia" w:cs="DengXian-Regular"/>
          <w:sz w:val="32"/>
          <w:szCs w:val="32"/>
        </w:rPr>
        <w:t>74</w:t>
      </w:r>
      <w:r>
        <w:rPr>
          <w:rFonts w:ascii="仿宋_GB2312" w:eastAsia="仿宋_GB2312" w:cs="DengXian-Regular" w:hint="eastAsia"/>
          <w:sz w:val="32"/>
          <w:szCs w:val="32"/>
        </w:rPr>
        <w:t>万元，比年初预算数</w:t>
      </w:r>
      <w:r>
        <w:rPr>
          <w:rFonts w:ascii="宋体" w:hAnsi="宋体" w:cs="宋体" w:hint="eastAsia"/>
          <w:sz w:val="32"/>
          <w:szCs w:val="32"/>
        </w:rPr>
        <w:t>增长</w:t>
      </w:r>
      <w:r>
        <w:rPr>
          <w:rFonts w:ascii="宋体" w:hAnsi="宋体" w:cs="宋体" w:hint="eastAsia"/>
          <w:sz w:val="32"/>
          <w:szCs w:val="32"/>
        </w:rPr>
        <w:t>135.24</w:t>
      </w:r>
      <w:r>
        <w:rPr>
          <w:rFonts w:ascii="仿宋_GB2312" w:eastAsia="仿宋_GB2312" w:cs="DengXian-Regular" w:hint="eastAsia"/>
          <w:sz w:val="32"/>
          <w:szCs w:val="32"/>
        </w:rPr>
        <w:t>万元，增长</w:t>
      </w:r>
      <w:r>
        <w:rPr>
          <w:rFonts w:asciiTheme="minorEastAsia" w:eastAsiaTheme="minorEastAsia" w:hAnsiTheme="minorEastAsia" w:cs="DengXian-Regular" w:hint="eastAsia"/>
          <w:sz w:val="32"/>
          <w:szCs w:val="32"/>
        </w:rPr>
        <w:t>731.03</w:t>
      </w:r>
      <w:r>
        <w:rPr>
          <w:rFonts w:ascii="仿宋_GB2312" w:eastAsia="仿宋_GB2312" w:cs="DengXian-Regular" w:hint="eastAsia"/>
          <w:sz w:val="32"/>
          <w:szCs w:val="32"/>
        </w:rPr>
        <w:t>%</w:t>
      </w:r>
      <w:r>
        <w:rPr>
          <w:rFonts w:ascii="仿宋_GB2312" w:eastAsia="仿宋_GB2312" w:cs="DengXian-Regular" w:hint="eastAsia"/>
          <w:sz w:val="32"/>
          <w:szCs w:val="32"/>
        </w:rPr>
        <w:t>。主要原因是</w:t>
      </w:r>
      <w:r>
        <w:rPr>
          <w:rFonts w:ascii="宋体" w:hAnsi="宋体" w:cs="宋体" w:hint="eastAsia"/>
          <w:sz w:val="32"/>
          <w:szCs w:val="32"/>
        </w:rPr>
        <w:t>人员增加</w:t>
      </w:r>
      <w:r>
        <w:rPr>
          <w:rFonts w:ascii="宋体" w:hAnsi="宋体" w:cs="宋体" w:hint="eastAsia"/>
          <w:sz w:val="32"/>
          <w:szCs w:val="32"/>
        </w:rPr>
        <w:t>,</w:t>
      </w:r>
      <w:r>
        <w:rPr>
          <w:rFonts w:ascii="宋体" w:hAnsi="宋体" w:cs="宋体" w:hint="eastAsia"/>
          <w:sz w:val="32"/>
          <w:szCs w:val="32"/>
        </w:rPr>
        <w:t>业务增加</w:t>
      </w:r>
      <w:r>
        <w:rPr>
          <w:rFonts w:ascii="仿宋_GB2312" w:eastAsia="仿宋_GB2312" w:cs="DengXian-Regular" w:hint="eastAsia"/>
          <w:sz w:val="32"/>
          <w:szCs w:val="32"/>
        </w:rPr>
        <w:t>。</w:t>
      </w:r>
    </w:p>
    <w:p w:rsidR="005B018B" w:rsidRDefault="00996F42" w:rsidP="005B018B">
      <w:pPr>
        <w:pStyle w:val="3"/>
        <w:spacing w:before="0" w:after="0" w:line="580" w:lineRule="exact"/>
        <w:ind w:firstLineChars="200" w:firstLine="641"/>
        <w:rPr>
          <w:rFonts w:ascii="楷体_GB2312" w:eastAsia="楷体_GB2312" w:cs="DengXian-Bold"/>
        </w:rPr>
      </w:pPr>
      <w:r>
        <w:rPr>
          <w:rFonts w:ascii="楷体_GB2312" w:eastAsia="楷体_GB2312" w:cs="DengXian-Bold" w:hint="eastAsia"/>
        </w:rPr>
        <w:t>（二）政府采购情况</w:t>
      </w:r>
    </w:p>
    <w:p w:rsidR="005B018B" w:rsidRDefault="00996F42">
      <w:pPr>
        <w:adjustRightInd w:val="0"/>
        <w:snapToGrid w:val="0"/>
        <w:spacing w:after="0" w:line="580" w:lineRule="exact"/>
        <w:ind w:firstLineChars="200" w:firstLine="640"/>
        <w:rPr>
          <w:rFonts w:ascii="仿宋" w:eastAsia="仿宋" w:hAnsi="仿宋" w:cs="宋体"/>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年度政府采购支出总额</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Pr>
          <w:rFonts w:asciiTheme="minorEastAsia" w:eastAsiaTheme="minorEastAsia" w:hAnsiTheme="minorEastAsia" w:cs="仿宋_GB2312" w:hint="eastAsia"/>
          <w:color w:val="000000"/>
          <w:kern w:val="0"/>
          <w:sz w:val="32"/>
          <w:szCs w:val="32"/>
        </w:rPr>
        <w:t>0</w:t>
      </w:r>
      <w:r>
        <w:rPr>
          <w:rFonts w:ascii="仿宋_GB2312" w:eastAsia="仿宋_GB2312" w:hAnsi="仿宋_GB2312" w:cs="仿宋_GB2312"/>
          <w:color w:val="000000"/>
          <w:kern w:val="0"/>
          <w:sz w:val="32"/>
          <w:szCs w:val="32"/>
        </w:rPr>
        <w:t>万元、政府采购工程支出</w:t>
      </w:r>
      <w:r>
        <w:rPr>
          <w:rFonts w:asciiTheme="minorEastAsia" w:eastAsiaTheme="minorEastAsia" w:hAnsiTheme="minorEastAsia" w:cs="仿宋_GB2312" w:hint="eastAsia"/>
          <w:color w:val="000000"/>
          <w:kern w:val="0"/>
          <w:sz w:val="32"/>
          <w:szCs w:val="32"/>
        </w:rPr>
        <w:t>0</w:t>
      </w:r>
      <w:r>
        <w:rPr>
          <w:rFonts w:ascii="仿宋_GB2312" w:eastAsia="仿宋_GB2312" w:hAnsi="仿宋_GB2312" w:cs="仿宋_GB2312"/>
          <w:color w:val="000000"/>
          <w:kern w:val="0"/>
          <w:sz w:val="32"/>
          <w:szCs w:val="32"/>
        </w:rPr>
        <w:t>万元、政府采购服务支出</w:t>
      </w:r>
      <w:r>
        <w:rPr>
          <w:rFonts w:ascii="仿宋_GB2312" w:eastAsia="仿宋_GB2312" w:hAnsi="仿宋_GB2312" w:cs="仿宋_GB2312"/>
          <w:color w:val="000000"/>
          <w:kern w:val="0"/>
          <w:sz w:val="32"/>
          <w:szCs w:val="32"/>
        </w:rPr>
        <w:t xml:space="preserve"> </w:t>
      </w:r>
      <w:r>
        <w:rPr>
          <w:rFonts w:asciiTheme="minorEastAsia" w:eastAsiaTheme="minorEastAsia" w:hAnsiTheme="minorEastAsia"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Theme="minorEastAsia" w:eastAsiaTheme="minorEastAsia" w:hAnsiTheme="minorEastAsia"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Theme="minorEastAsia" w:eastAsiaTheme="minorEastAsia" w:hAnsiTheme="minorEastAsia" w:cs="仿宋_GB2312" w:hint="eastAsia"/>
          <w:color w:val="000000"/>
          <w:kern w:val="0"/>
          <w:sz w:val="32"/>
          <w:szCs w:val="32"/>
        </w:rPr>
        <w:t>0</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color w:val="000000"/>
          <w:kern w:val="0"/>
          <w:sz w:val="32"/>
          <w:szCs w:val="32"/>
        </w:rPr>
        <w:t>其中授予小微企业合同金额</w:t>
      </w:r>
      <w:r>
        <w:rPr>
          <w:rFonts w:asciiTheme="minorEastAsia" w:eastAsiaTheme="minorEastAsia" w:hAnsiTheme="minorEastAsia"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color w:val="000000"/>
          <w:kern w:val="0"/>
          <w:sz w:val="32"/>
          <w:szCs w:val="32"/>
        </w:rPr>
        <w:t xml:space="preserve"> </w:t>
      </w:r>
      <w:r>
        <w:rPr>
          <w:rFonts w:asciiTheme="minorEastAsia" w:eastAsiaTheme="minorEastAsia" w:hAnsiTheme="minorEastAsia" w:cs="仿宋_GB2312" w:hint="eastAsia"/>
          <w:color w:val="000000"/>
          <w:kern w:val="0"/>
          <w:sz w:val="32"/>
          <w:szCs w:val="32"/>
        </w:rPr>
        <w:t>0</w:t>
      </w:r>
      <w:r>
        <w:rPr>
          <w:rFonts w:ascii="仿宋_GB2312" w:eastAsia="仿宋_GB2312" w:hAnsi="仿宋_GB2312" w:cs="仿宋_GB2312"/>
          <w:color w:val="000000"/>
          <w:kern w:val="0"/>
          <w:sz w:val="32"/>
          <w:szCs w:val="32"/>
        </w:rPr>
        <w:t>%</w:t>
      </w:r>
      <w:r>
        <w:rPr>
          <w:rFonts w:ascii="仿宋_GB2312" w:eastAsia="仿宋_GB2312" w:cs="DengXian-Regular" w:hint="eastAsia"/>
          <w:sz w:val="32"/>
          <w:szCs w:val="32"/>
        </w:rPr>
        <w:t>，</w:t>
      </w:r>
      <w:r>
        <w:rPr>
          <w:rFonts w:ascii="仿宋" w:eastAsia="仿宋" w:hAnsi="仿宋" w:cs="宋体" w:hint="eastAsia"/>
          <w:sz w:val="32"/>
          <w:szCs w:val="32"/>
        </w:rPr>
        <w:t>无相关结余收入支出数据，按要求空表列示。</w:t>
      </w:r>
    </w:p>
    <w:p w:rsidR="005B018B" w:rsidRDefault="00996F42">
      <w:pPr>
        <w:adjustRightInd w:val="0"/>
        <w:snapToGrid w:val="0"/>
        <w:spacing w:after="0" w:line="580" w:lineRule="exact"/>
        <w:ind w:firstLineChars="50" w:firstLine="161"/>
        <w:rPr>
          <w:rFonts w:ascii="楷体" w:eastAsia="楷体" w:hAnsi="楷体" w:cs="DengXian-Bold"/>
          <w:b/>
          <w:sz w:val="32"/>
          <w:szCs w:val="32"/>
        </w:rPr>
      </w:pPr>
      <w:r>
        <w:rPr>
          <w:rFonts w:ascii="楷体" w:eastAsia="楷体" w:hAnsi="楷体" w:cs="DengXian-Bold" w:hint="eastAsia"/>
          <w:b/>
          <w:sz w:val="32"/>
          <w:szCs w:val="32"/>
        </w:rPr>
        <w:t>（三）国有资产占用情况</w:t>
      </w:r>
    </w:p>
    <w:p w:rsidR="005B018B" w:rsidRDefault="00996F42">
      <w:pPr>
        <w:adjustRightInd w:val="0"/>
        <w:snapToGrid w:val="0"/>
        <w:spacing w:after="0" w:line="580" w:lineRule="exact"/>
        <w:ind w:firstLineChars="200" w:firstLine="640"/>
        <w:rPr>
          <w:rFonts w:ascii="仿宋" w:eastAsia="仿宋" w:hAnsi="仿宋" w:cs="宋体"/>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2018</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辆，</w:t>
      </w:r>
      <w:r>
        <w:rPr>
          <w:rFonts w:ascii="仿宋_GB2312" w:eastAsia="仿宋_GB2312" w:cs="DengXian-Regular" w:hint="eastAsia"/>
          <w:sz w:val="32"/>
          <w:szCs w:val="32"/>
        </w:rPr>
        <w:lastRenderedPageBreak/>
        <w:t>比上年增加</w:t>
      </w:r>
      <w:r>
        <w:rPr>
          <w:rFonts w:asciiTheme="minorEastAsia" w:eastAsiaTheme="minorEastAsia" w:hAnsiTheme="minorEastAsia" w:cs="DengXian-Regular" w:hint="eastAsia"/>
          <w:sz w:val="32"/>
          <w:szCs w:val="32"/>
        </w:rPr>
        <w:t>0</w:t>
      </w:r>
      <w:r>
        <w:rPr>
          <w:rFonts w:ascii="仿宋_GB2312" w:eastAsia="仿宋_GB2312" w:cs="DengXian-Regular" w:hint="eastAsia"/>
          <w:sz w:val="32"/>
          <w:szCs w:val="32"/>
        </w:rPr>
        <w:t>辆，主要是</w:t>
      </w:r>
      <w:r>
        <w:rPr>
          <w:rFonts w:ascii="宋体" w:hAnsi="宋体" w:cs="宋体" w:hint="eastAsia"/>
          <w:sz w:val="32"/>
          <w:szCs w:val="32"/>
        </w:rPr>
        <w:t>没有购置公车</w:t>
      </w:r>
      <w:r>
        <w:rPr>
          <w:rFonts w:ascii="仿宋_GB2312" w:eastAsia="仿宋_GB2312" w:cs="DengXian-Regular" w:hint="eastAsia"/>
          <w:sz w:val="32"/>
          <w:szCs w:val="32"/>
        </w:rPr>
        <w:t>。其中，副部（省）级及以上领</w:t>
      </w:r>
      <w:r>
        <w:rPr>
          <w:rFonts w:ascii="仿宋" w:eastAsia="仿宋" w:hAnsi="仿宋" w:cs="DengXian-Regular" w:hint="eastAsia"/>
          <w:sz w:val="32"/>
          <w:szCs w:val="32"/>
        </w:rPr>
        <w:t>导用车</w:t>
      </w:r>
      <w:r>
        <w:rPr>
          <w:rFonts w:ascii="仿宋" w:eastAsia="仿宋" w:hAnsi="仿宋" w:cs="DengXian-Regular" w:hint="eastAsia"/>
          <w:sz w:val="32"/>
          <w:szCs w:val="32"/>
        </w:rPr>
        <w:t>0</w:t>
      </w:r>
      <w:r>
        <w:rPr>
          <w:rFonts w:ascii="仿宋" w:eastAsia="仿宋" w:hAnsi="仿宋" w:cs="DengXian-Regular" w:hint="eastAsia"/>
          <w:sz w:val="32"/>
          <w:szCs w:val="32"/>
        </w:rPr>
        <w:t>辆，主要领导干部用车</w:t>
      </w:r>
      <w:r>
        <w:rPr>
          <w:rFonts w:ascii="仿宋" w:eastAsia="仿宋" w:hAnsi="仿宋" w:cs="DengXian-Regular" w:hint="eastAsia"/>
          <w:sz w:val="32"/>
          <w:szCs w:val="32"/>
        </w:rPr>
        <w:t>0</w:t>
      </w:r>
      <w:r>
        <w:rPr>
          <w:rFonts w:ascii="仿宋" w:eastAsia="仿宋" w:hAnsi="仿宋" w:cs="DengXian-Regular" w:hint="eastAsia"/>
          <w:sz w:val="32"/>
          <w:szCs w:val="32"/>
        </w:rPr>
        <w:t>辆，机要通信用车</w:t>
      </w:r>
      <w:r>
        <w:rPr>
          <w:rFonts w:ascii="仿宋" w:eastAsia="仿宋" w:hAnsi="仿宋" w:cs="DengXian-Regular" w:hint="eastAsia"/>
          <w:sz w:val="32"/>
          <w:szCs w:val="32"/>
        </w:rPr>
        <w:t>0</w:t>
      </w:r>
      <w:r>
        <w:rPr>
          <w:rFonts w:ascii="仿宋" w:eastAsia="仿宋" w:hAnsi="仿宋" w:cs="DengXian-Regular" w:hint="eastAsia"/>
          <w:sz w:val="32"/>
          <w:szCs w:val="32"/>
        </w:rPr>
        <w:t>辆，应急保障用车</w:t>
      </w:r>
      <w:r>
        <w:rPr>
          <w:rFonts w:ascii="仿宋" w:eastAsia="仿宋" w:hAnsi="仿宋" w:cs="DengXian-Regular" w:hint="eastAsia"/>
          <w:sz w:val="32"/>
          <w:szCs w:val="32"/>
        </w:rPr>
        <w:t>0</w:t>
      </w:r>
      <w:r>
        <w:rPr>
          <w:rFonts w:ascii="仿宋" w:eastAsia="仿宋" w:hAnsi="仿宋" w:cs="DengXian-Regular" w:hint="eastAsia"/>
          <w:sz w:val="32"/>
          <w:szCs w:val="32"/>
        </w:rPr>
        <w:t>辆，执法执勤用车</w:t>
      </w:r>
      <w:r>
        <w:rPr>
          <w:rFonts w:ascii="仿宋" w:eastAsia="仿宋" w:hAnsi="仿宋" w:cs="DengXian-Regular" w:hint="eastAsia"/>
          <w:sz w:val="32"/>
          <w:szCs w:val="32"/>
        </w:rPr>
        <w:t>0</w:t>
      </w:r>
      <w:r>
        <w:rPr>
          <w:rFonts w:ascii="仿宋" w:eastAsia="仿宋" w:hAnsi="仿宋" w:cs="DengXian-Regular" w:hint="eastAsia"/>
          <w:sz w:val="32"/>
          <w:szCs w:val="32"/>
        </w:rPr>
        <w:t>辆，特种专业技术用车</w:t>
      </w:r>
      <w:r>
        <w:rPr>
          <w:rFonts w:ascii="仿宋" w:eastAsia="仿宋" w:hAnsi="仿宋" w:cs="DengXian-Regular" w:hint="eastAsia"/>
          <w:sz w:val="32"/>
          <w:szCs w:val="32"/>
        </w:rPr>
        <w:t>0</w:t>
      </w:r>
      <w:r>
        <w:rPr>
          <w:rFonts w:ascii="仿宋" w:eastAsia="仿宋" w:hAnsi="仿宋" w:cs="DengXian-Regular" w:hint="eastAsia"/>
          <w:sz w:val="32"/>
          <w:szCs w:val="32"/>
        </w:rPr>
        <w:t>辆，离退休干部用车</w:t>
      </w:r>
      <w:r>
        <w:rPr>
          <w:rFonts w:ascii="仿宋" w:eastAsia="仿宋" w:hAnsi="仿宋" w:cs="DengXian-Regular" w:hint="eastAsia"/>
          <w:sz w:val="32"/>
          <w:szCs w:val="32"/>
        </w:rPr>
        <w:t>0</w:t>
      </w:r>
      <w:r>
        <w:rPr>
          <w:rFonts w:ascii="仿宋" w:eastAsia="仿宋" w:hAnsi="仿宋" w:cs="DengXian-Regular" w:hint="eastAsia"/>
          <w:sz w:val="32"/>
          <w:szCs w:val="32"/>
        </w:rPr>
        <w:t>辆，其他用车</w:t>
      </w:r>
      <w:r>
        <w:rPr>
          <w:rFonts w:ascii="仿宋" w:eastAsia="仿宋" w:hAnsi="仿宋" w:cs="DengXian-Regular" w:hint="eastAsia"/>
          <w:sz w:val="32"/>
          <w:szCs w:val="32"/>
        </w:rPr>
        <w:t>0</w:t>
      </w:r>
      <w:r>
        <w:rPr>
          <w:rFonts w:ascii="仿宋" w:eastAsia="仿宋" w:hAnsi="仿宋" w:cs="DengXian-Regular" w:hint="eastAsia"/>
          <w:sz w:val="32"/>
          <w:szCs w:val="32"/>
        </w:rPr>
        <w:t>辆；单位价值</w:t>
      </w:r>
      <w:r>
        <w:rPr>
          <w:rFonts w:ascii="仿宋" w:eastAsia="仿宋" w:hAnsi="仿宋" w:cs="TimesNewRomanPSMT" w:hint="eastAsia"/>
          <w:sz w:val="32"/>
          <w:szCs w:val="32"/>
        </w:rPr>
        <w:t>50</w:t>
      </w:r>
      <w:r>
        <w:rPr>
          <w:rFonts w:ascii="仿宋" w:eastAsia="仿宋" w:hAnsi="仿宋" w:cs="DengXian-Regular" w:hint="eastAsia"/>
          <w:sz w:val="32"/>
          <w:szCs w:val="32"/>
        </w:rPr>
        <w:t>万元以上通用设备</w:t>
      </w:r>
      <w:r>
        <w:rPr>
          <w:rFonts w:ascii="仿宋" w:eastAsia="仿宋" w:hAnsi="仿宋" w:cs="DengXian-Regular" w:hint="eastAsia"/>
          <w:sz w:val="32"/>
          <w:szCs w:val="32"/>
        </w:rPr>
        <w:t>0</w:t>
      </w:r>
      <w:r>
        <w:rPr>
          <w:rFonts w:ascii="仿宋" w:eastAsia="仿宋" w:hAnsi="仿宋" w:cs="DengXian-Regular" w:hint="eastAsia"/>
          <w:sz w:val="32"/>
          <w:szCs w:val="32"/>
        </w:rPr>
        <w:t>台（套），比上年增加</w:t>
      </w:r>
      <w:r>
        <w:rPr>
          <w:rFonts w:ascii="仿宋" w:eastAsia="仿宋" w:hAnsi="仿宋" w:cs="DengXian-Regular" w:hint="eastAsia"/>
          <w:sz w:val="32"/>
          <w:szCs w:val="32"/>
        </w:rPr>
        <w:t>0</w:t>
      </w:r>
      <w:r>
        <w:rPr>
          <w:rFonts w:ascii="仿宋" w:eastAsia="仿宋" w:hAnsi="仿宋" w:cs="DengXian-Regular" w:hint="eastAsia"/>
          <w:sz w:val="32"/>
          <w:szCs w:val="32"/>
        </w:rPr>
        <w:t>套，主要是</w:t>
      </w:r>
      <w:r>
        <w:rPr>
          <w:rFonts w:ascii="仿宋" w:eastAsia="仿宋" w:hAnsi="仿宋" w:cs="宋体" w:hint="eastAsia"/>
          <w:sz w:val="32"/>
          <w:szCs w:val="32"/>
        </w:rPr>
        <w:t>没有购置通用设备</w:t>
      </w:r>
      <w:r>
        <w:rPr>
          <w:rFonts w:ascii="仿宋" w:eastAsia="仿宋" w:hAnsi="仿宋" w:cs="DengXian-Regular" w:hint="eastAsia"/>
          <w:sz w:val="32"/>
          <w:szCs w:val="32"/>
        </w:rPr>
        <w:t xml:space="preserve"> </w:t>
      </w:r>
      <w:r>
        <w:rPr>
          <w:rFonts w:ascii="仿宋" w:eastAsia="仿宋" w:hAnsi="仿宋" w:cs="DengXian-Regular" w:hint="eastAsia"/>
          <w:sz w:val="32"/>
          <w:szCs w:val="32"/>
        </w:rPr>
        <w:t>，单位价值</w:t>
      </w:r>
      <w:r>
        <w:rPr>
          <w:rFonts w:ascii="仿宋" w:eastAsia="仿宋" w:hAnsi="仿宋" w:cs="TimesNewRomanPSMT" w:hint="eastAsia"/>
          <w:sz w:val="32"/>
          <w:szCs w:val="32"/>
        </w:rPr>
        <w:t>100</w:t>
      </w:r>
      <w:r>
        <w:rPr>
          <w:rFonts w:ascii="仿宋" w:eastAsia="仿宋" w:hAnsi="仿宋" w:cs="DengXian-Regular" w:hint="eastAsia"/>
          <w:sz w:val="32"/>
          <w:szCs w:val="32"/>
        </w:rPr>
        <w:t>万元以上专用设备</w:t>
      </w:r>
      <w:r>
        <w:rPr>
          <w:rFonts w:ascii="仿宋" w:eastAsia="仿宋" w:hAnsi="仿宋" w:cs="DengXian-Regular" w:hint="eastAsia"/>
          <w:sz w:val="32"/>
          <w:szCs w:val="32"/>
        </w:rPr>
        <w:t>0</w:t>
      </w:r>
      <w:r>
        <w:rPr>
          <w:rFonts w:ascii="仿宋" w:eastAsia="仿宋" w:hAnsi="仿宋" w:cs="DengXian-Regular" w:hint="eastAsia"/>
          <w:sz w:val="32"/>
          <w:szCs w:val="32"/>
        </w:rPr>
        <w:t>台（套）比上年增加</w:t>
      </w:r>
      <w:r>
        <w:rPr>
          <w:rFonts w:ascii="仿宋" w:eastAsia="仿宋" w:hAnsi="仿宋" w:cs="DengXian-Regular" w:hint="eastAsia"/>
          <w:sz w:val="32"/>
          <w:szCs w:val="32"/>
        </w:rPr>
        <w:t>0</w:t>
      </w:r>
      <w:r>
        <w:rPr>
          <w:rFonts w:ascii="仿宋" w:eastAsia="仿宋" w:hAnsi="仿宋" w:cs="DengXian-Regular" w:hint="eastAsia"/>
          <w:sz w:val="32"/>
          <w:szCs w:val="32"/>
        </w:rPr>
        <w:t>套</w:t>
      </w:r>
      <w:r>
        <w:rPr>
          <w:rFonts w:ascii="仿宋" w:eastAsia="仿宋" w:hAnsi="仿宋" w:cs="DengXian-Regular" w:hint="eastAsia"/>
          <w:sz w:val="32"/>
          <w:szCs w:val="32"/>
        </w:rPr>
        <w:t>,</w:t>
      </w:r>
      <w:r>
        <w:rPr>
          <w:rFonts w:ascii="仿宋" w:eastAsia="仿宋" w:hAnsi="仿宋" w:cs="宋体" w:hint="eastAsia"/>
          <w:sz w:val="32"/>
          <w:szCs w:val="32"/>
        </w:rPr>
        <w:t xml:space="preserve"> </w:t>
      </w:r>
      <w:r>
        <w:rPr>
          <w:rFonts w:ascii="仿宋" w:eastAsia="仿宋" w:hAnsi="仿宋" w:cs="宋体" w:hint="eastAsia"/>
          <w:sz w:val="32"/>
          <w:szCs w:val="32"/>
        </w:rPr>
        <w:t>无相关结余收入支出数据，按要求空表列示。</w:t>
      </w:r>
    </w:p>
    <w:p w:rsidR="005B018B" w:rsidRDefault="00996F42">
      <w:pPr>
        <w:adjustRightInd w:val="0"/>
        <w:snapToGrid w:val="0"/>
        <w:spacing w:after="0" w:line="580" w:lineRule="exact"/>
        <w:rPr>
          <w:rFonts w:ascii="楷体_GB2312" w:eastAsia="楷体_GB2312" w:cs="DengXian-Bold"/>
          <w:b/>
          <w:sz w:val="32"/>
          <w:szCs w:val="32"/>
        </w:rPr>
      </w:pPr>
      <w:r>
        <w:rPr>
          <w:rFonts w:ascii="楷体_GB2312" w:eastAsia="楷体_GB2312" w:cs="DengXian-Bold" w:hint="eastAsia"/>
          <w:b/>
          <w:sz w:val="32"/>
          <w:szCs w:val="32"/>
        </w:rPr>
        <w:t>（四）其他需要说明的情况</w:t>
      </w:r>
    </w:p>
    <w:p w:rsidR="005B018B" w:rsidRDefault="00996F4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5B018B" w:rsidRDefault="005B018B">
      <w:pPr>
        <w:widowControl/>
        <w:spacing w:after="0" w:line="580" w:lineRule="exact"/>
        <w:ind w:firstLineChars="200" w:firstLine="883"/>
        <w:jc w:val="left"/>
        <w:rPr>
          <w:rFonts w:asciiTheme="majorEastAsia" w:eastAsiaTheme="majorEastAsia" w:hAnsiTheme="majorEastAsia" w:cs="MS-UIGothic,Bold"/>
          <w:b/>
          <w:bCs/>
          <w:kern w:val="0"/>
          <w:sz w:val="44"/>
          <w:szCs w:val="44"/>
        </w:rPr>
        <w:sectPr w:rsidR="005B018B">
          <w:pgSz w:w="11906" w:h="16838"/>
          <w:pgMar w:top="2098" w:right="1474" w:bottom="1984" w:left="1588" w:header="851" w:footer="992" w:gutter="0"/>
          <w:cols w:space="0"/>
          <w:docGrid w:type="lines" w:linePitch="312"/>
        </w:sectPr>
      </w:pPr>
    </w:p>
    <w:p w:rsidR="005B018B" w:rsidRDefault="00996F42">
      <w:pPr>
        <w:rPr>
          <w:rFonts w:ascii="宋体" w:hAnsi="宋体" w:cs="ArialUnicodeMS"/>
          <w:color w:val="000000"/>
          <w:kern w:val="0"/>
        </w:rPr>
        <w:sectPr w:rsidR="005B018B">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1" cstate="print"/>
                    <a:stretch>
                      <a:fillRect/>
                    </a:stretch>
                  </pic:blipFill>
                  <pic:spPr>
                    <a:xfrm>
                      <a:off x="0" y="0"/>
                      <a:ext cx="7550150" cy="10680065"/>
                    </a:xfrm>
                    <a:prstGeom prst="rect">
                      <a:avLst/>
                    </a:prstGeom>
                  </pic:spPr>
                </pic:pic>
              </a:graphicData>
            </a:graphic>
          </wp:anchor>
        </w:drawing>
      </w:r>
      <w:r w:rsidR="005B018B" w:rsidRPr="005B018B">
        <w:rPr>
          <w:sz w:val="72"/>
        </w:rPr>
        <w:pict>
          <v:shape id="_x0000_s1027" type="#_x0000_t202" style="position:absolute;left:0;text-align:left;margin-left:-78.7pt;margin-top:232.8pt;width:596.2pt;height:159.1pt;z-index:251666432;mso-position-horizontal-relative:text;mso-position-vertical-relative:text;mso-width-relative:page;mso-height-relative:page"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filled="f" stroked="f" strokeweight=".5pt">
            <v:textbox>
              <w:txbxContent>
                <w:p w:rsidR="005B018B" w:rsidRDefault="00996F4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第四部分</w:t>
                  </w:r>
                </w:p>
                <w:p w:rsidR="005B018B" w:rsidRDefault="00996F42">
                  <w:pPr>
                    <w:widowControl/>
                    <w:spacing w:line="1200" w:lineRule="exact"/>
                    <w:jc w:val="center"/>
                    <w:rPr>
                      <w:color w:val="FDEFBE"/>
                      <w:sz w:val="96"/>
                      <w:szCs w:val="96"/>
                    </w:rPr>
                  </w:pPr>
                  <w:r>
                    <w:rPr>
                      <w:rFonts w:asciiTheme="minorEastAsia" w:eastAsiaTheme="minorEastAsia" w:hAnsi="宋体" w:hint="eastAsia"/>
                      <w:color w:val="FDEFBE"/>
                      <w:sz w:val="96"/>
                      <w:szCs w:val="96"/>
                    </w:rPr>
                    <w:t>名词解释</w:t>
                  </w:r>
                </w:p>
              </w:txbxContent>
            </v:textbox>
          </v:shape>
        </w:pic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（一）财政拨款收入：</w:t>
      </w:r>
      <w:r>
        <w:rPr>
          <w:rFonts w:ascii="仿宋_GB2312" w:eastAsia="仿宋_GB2312" w:hAnsiTheme="majorEastAsia" w:hint="eastAsia"/>
          <w:color w:val="000000"/>
          <w:kern w:val="0"/>
          <w:sz w:val="32"/>
          <w:szCs w:val="32"/>
        </w:rPr>
        <w:t>本年度从本级财政部门取得的财政拨款，包括一般公共预算财政拨款和政府性基金预算财政拨款。</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（二）事业收入：</w:t>
      </w:r>
      <w:r>
        <w:rPr>
          <w:rFonts w:ascii="仿宋_GB2312" w:eastAsia="仿宋_GB2312" w:hAnsiTheme="majorEastAsia" w:hint="eastAsia"/>
          <w:color w:val="000000"/>
          <w:kern w:val="0"/>
          <w:sz w:val="32"/>
          <w:szCs w:val="32"/>
        </w:rPr>
        <w:t>指事业单位开展专业业务活动及辅助活动所取得的收入。</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（三）其他收入：</w:t>
      </w:r>
      <w:r>
        <w:rPr>
          <w:rFonts w:ascii="仿宋_GB2312" w:eastAsia="仿宋_GB2312" w:hAnsiTheme="majorEastAsia" w:hint="eastAsia"/>
          <w:color w:val="000000"/>
          <w:kern w:val="0"/>
          <w:sz w:val="32"/>
          <w:szCs w:val="32"/>
        </w:rPr>
        <w:t>指除上述“财政拨款收入”“事业收入”“经营收入”等以外的收入。</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（四）用事业基金弥补收支差额：</w:t>
      </w:r>
      <w:r>
        <w:rPr>
          <w:rFonts w:ascii="仿宋_GB2312" w:eastAsia="仿宋_GB2312" w:hAnsiTheme="majorEastAsia"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（五）年初结转和结余：</w:t>
      </w:r>
      <w:r>
        <w:rPr>
          <w:rFonts w:ascii="仿宋_GB2312" w:eastAsia="仿宋_GB2312" w:hAnsiTheme="majorEastAsia" w:hint="eastAsia"/>
          <w:color w:val="000000"/>
          <w:kern w:val="0"/>
          <w:sz w:val="32"/>
          <w:szCs w:val="32"/>
        </w:rPr>
        <w:t>指以前年度尚未完成、结转到本年仍按原规定用途继续使用的资金，或项目已完成等产生的结余资金。</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（六）结余分配：</w:t>
      </w:r>
      <w:r>
        <w:rPr>
          <w:rFonts w:ascii="仿宋_GB2312" w:eastAsia="仿宋_GB2312" w:hAnsiTheme="majorEastAsia" w:hint="eastAsia"/>
          <w:color w:val="000000"/>
          <w:kern w:val="0"/>
          <w:sz w:val="32"/>
          <w:szCs w:val="32"/>
        </w:rPr>
        <w:t>指事业单位按照事业单位会计制度的规定从非财政补助结余中分配的事业基金和职工福利基金等。</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（七）年末结转和结余：</w:t>
      </w:r>
      <w:r>
        <w:rPr>
          <w:rFonts w:ascii="仿宋_GB2312" w:eastAsia="仿宋_GB2312" w:hAnsiTheme="majorEastAsia" w:hint="eastAsia"/>
          <w:color w:val="000000"/>
          <w:kern w:val="0"/>
          <w:sz w:val="32"/>
          <w:szCs w:val="32"/>
        </w:rPr>
        <w:t>指单位按有关规定结转到下年或以后年度继续使用的资金，或项目已完成等产生的结余资金。</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（八）基本支出：</w:t>
      </w:r>
      <w:r>
        <w:rPr>
          <w:rFonts w:ascii="仿宋_GB2312" w:eastAsia="仿宋_GB2312" w:hAnsiTheme="majorEastAsia" w:hint="eastAsia"/>
          <w:color w:val="000000"/>
          <w:kern w:val="0"/>
          <w:sz w:val="32"/>
          <w:szCs w:val="32"/>
        </w:rPr>
        <w:t>填列单位为保障机构正常运转、完成日常工作任务而发生的各项支出。</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（九）项目支出：</w:t>
      </w:r>
      <w:r>
        <w:rPr>
          <w:rFonts w:ascii="仿宋_GB2312" w:eastAsia="仿宋_GB2312" w:hAnsiTheme="majorEastAsia" w:hint="eastAsia"/>
          <w:color w:val="000000"/>
          <w:kern w:val="0"/>
          <w:sz w:val="32"/>
          <w:szCs w:val="32"/>
        </w:rPr>
        <w:t>填列单位为完成特定的行政工作任务或事业发展目标，在基本支出之外发生的各项支出</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（十）资本性支出（基本建设）：</w:t>
      </w:r>
      <w:r>
        <w:rPr>
          <w:rFonts w:ascii="仿宋_GB2312" w:eastAsia="仿宋_GB2312" w:hAnsiTheme="majorEastAsia" w:hint="eastAsia"/>
          <w:color w:val="000000"/>
          <w:kern w:val="0"/>
          <w:sz w:val="32"/>
          <w:szCs w:val="32"/>
        </w:rPr>
        <w:t>填列切块由发展改革部门安排的基本建设支出，对企业补助支出不在此科目反映。</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（十一）资本性支出：</w:t>
      </w:r>
      <w:r>
        <w:rPr>
          <w:rFonts w:ascii="仿宋_GB2312" w:eastAsia="仿宋_GB2312" w:hAnsiTheme="majorEastAsia" w:hint="eastAsia"/>
          <w:color w:val="000000"/>
          <w:kern w:val="0"/>
          <w:sz w:val="32"/>
          <w:szCs w:val="32"/>
        </w:rPr>
        <w:t>填列各单位安排的资本性支出。切块由发展改革部门安排的基本建设支出不在此科目反映。</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（十二）“三公”经费：</w:t>
      </w:r>
      <w:r>
        <w:rPr>
          <w:rFonts w:ascii="仿宋_GB2312" w:eastAsia="仿宋_GB2312" w:hAnsiTheme="majorEastAsia" w:hint="eastAsia"/>
          <w:color w:val="000000"/>
          <w:kern w:val="0"/>
          <w:sz w:val="32"/>
          <w:szCs w:val="32"/>
        </w:rPr>
        <w:t>指部门用财政拨款安排的因公</w:t>
      </w:r>
      <w:r>
        <w:rPr>
          <w:rFonts w:ascii="仿宋_GB2312" w:eastAsia="仿宋_GB2312" w:hAnsiTheme="majorEastAsia" w:hint="eastAsia"/>
          <w:color w:val="000000"/>
          <w:kern w:val="0"/>
          <w:sz w:val="32"/>
          <w:szCs w:val="32"/>
        </w:rPr>
        <w:t>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（十三）其他交通费用：</w:t>
      </w:r>
      <w:r>
        <w:rPr>
          <w:rFonts w:ascii="仿宋_GB2312" w:eastAsia="仿宋_GB2312" w:hAnsiTheme="majorEastAsia" w:hint="eastAsia"/>
          <w:color w:val="000000"/>
          <w:kern w:val="0"/>
          <w:sz w:val="32"/>
          <w:szCs w:val="32"/>
        </w:rPr>
        <w:t>填列单位除公务用车运行维护费以外的其他交通费用。如公务交通补贴、租车费用、出租车费用、飞机、船舶等的燃料费、维修费、保险费等。</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（十四）公务</w:t>
      </w:r>
      <w:r>
        <w:rPr>
          <w:rFonts w:ascii="仿宋_GB2312" w:eastAsia="仿宋_GB2312" w:hAnsiTheme="majorEastAsia" w:hint="eastAsia"/>
          <w:b/>
          <w:bCs/>
          <w:color w:val="000000"/>
          <w:kern w:val="0"/>
          <w:sz w:val="32"/>
          <w:szCs w:val="32"/>
        </w:rPr>
        <w:t>用车购置：</w:t>
      </w:r>
      <w:r>
        <w:rPr>
          <w:rFonts w:ascii="仿宋_GB2312" w:eastAsia="仿宋_GB2312" w:hAnsiTheme="majorEastAsia" w:hint="eastAsia"/>
          <w:color w:val="000000"/>
          <w:kern w:val="0"/>
          <w:sz w:val="32"/>
          <w:szCs w:val="32"/>
        </w:rPr>
        <w:t>填列单位公务用车购置支出（含车辆购置税、牌照费）。</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（十五）其他交通工具购置：</w:t>
      </w:r>
      <w:r>
        <w:rPr>
          <w:rFonts w:ascii="仿宋_GB2312" w:eastAsia="仿宋_GB2312" w:hAnsiTheme="majorEastAsia" w:hint="eastAsia"/>
          <w:color w:val="000000"/>
          <w:kern w:val="0"/>
          <w:sz w:val="32"/>
          <w:szCs w:val="32"/>
        </w:rPr>
        <w:t>填列单位除公务用车外的其他各类交通工具（如船舶、飞机）购置支出（含车辆购置税、牌照费）。</w:t>
      </w:r>
    </w:p>
    <w:p w:rsidR="005B018B" w:rsidRDefault="00996F42" w:rsidP="005B018B">
      <w:pPr>
        <w:widowControl/>
        <w:spacing w:after="0" w:line="560" w:lineRule="exact"/>
        <w:ind w:firstLineChars="200" w:firstLine="641"/>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（十六）机关运行经费：</w:t>
      </w:r>
      <w:r>
        <w:rPr>
          <w:rFonts w:ascii="仿宋_GB2312" w:eastAsia="仿宋_GB2312" w:hAnsiTheme="majorEastAsia"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5B018B" w:rsidRDefault="00996F42" w:rsidP="005B018B">
      <w:pPr>
        <w:widowControl/>
        <w:spacing w:after="0" w:line="560" w:lineRule="exact"/>
        <w:ind w:firstLineChars="200" w:firstLine="641"/>
        <w:rPr>
          <w:rFonts w:ascii="仿宋_GB2312" w:eastAsia="仿宋_GB2312" w:hAnsiTheme="minorHAnsi" w:cs="ArialUnicodeMS"/>
          <w:kern w:val="0"/>
          <w:sz w:val="32"/>
          <w:szCs w:val="32"/>
        </w:rPr>
        <w:sectPr w:rsidR="005B018B">
          <w:pgSz w:w="11906" w:h="16838"/>
          <w:pgMar w:top="2098" w:right="1474" w:bottom="1985" w:left="1588" w:header="851" w:footer="992" w:gutter="0"/>
          <w:cols w:space="425"/>
          <w:docGrid w:type="lines" w:linePitch="312"/>
        </w:sectPr>
      </w:pPr>
      <w:r>
        <w:rPr>
          <w:rFonts w:ascii="仿宋_GB2312" w:eastAsia="仿宋_GB2312" w:hAnsiTheme="majorEastAsia" w:hint="eastAsia"/>
          <w:b/>
          <w:bCs/>
          <w:color w:val="000000"/>
          <w:kern w:val="0"/>
          <w:sz w:val="32"/>
          <w:szCs w:val="32"/>
        </w:rPr>
        <w:t>（十七）经费形式</w:t>
      </w:r>
      <w:r>
        <w:rPr>
          <w:rFonts w:ascii="仿宋_GB2312" w:eastAsia="仿宋_GB2312" w:hAnsiTheme="majorEastAsia" w:hint="eastAsia"/>
          <w:b/>
          <w:bCs/>
          <w:color w:val="000000"/>
          <w:kern w:val="0"/>
          <w:sz w:val="32"/>
          <w:szCs w:val="32"/>
        </w:rPr>
        <w:t>:</w:t>
      </w:r>
      <w:r>
        <w:rPr>
          <w:rFonts w:ascii="仿宋_GB2312" w:eastAsia="仿宋_GB2312" w:hAnsiTheme="majorEastAsia" w:hint="eastAsia"/>
          <w:color w:val="000000"/>
          <w:kern w:val="0"/>
          <w:sz w:val="32"/>
          <w:szCs w:val="32"/>
        </w:rPr>
        <w:t>按照经费来源，</w:t>
      </w:r>
      <w:r>
        <w:rPr>
          <w:rFonts w:ascii="仿宋_GB2312" w:eastAsia="仿宋_GB2312" w:hAnsiTheme="minorHAnsi" w:cs="ArialUnicodeMS" w:hint="eastAsia"/>
          <w:kern w:val="0"/>
          <w:sz w:val="32"/>
          <w:szCs w:val="32"/>
        </w:rPr>
        <w:t>可分为财政拨款、财政性资金基本保证、财政性资金定额或定项补助、财政性资金零补助四类。</w:t>
      </w:r>
    </w:p>
    <w:p w:rsidR="005B018B" w:rsidRDefault="00996F42">
      <w:pPr>
        <w:widowControl/>
        <w:spacing w:after="0" w:line="560" w:lineRule="exact"/>
        <w:ind w:firstLineChars="200" w:firstLine="640"/>
        <w:rPr>
          <w:rFonts w:ascii="仿宋_GB2312" w:eastAsia="仿宋_GB2312" w:hAnsiTheme="minorHAnsi" w:cs="ArialUnicodeMS"/>
          <w:kern w:val="0"/>
          <w:sz w:val="32"/>
          <w:szCs w:val="32"/>
        </w:rPr>
      </w:pPr>
      <w:r>
        <w:rPr>
          <w:rFonts w:ascii="仿宋_GB2312" w:eastAsia="仿宋_GB2312" w:hAnsiTheme="minorHAnsi" w:cs="ArialUnicodeMS"/>
          <w:noProof/>
          <w:kern w:val="0"/>
          <w:sz w:val="32"/>
          <w:szCs w:val="32"/>
        </w:rPr>
        <w:lastRenderedPageBreak/>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20" cstate="print"/>
                    <a:stretch>
                      <a:fillRect/>
                    </a:stretch>
                  </pic:blipFill>
                  <pic:spPr>
                    <a:xfrm>
                      <a:off x="0" y="0"/>
                      <a:ext cx="7590155" cy="10735945"/>
                    </a:xfrm>
                    <a:prstGeom prst="rect">
                      <a:avLst/>
                    </a:prstGeom>
                  </pic:spPr>
                </pic:pic>
              </a:graphicData>
            </a:graphic>
          </wp:anchor>
        </w:drawing>
      </w:r>
    </w:p>
    <w:sectPr w:rsidR="005B018B" w:rsidSect="005B018B">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018B" w:rsidRDefault="00996F42">
      <w:pPr>
        <w:spacing w:line="240" w:lineRule="auto"/>
      </w:pPr>
      <w:r>
        <w:separator/>
      </w:r>
    </w:p>
  </w:endnote>
  <w:endnote w:type="continuationSeparator" w:id="1">
    <w:p w:rsidR="005B018B" w:rsidRDefault="00996F4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embedRegular r:id="rId1" w:subsetted="1" w:fontKey="{79BB46AC-DE26-42BB-BF24-FD3444EB1838}"/>
    <w:embedBold r:id="rId2" w:subsetted="1" w:fontKey="{ED1189FC-D028-45A6-8398-0549FE1C6B0F}"/>
  </w:font>
  <w:font w:name="楷体">
    <w:panose1 w:val="02010609060101010101"/>
    <w:charset w:val="86"/>
    <w:family w:val="modern"/>
    <w:pitch w:val="fixed"/>
    <w:sig w:usb0="800002BF" w:usb1="38CF7CFA" w:usb2="00000016" w:usb3="00000000" w:csb0="00040001" w:csb1="00000000"/>
    <w:embedBold r:id="rId3" w:subsetted="1" w:fontKey="{AAD03B29-0A9A-46A5-A437-07F5E866E8B5}"/>
  </w:font>
  <w:font w:name="楷体_GB2312">
    <w:altName w:val="楷体"/>
    <w:charset w:val="86"/>
    <w:family w:val="modern"/>
    <w:pitch w:val="default"/>
    <w:sig w:usb0="00000000" w:usb1="00000000" w:usb2="00000010" w:usb3="00000000" w:csb0="00040000" w:csb1="00000000"/>
    <w:embedBold r:id="rId4" w:subsetted="1" w:fontKey="{2449444F-4BDE-4B2F-90E5-B530FEDC213A}"/>
  </w:font>
  <w:font w:name="仿宋_GB2312">
    <w:altName w:val="仿宋"/>
    <w:charset w:val="86"/>
    <w:family w:val="modern"/>
    <w:pitch w:val="default"/>
    <w:sig w:usb0="00000000" w:usb1="00000000" w:usb2="00000010" w:usb3="00000000" w:csb0="00040000" w:csb1="00000000"/>
    <w:embedRegular r:id="rId5" w:subsetted="1" w:fontKey="{3367C226-BD47-4CF9-BC7F-551A9CCE3EB3}"/>
    <w:embedBold r:id="rId6" w:subsetted="1" w:fontKey="{343E8034-8054-491F-8467-00BD17BFA02A}"/>
  </w:font>
  <w:font w:name="ArialUnicodeMS">
    <w:altName w:val="Malgun Gothic"/>
    <w:charset w:val="81"/>
    <w:family w:val="auto"/>
    <w:pitch w:val="default"/>
    <w:sig w:usb0="00000000" w:usb1="00000000" w:usb2="00000010" w:usb3="00000000" w:csb0="00080001" w:csb1="00000000"/>
  </w:font>
  <w:font w:name="仿宋">
    <w:panose1 w:val="02010609060101010101"/>
    <w:charset w:val="86"/>
    <w:family w:val="modern"/>
    <w:pitch w:val="fixed"/>
    <w:sig w:usb0="800002BF" w:usb1="38CF7CFA" w:usb2="00000016" w:usb3="00000000" w:csb0="00040001" w:csb1="00000000"/>
    <w:embedRegular r:id="rId7" w:subsetted="1" w:fontKey="{894AFC0E-F485-4F27-9E65-2198A90C30EF}"/>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018B" w:rsidRDefault="00996F42">
      <w:pPr>
        <w:spacing w:after="0" w:line="240" w:lineRule="auto"/>
      </w:pPr>
      <w:r>
        <w:separator/>
      </w:r>
    </w:p>
  </w:footnote>
  <w:footnote w:type="continuationSeparator" w:id="1">
    <w:p w:rsidR="005B018B" w:rsidRDefault="00996F4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TrueTypeFonts/>
  <w:saveSubsetFonts/>
  <w:bordersDoNotSurroundHeader/>
  <w:bordersDoNotSurroundFooter/>
  <w:defaultTabStop w:val="42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3C1413"/>
    <w:rsid w:val="00024E7F"/>
    <w:rsid w:val="000475A0"/>
    <w:rsid w:val="00055D82"/>
    <w:rsid w:val="000838C3"/>
    <w:rsid w:val="00084825"/>
    <w:rsid w:val="000941F9"/>
    <w:rsid w:val="000B2446"/>
    <w:rsid w:val="000D7C65"/>
    <w:rsid w:val="000E2F81"/>
    <w:rsid w:val="000E3BF3"/>
    <w:rsid w:val="00117946"/>
    <w:rsid w:val="00117E2C"/>
    <w:rsid w:val="00146C47"/>
    <w:rsid w:val="00152FB8"/>
    <w:rsid w:val="00176658"/>
    <w:rsid w:val="0018239E"/>
    <w:rsid w:val="001B3410"/>
    <w:rsid w:val="001C030D"/>
    <w:rsid w:val="001C4A84"/>
    <w:rsid w:val="001E5902"/>
    <w:rsid w:val="00214655"/>
    <w:rsid w:val="002161EC"/>
    <w:rsid w:val="00221B5E"/>
    <w:rsid w:val="00224E91"/>
    <w:rsid w:val="00233705"/>
    <w:rsid w:val="00275CA2"/>
    <w:rsid w:val="00295AE8"/>
    <w:rsid w:val="002A65A5"/>
    <w:rsid w:val="002C04C4"/>
    <w:rsid w:val="002D08B0"/>
    <w:rsid w:val="002D1AE3"/>
    <w:rsid w:val="002E1EF0"/>
    <w:rsid w:val="002F2ECE"/>
    <w:rsid w:val="0032407F"/>
    <w:rsid w:val="00341C8F"/>
    <w:rsid w:val="0035463A"/>
    <w:rsid w:val="00391D9D"/>
    <w:rsid w:val="00391E1D"/>
    <w:rsid w:val="003B6C51"/>
    <w:rsid w:val="003C1413"/>
    <w:rsid w:val="003C549F"/>
    <w:rsid w:val="003D5A16"/>
    <w:rsid w:val="003E10AF"/>
    <w:rsid w:val="003E7DB3"/>
    <w:rsid w:val="003F7EC9"/>
    <w:rsid w:val="0040743A"/>
    <w:rsid w:val="00411E88"/>
    <w:rsid w:val="004212F1"/>
    <w:rsid w:val="00425573"/>
    <w:rsid w:val="00431175"/>
    <w:rsid w:val="0047595F"/>
    <w:rsid w:val="004A7CB9"/>
    <w:rsid w:val="004B6E37"/>
    <w:rsid w:val="004C32BA"/>
    <w:rsid w:val="004E6942"/>
    <w:rsid w:val="00502871"/>
    <w:rsid w:val="00511ED0"/>
    <w:rsid w:val="00542C34"/>
    <w:rsid w:val="00557D92"/>
    <w:rsid w:val="00575922"/>
    <w:rsid w:val="00580D9C"/>
    <w:rsid w:val="00590DA4"/>
    <w:rsid w:val="005A6C90"/>
    <w:rsid w:val="005B018B"/>
    <w:rsid w:val="005E3FB0"/>
    <w:rsid w:val="005F4B66"/>
    <w:rsid w:val="005F5208"/>
    <w:rsid w:val="00604E37"/>
    <w:rsid w:val="00641318"/>
    <w:rsid w:val="0064405D"/>
    <w:rsid w:val="00647111"/>
    <w:rsid w:val="0066503C"/>
    <w:rsid w:val="00685302"/>
    <w:rsid w:val="00686286"/>
    <w:rsid w:val="00691403"/>
    <w:rsid w:val="00695557"/>
    <w:rsid w:val="006C069E"/>
    <w:rsid w:val="006C2A9E"/>
    <w:rsid w:val="006D4EA7"/>
    <w:rsid w:val="0070012A"/>
    <w:rsid w:val="0070664B"/>
    <w:rsid w:val="007071B8"/>
    <w:rsid w:val="00741451"/>
    <w:rsid w:val="007414DE"/>
    <w:rsid w:val="0074209C"/>
    <w:rsid w:val="0074466E"/>
    <w:rsid w:val="007516E0"/>
    <w:rsid w:val="007730DD"/>
    <w:rsid w:val="007905A9"/>
    <w:rsid w:val="0079117A"/>
    <w:rsid w:val="007A1794"/>
    <w:rsid w:val="007E5500"/>
    <w:rsid w:val="007F055B"/>
    <w:rsid w:val="0080644C"/>
    <w:rsid w:val="00811C2F"/>
    <w:rsid w:val="00833D46"/>
    <w:rsid w:val="00840A97"/>
    <w:rsid w:val="008B32AF"/>
    <w:rsid w:val="008C0149"/>
    <w:rsid w:val="008C689C"/>
    <w:rsid w:val="008D5DED"/>
    <w:rsid w:val="008E1D7A"/>
    <w:rsid w:val="008E25CA"/>
    <w:rsid w:val="008F34FC"/>
    <w:rsid w:val="00935058"/>
    <w:rsid w:val="00944CD7"/>
    <w:rsid w:val="009671FF"/>
    <w:rsid w:val="009831B2"/>
    <w:rsid w:val="0098404E"/>
    <w:rsid w:val="00996F42"/>
    <w:rsid w:val="009A1ABE"/>
    <w:rsid w:val="009B101B"/>
    <w:rsid w:val="009E21A4"/>
    <w:rsid w:val="009F22C6"/>
    <w:rsid w:val="00A07E50"/>
    <w:rsid w:val="00A15397"/>
    <w:rsid w:val="00A35CE0"/>
    <w:rsid w:val="00A4462E"/>
    <w:rsid w:val="00A44AA4"/>
    <w:rsid w:val="00A61623"/>
    <w:rsid w:val="00A84687"/>
    <w:rsid w:val="00AB0A0E"/>
    <w:rsid w:val="00AD3B6E"/>
    <w:rsid w:val="00B02B53"/>
    <w:rsid w:val="00B13D62"/>
    <w:rsid w:val="00B1751F"/>
    <w:rsid w:val="00B3647F"/>
    <w:rsid w:val="00B56722"/>
    <w:rsid w:val="00B74D39"/>
    <w:rsid w:val="00B80CF4"/>
    <w:rsid w:val="00B91DA4"/>
    <w:rsid w:val="00BB6817"/>
    <w:rsid w:val="00C0571E"/>
    <w:rsid w:val="00C12630"/>
    <w:rsid w:val="00C17E1F"/>
    <w:rsid w:val="00C221B6"/>
    <w:rsid w:val="00C34562"/>
    <w:rsid w:val="00C3774E"/>
    <w:rsid w:val="00C46902"/>
    <w:rsid w:val="00C57456"/>
    <w:rsid w:val="00C65387"/>
    <w:rsid w:val="00C8220D"/>
    <w:rsid w:val="00C87FAB"/>
    <w:rsid w:val="00C91FF7"/>
    <w:rsid w:val="00C94E53"/>
    <w:rsid w:val="00CD76AB"/>
    <w:rsid w:val="00D0048E"/>
    <w:rsid w:val="00D23E7A"/>
    <w:rsid w:val="00D61063"/>
    <w:rsid w:val="00D91CCB"/>
    <w:rsid w:val="00DB35AF"/>
    <w:rsid w:val="00DC2DED"/>
    <w:rsid w:val="00DC6D3F"/>
    <w:rsid w:val="00DD72D7"/>
    <w:rsid w:val="00DE0589"/>
    <w:rsid w:val="00DF5B88"/>
    <w:rsid w:val="00DF651C"/>
    <w:rsid w:val="00E0589E"/>
    <w:rsid w:val="00E0699A"/>
    <w:rsid w:val="00E12E2F"/>
    <w:rsid w:val="00E241FA"/>
    <w:rsid w:val="00E2595E"/>
    <w:rsid w:val="00E35374"/>
    <w:rsid w:val="00E4414E"/>
    <w:rsid w:val="00E50C19"/>
    <w:rsid w:val="00E64655"/>
    <w:rsid w:val="00E73081"/>
    <w:rsid w:val="00E77395"/>
    <w:rsid w:val="00E77EAE"/>
    <w:rsid w:val="00E856C9"/>
    <w:rsid w:val="00E8744D"/>
    <w:rsid w:val="00EB2E5F"/>
    <w:rsid w:val="00EB6A8B"/>
    <w:rsid w:val="00EC116D"/>
    <w:rsid w:val="00EF38C6"/>
    <w:rsid w:val="00F46A88"/>
    <w:rsid w:val="00F679C7"/>
    <w:rsid w:val="00F70FAA"/>
    <w:rsid w:val="00F7711A"/>
    <w:rsid w:val="00FA0D58"/>
    <w:rsid w:val="00FA56F4"/>
    <w:rsid w:val="00FB4EDA"/>
    <w:rsid w:val="00FD3BD5"/>
    <w:rsid w:val="00FE3DC8"/>
    <w:rsid w:val="04073F84"/>
    <w:rsid w:val="042F0D75"/>
    <w:rsid w:val="0B60750A"/>
    <w:rsid w:val="10686488"/>
    <w:rsid w:val="10DF728A"/>
    <w:rsid w:val="1264200E"/>
    <w:rsid w:val="141C5B77"/>
    <w:rsid w:val="18D8339D"/>
    <w:rsid w:val="1A21388F"/>
    <w:rsid w:val="1A570D2F"/>
    <w:rsid w:val="28FB0B8D"/>
    <w:rsid w:val="2A9870FC"/>
    <w:rsid w:val="2D2B7942"/>
    <w:rsid w:val="2D46481D"/>
    <w:rsid w:val="2E733B28"/>
    <w:rsid w:val="31823407"/>
    <w:rsid w:val="31852B5A"/>
    <w:rsid w:val="32D01238"/>
    <w:rsid w:val="34BD3F7B"/>
    <w:rsid w:val="35DD7288"/>
    <w:rsid w:val="3DFC59A8"/>
    <w:rsid w:val="3ECF245E"/>
    <w:rsid w:val="3FB96314"/>
    <w:rsid w:val="4BD9082B"/>
    <w:rsid w:val="4C721CE1"/>
    <w:rsid w:val="53A44FAF"/>
    <w:rsid w:val="594329EC"/>
    <w:rsid w:val="5A126CD7"/>
    <w:rsid w:val="5BEE1540"/>
    <w:rsid w:val="5DE61A5D"/>
    <w:rsid w:val="5E705813"/>
    <w:rsid w:val="63C04243"/>
    <w:rsid w:val="649C01C7"/>
    <w:rsid w:val="699A3F60"/>
    <w:rsid w:val="71BF45E8"/>
    <w:rsid w:val="72902E62"/>
    <w:rsid w:val="73C61104"/>
    <w:rsid w:val="776452EA"/>
    <w:rsid w:val="79B57F7B"/>
    <w:rsid w:val="7C273EA1"/>
    <w:rsid w:val="7DC663B9"/>
    <w:rsid w:val="7F804707"/>
    <w:rsid w:val="7FD210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1"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018B"/>
    <w:pPr>
      <w:widowControl w:val="0"/>
      <w:spacing w:after="160" w:line="480" w:lineRule="auto"/>
      <w:jc w:val="both"/>
    </w:pPr>
    <w:rPr>
      <w:kern w:val="2"/>
      <w:sz w:val="21"/>
      <w:szCs w:val="24"/>
    </w:rPr>
  </w:style>
  <w:style w:type="paragraph" w:styleId="1">
    <w:name w:val="heading 1"/>
    <w:basedOn w:val="a"/>
    <w:next w:val="a"/>
    <w:link w:val="1Char"/>
    <w:uiPriority w:val="9"/>
    <w:qFormat/>
    <w:rsid w:val="005B018B"/>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5B018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5B018B"/>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5B018B"/>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rsid w:val="005B018B"/>
    <w:pPr>
      <w:ind w:leftChars="2500" w:left="100"/>
    </w:pPr>
  </w:style>
  <w:style w:type="paragraph" w:styleId="a4">
    <w:name w:val="Balloon Text"/>
    <w:basedOn w:val="a"/>
    <w:link w:val="Char0"/>
    <w:uiPriority w:val="99"/>
    <w:semiHidden/>
    <w:unhideWhenUsed/>
    <w:qFormat/>
    <w:rsid w:val="005B018B"/>
    <w:rPr>
      <w:sz w:val="18"/>
      <w:szCs w:val="18"/>
    </w:rPr>
  </w:style>
  <w:style w:type="paragraph" w:styleId="a5">
    <w:name w:val="footer"/>
    <w:basedOn w:val="a"/>
    <w:link w:val="Char1"/>
    <w:uiPriority w:val="99"/>
    <w:unhideWhenUsed/>
    <w:qFormat/>
    <w:rsid w:val="005B018B"/>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2"/>
    <w:uiPriority w:val="99"/>
    <w:unhideWhenUsed/>
    <w:qFormat/>
    <w:rsid w:val="005B018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Subtitle"/>
    <w:basedOn w:val="a"/>
    <w:next w:val="a"/>
    <w:link w:val="Char3"/>
    <w:uiPriority w:val="11"/>
    <w:qFormat/>
    <w:rsid w:val="005B018B"/>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8">
    <w:name w:val="Title"/>
    <w:basedOn w:val="a"/>
    <w:next w:val="a"/>
    <w:link w:val="Char4"/>
    <w:uiPriority w:val="10"/>
    <w:qFormat/>
    <w:rsid w:val="005B018B"/>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9">
    <w:name w:val="Table Grid"/>
    <w:basedOn w:val="a1"/>
    <w:uiPriority w:val="1"/>
    <w:qFormat/>
    <w:rsid w:val="005B018B"/>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2">
    <w:name w:val="页眉 Char"/>
    <w:basedOn w:val="a0"/>
    <w:link w:val="a6"/>
    <w:uiPriority w:val="99"/>
    <w:qFormat/>
    <w:rsid w:val="005B018B"/>
    <w:rPr>
      <w:sz w:val="18"/>
      <w:szCs w:val="18"/>
    </w:rPr>
  </w:style>
  <w:style w:type="character" w:customStyle="1" w:styleId="Char1">
    <w:name w:val="页脚 Char"/>
    <w:basedOn w:val="a0"/>
    <w:link w:val="a5"/>
    <w:uiPriority w:val="99"/>
    <w:qFormat/>
    <w:rsid w:val="005B018B"/>
    <w:rPr>
      <w:sz w:val="18"/>
      <w:szCs w:val="18"/>
    </w:rPr>
  </w:style>
  <w:style w:type="paragraph" w:styleId="aa">
    <w:name w:val="No Spacing"/>
    <w:link w:val="Char5"/>
    <w:uiPriority w:val="1"/>
    <w:qFormat/>
    <w:rsid w:val="005B018B"/>
    <w:pPr>
      <w:spacing w:after="160" w:line="480" w:lineRule="auto"/>
    </w:pPr>
    <w:rPr>
      <w:rFonts w:asciiTheme="minorHAnsi" w:eastAsiaTheme="minorEastAsia" w:hAnsiTheme="minorHAnsi" w:cstheme="minorBidi"/>
      <w:sz w:val="22"/>
      <w:szCs w:val="22"/>
    </w:rPr>
  </w:style>
  <w:style w:type="character" w:customStyle="1" w:styleId="Char5">
    <w:name w:val="无间隔 Char"/>
    <w:basedOn w:val="a0"/>
    <w:link w:val="aa"/>
    <w:uiPriority w:val="1"/>
    <w:qFormat/>
    <w:rsid w:val="005B018B"/>
    <w:rPr>
      <w:kern w:val="0"/>
      <w:sz w:val="22"/>
    </w:rPr>
  </w:style>
  <w:style w:type="character" w:customStyle="1" w:styleId="Char0">
    <w:name w:val="批注框文本 Char"/>
    <w:basedOn w:val="a0"/>
    <w:link w:val="a4"/>
    <w:uiPriority w:val="99"/>
    <w:semiHidden/>
    <w:qFormat/>
    <w:rsid w:val="005B018B"/>
    <w:rPr>
      <w:rFonts w:ascii="Times New Roman" w:eastAsia="宋体" w:hAnsi="Times New Roman" w:cs="Times New Roman"/>
      <w:sz w:val="18"/>
      <w:szCs w:val="18"/>
    </w:rPr>
  </w:style>
  <w:style w:type="character" w:customStyle="1" w:styleId="Char4">
    <w:name w:val="标题 Char"/>
    <w:basedOn w:val="a0"/>
    <w:link w:val="a8"/>
    <w:uiPriority w:val="10"/>
    <w:qFormat/>
    <w:rsid w:val="005B018B"/>
    <w:rPr>
      <w:rFonts w:asciiTheme="majorHAnsi" w:eastAsiaTheme="majorEastAsia" w:hAnsiTheme="majorHAnsi" w:cstheme="majorBidi"/>
      <w:color w:val="3A2C24" w:themeColor="text2" w:themeShade="BF"/>
      <w:spacing w:val="5"/>
      <w:kern w:val="28"/>
      <w:sz w:val="52"/>
      <w:szCs w:val="52"/>
    </w:rPr>
  </w:style>
  <w:style w:type="character" w:customStyle="1" w:styleId="Char3">
    <w:name w:val="副标题 Char"/>
    <w:basedOn w:val="a0"/>
    <w:link w:val="a7"/>
    <w:uiPriority w:val="11"/>
    <w:qFormat/>
    <w:rsid w:val="005B018B"/>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sid w:val="005B018B"/>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5B018B"/>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5B018B"/>
    <w:rPr>
      <w:rFonts w:asciiTheme="minorHAnsi" w:eastAsiaTheme="minorEastAsia" w:hAnsiTheme="minorEastAsia" w:cstheme="minorBidi"/>
      <w:szCs w:val="22"/>
      <w:lang w:eastAsia="zh-CN"/>
    </w:rPr>
  </w:style>
  <w:style w:type="character" w:customStyle="1" w:styleId="Style4">
    <w:name w:val="Style4"/>
    <w:basedOn w:val="a0"/>
    <w:uiPriority w:val="1"/>
    <w:qFormat/>
    <w:rsid w:val="005B018B"/>
    <w:rPr>
      <w:rFonts w:asciiTheme="minorHAnsi" w:eastAsiaTheme="minorEastAsia" w:hAnsiTheme="minorEastAsia" w:cstheme="minorBidi"/>
      <w:szCs w:val="22"/>
      <w:lang w:eastAsia="zh-CN"/>
    </w:rPr>
  </w:style>
  <w:style w:type="character" w:customStyle="1" w:styleId="Style5">
    <w:name w:val="Style5"/>
    <w:basedOn w:val="a0"/>
    <w:uiPriority w:val="1"/>
    <w:qFormat/>
    <w:rsid w:val="005B018B"/>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5B018B"/>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5B018B"/>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5B018B"/>
    <w:rPr>
      <w:rFonts w:ascii="Times New Roman" w:eastAsia="宋体" w:hAnsi="Times New Roman" w:cs="Times New Roman"/>
      <w:b/>
      <w:bCs/>
      <w:sz w:val="32"/>
      <w:szCs w:val="32"/>
    </w:rPr>
  </w:style>
  <w:style w:type="character" w:customStyle="1" w:styleId="4Char">
    <w:name w:val="标题 4 Char"/>
    <w:basedOn w:val="a0"/>
    <w:link w:val="4"/>
    <w:uiPriority w:val="9"/>
    <w:qFormat/>
    <w:rsid w:val="005B018B"/>
    <w:rPr>
      <w:rFonts w:asciiTheme="majorHAnsi" w:eastAsiaTheme="majorEastAsia" w:hAnsiTheme="majorHAnsi" w:cstheme="majorBidi"/>
      <w:b/>
      <w:bCs/>
      <w:sz w:val="28"/>
      <w:szCs w:val="28"/>
    </w:rPr>
  </w:style>
  <w:style w:type="character" w:customStyle="1" w:styleId="Char">
    <w:name w:val="日期 Char"/>
    <w:basedOn w:val="a0"/>
    <w:link w:val="a3"/>
    <w:uiPriority w:val="99"/>
    <w:semiHidden/>
    <w:qFormat/>
    <w:rsid w:val="005B018B"/>
    <w:rPr>
      <w:rFonts w:ascii="Times New Roman" w:eastAsia="宋体" w:hAnsi="Times New Roman" w:cs="Times New Roman"/>
      <w:szCs w:val="24"/>
    </w:rPr>
  </w:style>
  <w:style w:type="paragraph" w:styleId="ab">
    <w:name w:val="List Paragraph"/>
    <w:basedOn w:val="a"/>
    <w:uiPriority w:val="99"/>
    <w:unhideWhenUsed/>
    <w:qFormat/>
    <w:rsid w:val="005B018B"/>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1.xm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chart" Target="charts/chart4.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chart" Target="charts/chart3.xml"/><Relationship Id="rId10" Type="http://schemas.openxmlformats.org/officeDocument/2006/relationships/image" Target="media/image1.jpeg"/><Relationship Id="rId19" Type="http://schemas.openxmlformats.org/officeDocument/2006/relationships/chart" Target="charts/chart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2.xml"/><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1</a:t>
            </a:r>
            <a:r>
              <a:rPr lang="zh-CN" altLang="zh-CN" sz="1200" b="0">
                <a:latin typeface="仿宋_GB2312" pitchFamily="3" charset="-122"/>
                <a:ea typeface="仿宋_GB2312" pitchFamily="3" charset="-122"/>
              </a:rPr>
              <a:t>：收入构成情况</a:t>
            </a:r>
            <a:endParaRPr lang="zh-CN" altLang="zh-CN" sz="1200" b="1">
              <a:latin typeface="仿宋_GB2312" pitchFamily="3" charset="-122"/>
              <a:ea typeface="仿宋_GB2312" pitchFamily="3" charset="-122"/>
            </a:endParaRPr>
          </a:p>
        </c:rich>
      </c:tx>
      <c:layout>
        <c:manualLayout>
          <c:xMode val="edge"/>
          <c:yMode val="edge"/>
          <c:x val="0.36655086227020012"/>
          <c:y val="0.8507462686567181"/>
        </c:manualLayout>
      </c:layout>
    </c:title>
    <c:plotArea>
      <c:layout>
        <c:manualLayout>
          <c:layoutTarget val="inner"/>
          <c:xMode val="edge"/>
          <c:yMode val="edge"/>
          <c:x val="9.431488092188052E-2"/>
          <c:y val="5.7524581815333091E-2"/>
          <c:w val="0.81137023815623899"/>
          <c:h val="0.76554785129471015"/>
        </c:manualLayout>
      </c:layout>
      <c:pieChart>
        <c:varyColors val="1"/>
        <c:ser>
          <c:idx val="0"/>
          <c:order val="0"/>
          <c:dPt>
            <c:idx val="0"/>
            <c:explosion val="14"/>
          </c:dPt>
          <c:dPt>
            <c:idx val="1"/>
          </c:dPt>
          <c:dPt>
            <c:idx val="2"/>
          </c:dPt>
          <c:dPt>
            <c:idx val="3"/>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20082.45</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zh-CN"/>
  <c:style val="8"/>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000" b="0" i="0" baseline="0"/>
              <a:t>支出构成情况</a:t>
            </a:r>
          </a:p>
        </c:rich>
      </c:tx>
      <c:layout>
        <c:manualLayout>
          <c:xMode val="edge"/>
          <c:yMode val="edge"/>
          <c:x val="0.36383107088989508"/>
          <c:y val="0.84633569739952919"/>
        </c:manualLayout>
      </c:layout>
    </c:title>
    <c:view3D>
      <c:rotX val="30"/>
      <c:depthPercent val="100"/>
      <c:perspective val="30"/>
    </c:view3D>
    <c:plotArea>
      <c:layout>
        <c:manualLayout>
          <c:layoutTarget val="inner"/>
          <c:xMode val="edge"/>
          <c:yMode val="edge"/>
          <c:x val="0.13188156910250498"/>
          <c:y val="0.15883546471584703"/>
          <c:w val="0.71512072303179408"/>
          <c:h val="0.56128888144301103"/>
        </c:manualLayout>
      </c:layout>
      <c:pie3DChart>
        <c:varyColors val="1"/>
        <c:ser>
          <c:idx val="0"/>
          <c:order val="0"/>
          <c:dPt>
            <c:idx val="0"/>
          </c:dPt>
          <c:dPt>
            <c:idx val="1"/>
          </c:dPt>
          <c:dPt>
            <c:idx val="2"/>
          </c:dPt>
          <c:dLbls>
            <c:dLbl>
              <c:idx val="1"/>
              <c:delete val="1"/>
            </c:dLbl>
            <c:dLbl>
              <c:idx val="2"/>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[部门决算公开制图模板.xlsx]支出情况说明!$A$5:$A$7</c:f>
              <c:strCache>
                <c:ptCount val="3"/>
                <c:pt idx="0">
                  <c:v>基本支出</c:v>
                </c:pt>
                <c:pt idx="1">
                  <c:v>项目支出</c:v>
                </c:pt>
                <c:pt idx="2">
                  <c:v>经营支出</c:v>
                </c:pt>
              </c:strCache>
            </c:strRef>
          </c:cat>
          <c:val>
            <c:numRef>
              <c:f>[部门决算公开制图模板.xlsx]支出情况说明!$B$5:$B$7</c:f>
              <c:numCache>
                <c:formatCode>General</c:formatCode>
                <c:ptCount val="3"/>
                <c:pt idx="0">
                  <c:v>117.274793</c:v>
                </c:pt>
              </c:numCache>
            </c:numRef>
          </c:val>
        </c:ser>
        <c:dLbls>
          <c:showCatName val="1"/>
          <c:showPercent val="1"/>
        </c:dLbls>
      </c:pie3DChart>
    </c:plotArea>
    <c:plotVisOnly val="1"/>
    <c:dispBlanksAs val="zero"/>
  </c:chart>
  <c:spPr>
    <a:ln w="9525" cap="flat" cmpd="sng" algn="ctr">
      <a:solidFill>
        <a:sysClr val="window" lastClr="FFFFFF">
          <a:alpha val="0"/>
        </a:sysClr>
      </a:solidFill>
      <a:prstDash val="solid"/>
      <a:round/>
    </a:ln>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3</a:t>
            </a:r>
            <a:r>
              <a:rPr lang="zh-CN" altLang="zh-CN" sz="1200" b="0">
                <a:latin typeface="仿宋_GB2312" pitchFamily="3" charset="-122"/>
                <a:ea typeface="仿宋_GB2312" pitchFamily="3" charset="-122"/>
              </a:rPr>
              <a:t>：</a:t>
            </a:r>
            <a:r>
              <a:rPr lang="en-US" altLang="zh-CN" sz="1200" b="0">
                <a:latin typeface="仿宋_GB2312" pitchFamily="3" charset="-122"/>
                <a:ea typeface="仿宋_GB2312" pitchFamily="3" charset="-122"/>
              </a:rPr>
              <a:t>2018-2019</a:t>
            </a:r>
            <a:r>
              <a:rPr lang="zh-CN" altLang="zh-CN" sz="1200" b="0">
                <a:latin typeface="仿宋_GB2312" pitchFamily="3" charset="-122"/>
                <a:ea typeface="仿宋_GB2312" pitchFamily="3" charset="-122"/>
              </a:rPr>
              <a:t>年财政拨款收支对比情况</a:t>
            </a:r>
          </a:p>
        </c:rich>
      </c:tx>
      <c:layout>
        <c:manualLayout>
          <c:xMode val="edge"/>
          <c:yMode val="edge"/>
          <c:x val="0.22222222222222202"/>
          <c:y val="0.86474973375932018"/>
        </c:manualLayout>
      </c:layout>
    </c:title>
    <c:plotArea>
      <c:layout>
        <c:manualLayout>
          <c:layoutTarget val="inner"/>
          <c:xMode val="edge"/>
          <c:yMode val="edge"/>
          <c:x val="0.10015507436570401"/>
          <c:y val="7.0298273418698126E-2"/>
          <c:w val="0.86928937007874107"/>
          <c:h val="0.60199340897084408"/>
        </c:manualLayout>
      </c:layout>
      <c:barChart>
        <c:barDir val="col"/>
        <c:grouping val="clustered"/>
        <c:ser>
          <c:idx val="0"/>
          <c:order val="0"/>
          <c:tx>
            <c:strRef>
              <c:f>收支与决算对比!$A$5</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385.3</c:v>
                </c:pt>
                <c:pt idx="1">
                  <c:v>398.44</c:v>
                </c:pt>
              </c:numCache>
            </c:numRef>
          </c:val>
        </c:ser>
        <c:ser>
          <c:idx val="1"/>
          <c:order val="1"/>
          <c:tx>
            <c:strRef>
              <c:f>收支与决算对比!$A$6</c:f>
              <c:strCache>
                <c:ptCount val="1"/>
                <c:pt idx="0">
                  <c:v>2017</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130.88000000000002</c:v>
                </c:pt>
                <c:pt idx="1">
                  <c:v>117.27</c:v>
                </c:pt>
              </c:numCache>
            </c:numRef>
          </c:val>
        </c:ser>
        <c:dLbls>
          <c:showVal val="1"/>
        </c:dLbls>
        <c:gapWidth val="75"/>
        <c:axId val="49844224"/>
        <c:axId val="49845760"/>
      </c:barChart>
      <c:catAx>
        <c:axId val="49844224"/>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49845760"/>
        <c:crosses val="autoZero"/>
        <c:auto val="1"/>
        <c:lblAlgn val="ctr"/>
        <c:lblOffset val="100"/>
      </c:catAx>
      <c:valAx>
        <c:axId val="49845760"/>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49844224"/>
        <c:crosses val="autoZero"/>
        <c:crossBetween val="between"/>
      </c:valAx>
    </c:plotArea>
    <c:legend>
      <c:legendPos val="b"/>
      <c:layout>
        <c:manualLayout>
          <c:xMode val="edge"/>
          <c:yMode val="edge"/>
          <c:x val="0.42634055118110203"/>
          <c:y val="0.75683529974088914"/>
          <c:w val="0.20842979002624704"/>
          <c:h val="7.7030514955598914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12700" cap="flat" cmpd="sng" algn="ctr">
      <a:solidFill>
        <a:sysClr val="window" lastClr="FFFFFF">
          <a:alpha val="0"/>
        </a:sysClr>
      </a:solidFill>
      <a:prstDash val="solid"/>
      <a:round/>
    </a:ln>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itchFamily="3" charset="-122"/>
                <a:ea typeface="仿宋_GB2312" pitchFamily="3" charset="-122"/>
              </a:rPr>
              <a:t>图</a:t>
            </a:r>
            <a:r>
              <a:rPr lang="en-US" altLang="zh-CN" sz="1200" b="0" i="0" u="none" strike="noStrike" baseline="0">
                <a:latin typeface="仿宋_GB2312" pitchFamily="3" charset="-122"/>
                <a:ea typeface="仿宋_GB2312" pitchFamily="3" charset="-122"/>
              </a:rPr>
              <a:t>4</a:t>
            </a:r>
            <a:r>
              <a:rPr lang="zh-CN" altLang="zh-CN" sz="1200" b="0" i="0" u="none" strike="noStrike" baseline="0">
                <a:latin typeface="仿宋_GB2312" pitchFamily="3" charset="-122"/>
                <a:ea typeface="仿宋_GB2312" pitchFamily="3" charset="-122"/>
              </a:rPr>
              <a:t>：财政拨款收支预决算对比情况</a:t>
            </a:r>
            <a:endParaRPr lang="zh-CN" altLang="zh-CN" sz="1200" b="0">
              <a:latin typeface="仿宋_GB2312" pitchFamily="3" charset="-122"/>
              <a:ea typeface="仿宋_GB2312" pitchFamily="3" charset="-122"/>
            </a:endParaRPr>
          </a:p>
        </c:rich>
      </c:tx>
      <c:layout>
        <c:manualLayout>
          <c:xMode val="edge"/>
          <c:yMode val="edge"/>
          <c:x val="0.17349761867229677"/>
          <c:y val="2.9578439398119595E-3"/>
        </c:manualLayout>
      </c:layout>
    </c:title>
    <c:plotArea>
      <c:layout>
        <c:manualLayout>
          <c:layoutTarget val="inner"/>
          <c:xMode val="edge"/>
          <c:yMode val="edge"/>
          <c:x val="0.10015507436570401"/>
          <c:y val="2.3115604867573407E-2"/>
          <c:w val="0.86928937007874107"/>
          <c:h val="0.76881800286328117"/>
        </c:manualLayout>
      </c:layout>
      <c:barChart>
        <c:barDir val="col"/>
        <c:grouping val="clustered"/>
        <c:ser>
          <c:idx val="0"/>
          <c:order val="0"/>
          <c:tx>
            <c:strRef>
              <c:f>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218.5</c:v>
                </c:pt>
                <c:pt idx="1">
                  <c:v>218.5</c:v>
                </c:pt>
              </c:numCache>
            </c:numRef>
          </c:val>
        </c:ser>
        <c:ser>
          <c:idx val="1"/>
          <c:order val="1"/>
          <c:tx>
            <c:strRef>
              <c:f>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385.3</c:v>
                </c:pt>
                <c:pt idx="1">
                  <c:v>398.44</c:v>
                </c:pt>
              </c:numCache>
            </c:numRef>
          </c:val>
        </c:ser>
        <c:dLbls>
          <c:showVal val="1"/>
        </c:dLbls>
        <c:gapWidth val="75"/>
        <c:axId val="111974656"/>
        <c:axId val="112005120"/>
      </c:barChart>
      <c:catAx>
        <c:axId val="111974656"/>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12005120"/>
        <c:crosses val="autoZero"/>
        <c:auto val="1"/>
        <c:lblAlgn val="ctr"/>
        <c:lblOffset val="100"/>
      </c:catAx>
      <c:valAx>
        <c:axId val="112005120"/>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11974656"/>
        <c:crosses val="autoZero"/>
        <c:crossBetween val="between"/>
      </c:valAx>
    </c:plotArea>
    <c:legend>
      <c:legendPos val="b"/>
      <c:layout>
        <c:manualLayout>
          <c:xMode val="edge"/>
          <c:yMode val="edge"/>
          <c:x val="0.34671828521435011"/>
          <c:y val="0.84875034063365107"/>
          <c:w val="0.33989654418197807"/>
          <c:h val="6.5875822899186795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12700" cap="flat" cmpd="sng" algn="ctr">
      <a:solidFill>
        <a:sysClr val="window" lastClr="FFFFFF">
          <a:alpha val="0"/>
        </a:sysClr>
      </a:solidFill>
      <a:prstDash val="solid"/>
      <a:round/>
    </a:ln>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200">
                <a:latin typeface="仿宋" panose="02010609060101010101" charset="-122"/>
                <a:ea typeface="仿宋" panose="02010609060101010101" charset="-122"/>
              </a:rPr>
              <a:t>图</a:t>
            </a:r>
            <a:r>
              <a:rPr lang="en-US" altLang="zh-CN" sz="1200">
                <a:latin typeface="仿宋" panose="02010609060101010101" charset="-122"/>
                <a:ea typeface="仿宋" panose="02010609060101010101" charset="-122"/>
              </a:rPr>
              <a:t>5</a:t>
            </a:r>
            <a:r>
              <a:rPr lang="zh-CN" altLang="en-US" sz="1200">
                <a:latin typeface="仿宋" panose="02010609060101010101" charset="-122"/>
                <a:ea typeface="仿宋" panose="02010609060101010101" charset="-122"/>
              </a:rPr>
              <a:t>：财政拨款支出结构</a:t>
            </a:r>
          </a:p>
        </c:rich>
      </c:tx>
      <c:layout>
        <c:manualLayout>
          <c:xMode val="edge"/>
          <c:yMode val="edge"/>
          <c:x val="0.26905555555555599"/>
          <c:y val="0.85185185185185308"/>
        </c:manualLayout>
      </c:layout>
    </c:title>
    <c:view3D>
      <c:rotX val="30"/>
      <c:depthPercent val="100"/>
      <c:perspective val="30"/>
    </c:view3D>
    <c:plotArea>
      <c:layout>
        <c:manualLayout>
          <c:layoutTarget val="inner"/>
          <c:xMode val="edge"/>
          <c:yMode val="edge"/>
          <c:x val="0.10416666666666702"/>
          <c:y val="8.7384076990376203E-2"/>
          <c:w val="0.86944444444444613"/>
          <c:h val="0.68356517935258099"/>
        </c:manualLayout>
      </c:layout>
      <c:pie3DChart>
        <c:varyColors val="1"/>
        <c:ser>
          <c:idx val="0"/>
          <c:order val="0"/>
          <c:dPt>
            <c:idx val="0"/>
          </c:dPt>
          <c:dPt>
            <c:idx val="1"/>
          </c:dPt>
          <c:dPt>
            <c:idx val="2"/>
          </c:dPt>
          <c:dPt>
            <c:idx val="3"/>
          </c:dPt>
          <c:dPt>
            <c:idx val="4"/>
          </c:dPt>
          <c:dPt>
            <c:idx val="5"/>
          </c:dPt>
          <c:dPt>
            <c:idx val="6"/>
          </c:dPt>
          <c:dPt>
            <c:idx val="7"/>
          </c:dPt>
          <c:dPt>
            <c:idx val="8"/>
          </c:dPt>
          <c:dPt>
            <c:idx val="9"/>
          </c:dPt>
          <c:dPt>
            <c:idx val="10"/>
          </c:dPt>
          <c:dPt>
            <c:idx val="11"/>
          </c:dPt>
          <c:dPt>
            <c:idx val="12"/>
          </c:dPt>
          <c:dPt>
            <c:idx val="13"/>
          </c:dPt>
          <c:dPt>
            <c:idx val="14"/>
          </c:dPt>
          <c:dPt>
            <c:idx val="15"/>
          </c:dPt>
          <c:dPt>
            <c:idx val="16"/>
          </c:dPt>
          <c:dPt>
            <c:idx val="17"/>
          </c:dPt>
          <c:dPt>
            <c:idx val="18"/>
          </c:dPt>
          <c:dLbls>
            <c:dLbl>
              <c:idx val="0"/>
              <c:layout>
                <c:manualLayout>
                  <c:x val="-0.24025948128966204"/>
                  <c:y val="-0.31359907395159403"/>
                </c:manualLayout>
              </c:layout>
              <c:dLblPos val="bestFit"/>
              <c:showCatName val="1"/>
              <c:showPercent val="1"/>
              <c:separator>
</c:separator>
              <c:extLst>
                <c:ext xmlns:c15="http://schemas.microsoft.com/office/drawing/2012/chart" uri="{CE6537A1-D6FC-4f65-9D91-7224C49458BB}">
                  <c15:layout/>
                </c:ext>
              </c:extLst>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398.44</c:v>
                </c:pt>
              </c:numCache>
            </c:numRef>
          </c:val>
        </c:ser>
        <c:dLbls>
          <c:showCatName val="1"/>
        </c:dLbls>
      </c:pie3DChart>
    </c:plotArea>
    <c:plotVisOnly val="1"/>
    <c:dispBlanksAs val="zero"/>
  </c:chart>
  <c:spPr>
    <a:ln w="12700" cap="flat" cmpd="sng" algn="ctr">
      <a:noFill/>
      <a:prstDash val="solid"/>
      <a:round/>
    </a:ln>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48846D46-4A93-4517-B67C-80108951C14F}">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32</Pages>
  <Words>7455</Words>
  <Characters>3102</Characters>
  <Application>Microsoft Office Word</Application>
  <DocSecurity>0</DocSecurity>
  <Lines>25</Lines>
  <Paragraphs>21</Paragraphs>
  <ScaleCrop>false</ScaleCrop>
  <Company>Microsoft</Company>
  <LinksUpToDate>false</LinksUpToDate>
  <CharactersWithSpaces>10536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Windows User</cp:lastModifiedBy>
  <cp:revision>33</cp:revision>
  <cp:lastPrinted>2019-08-02T01:01:00Z</cp:lastPrinted>
  <dcterms:created xsi:type="dcterms:W3CDTF">2021-05-14T02:39:00Z</dcterms:created>
  <dcterms:modified xsi:type="dcterms:W3CDTF">2021-05-28T01:02:00Z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6F1C880EC04049499AFFD32FADC0ADB9</vt:lpwstr>
  </property>
</Properties>
</file>