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bCs/>
          <w:sz w:val="44"/>
          <w:szCs w:val="44"/>
        </w:rPr>
      </w:pPr>
    </w:p>
    <w:p>
      <w:pPr>
        <w:ind w:firstLine="4996" w:firstLineChars="1131"/>
        <w:rPr>
          <w:rFonts w:ascii="宋体"/>
          <w:b/>
          <w:bCs/>
          <w:sz w:val="44"/>
          <w:szCs w:val="44"/>
        </w:rPr>
      </w:pPr>
      <w:r>
        <w:rPr>
          <w:rFonts w:hint="eastAsia" w:ascii="宋体" w:hAnsi="宋体" w:cs="宋体"/>
          <w:b/>
          <w:bCs/>
          <w:sz w:val="44"/>
          <w:szCs w:val="44"/>
        </w:rPr>
        <w:t>无极县委宣传部</w:t>
      </w:r>
    </w:p>
    <w:p>
      <w:pPr>
        <w:jc w:val="center"/>
        <w:rPr>
          <w:rFonts w:ascii="宋体"/>
          <w:b/>
          <w:bCs/>
          <w:sz w:val="44"/>
          <w:szCs w:val="44"/>
        </w:rPr>
      </w:pPr>
      <w:r>
        <w:rPr>
          <w:rFonts w:ascii="宋体" w:hAnsi="宋体" w:cs="宋体"/>
          <w:b/>
          <w:bCs/>
          <w:sz w:val="44"/>
          <w:szCs w:val="44"/>
        </w:rPr>
        <w:t>201</w:t>
      </w:r>
      <w:r>
        <w:rPr>
          <w:rFonts w:hint="eastAsia" w:ascii="宋体" w:hAnsi="宋体" w:cs="宋体"/>
          <w:b/>
          <w:bCs/>
          <w:sz w:val="44"/>
          <w:szCs w:val="44"/>
        </w:rPr>
        <w:t>9年部门预算信息公开说明目录</w:t>
      </w:r>
    </w:p>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
      <w:pPr>
        <w:ind w:firstLine="640" w:firstLineChars="200"/>
        <w:rPr>
          <w:rFonts w:ascii="仿宋" w:hAnsi="仿宋" w:eastAsia="仿宋"/>
          <w:sz w:val="32"/>
          <w:szCs w:val="32"/>
        </w:rPr>
      </w:pPr>
      <w:r>
        <w:rPr>
          <w:rFonts w:ascii="仿宋" w:hAnsi="仿宋" w:eastAsia="仿宋"/>
          <w:sz w:val="32"/>
          <w:szCs w:val="32"/>
        </w:rPr>
        <w:t>按照《预算法》、《地方预决算公开操作规程》和《河北省省级预算公开办法》规定，现将无极县宣传部</w:t>
      </w:r>
      <w:r>
        <w:rPr>
          <w:rFonts w:ascii="仿宋" w:hAnsi="仿宋" w:eastAsia="仿宋" w:cs="??_GB2312"/>
          <w:sz w:val="32"/>
          <w:szCs w:val="32"/>
        </w:rPr>
        <w:t>201</w:t>
      </w:r>
      <w:r>
        <w:rPr>
          <w:rFonts w:hint="eastAsia" w:ascii="仿宋" w:hAnsi="仿宋" w:eastAsia="仿宋" w:cs="??_GB2312"/>
          <w:sz w:val="32"/>
          <w:szCs w:val="32"/>
        </w:rPr>
        <w:t>8</w:t>
      </w:r>
      <w:r>
        <w:rPr>
          <w:rFonts w:ascii="仿宋" w:hAnsi="仿宋" w:eastAsia="仿宋"/>
          <w:sz w:val="32"/>
          <w:szCs w:val="32"/>
        </w:rPr>
        <w:t>年部门预算公开如下：</w:t>
      </w:r>
    </w:p>
    <w:p>
      <w:pPr>
        <w:ind w:left="8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楷体" w:hAnsi="楷体" w:eastAsia="楷体"/>
          <w:sz w:val="32"/>
          <w:szCs w:val="32"/>
        </w:rPr>
      </w:pPr>
      <w:r>
        <w:rPr>
          <w:rFonts w:hint="eastAsia" w:ascii="楷体" w:hAnsi="楷体" w:eastAsia="楷体" w:cs="楷体"/>
          <w:sz w:val="32"/>
          <w:szCs w:val="32"/>
        </w:rPr>
        <w:t>（一）部门职责</w:t>
      </w:r>
    </w:p>
    <w:p>
      <w:pPr>
        <w:spacing w:line="600" w:lineRule="exact"/>
        <w:ind w:firstLine="640"/>
        <w:rPr>
          <w:rFonts w:ascii="仿宋" w:hAnsi="仿宋" w:eastAsia="仿宋"/>
          <w:sz w:val="32"/>
          <w:szCs w:val="32"/>
        </w:rPr>
      </w:pPr>
      <w:r>
        <w:rPr>
          <w:rFonts w:hint="eastAsia" w:ascii="仿宋" w:hAnsi="仿宋" w:eastAsia="仿宋" w:cs="宋体"/>
          <w:sz w:val="32"/>
          <w:szCs w:val="32"/>
        </w:rPr>
        <w:t>中共无极县委宣传部是县委主管全县意识形态方面工作的综合职能部门，主要职责是：</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1、拟订全县宣传思想文化工作重大方针政策和事业发展总体规划，统筹协调推进宣传思想文化领域法治建设，按照县委统一部署，协调宣传思想文化系统各部门之间的工作。</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2、统筹协调全县党的意识形态工作，贯彻落实县委关于意识形态工作决策部署，组织协调意识形态工作责任制落实和日常监督检查。</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3、统筹指导协调全县理论研究、理论学习、理论宣传工作，组织推动理论武装工作，推动落实马克思主义理论研究和建设工程任务，负责县委理论学习中心组理论学习的有关工作。</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4、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5、统筹分析研判和引导全县社会舆论，指导协调县直各新闻单位的工作，组织全县突发公共事件应急新闻工作。</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6、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国内报社、通讯社驻无极分支机构和记者站的监督管理工作，负责全县新闻记者证的审核管理。</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7、从宏观上统筹指导协调全县互联网宣传和信息内容管理工作。统筹数字新媒体的建设和管理。</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8、从宏观上统筹指导协调推动全县精神文化产品的创作和生产，协调组织中华优秀传统文化传承发展有关工作，指导协调推动群众文化建设。</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9、负责管理全县电影行政事务，指导监管电影制片、发行、放映工作，组织对电影内容进行审查，指导协调全县性重大电影活动。</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10、对全县新闻出版、广播影视、文化艺术业改革发展研究提出政策性建议，统筹指导协调文化体制改革和文化事业、文化产业及旅游业发展，负责县级文化企业国有资产监督管理。承担县文化体制改革和文化产业发展工作领导小组办公室、县深化文化体制改革专项小组办公室日常工作。</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11、统筹指导全县舆情信息工作，组织协调开展县内外舆情信息收集分析研判工作，跟踪了解、研究掌握宣传舆情动态。</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12、统筹研究拟订有关全县精神文明建设的方针、政策。规划部署全县精神文明建设工作，组织指导全县群众性精神文明创建活动。</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13、统筹协调全县对外宣传工作。指导协调有关部门研究拟订全县对外宣传事业发展规划，组织协调我县对外宣传文化交流工作，会同有关部门做好境外记者采访事务方面工作。</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14、统筹协调组织开展新闻发布工作。承担县委新闻发布有关组织协调工作，负责县政府新闻发布组织实施工作。指导协调县政府各部门和各乡（镇）的新闻发布工作，推动新闻发言人制度落实。</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15、统筹指导协调全县哲学社会科学发展工作。组织制定发展战略、中长期规划和专项计划。负责组织社会科学课题项目评审和成果转化应用等工作。</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16、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17、对县委网络安全和信息化委员会办公室(县互联网信息办公室)互联网宣传和信息内容管理方面的工作实施方针、政策的指导。归口领导无极之声、无极县文化广电和旅游局、无极县广播电视台。受县委委托，代管县文联。领导和管理县思想政治工作研究会。</w:t>
      </w:r>
    </w:p>
    <w:p>
      <w:pPr>
        <w:widowControl/>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18、完成县委交办的其他任务。</w:t>
      </w:r>
    </w:p>
    <w:p>
      <w:pPr>
        <w:ind w:firstLine="645"/>
        <w:rPr>
          <w:rFonts w:ascii="楷体" w:hAnsi="楷体" w:eastAsia="楷体" w:cs="楷体"/>
          <w:sz w:val="32"/>
          <w:szCs w:val="32"/>
        </w:rPr>
      </w:pPr>
      <w:r>
        <w:rPr>
          <w:rFonts w:hint="eastAsia" w:ascii="楷体" w:hAnsi="楷体" w:eastAsia="楷体" w:cs="楷体"/>
          <w:sz w:val="32"/>
          <w:szCs w:val="32"/>
        </w:rPr>
        <w:t>（二）机构设置</w:t>
      </w:r>
    </w:p>
    <w:p>
      <w:pPr>
        <w:jc w:val="center"/>
        <w:outlineLvl w:val="0"/>
        <w:rPr>
          <w:rFonts w:ascii="仿宋" w:hAnsi="仿宋" w:eastAsia="仿宋"/>
          <w:b/>
          <w:bCs/>
          <w:sz w:val="32"/>
          <w:szCs w:val="32"/>
        </w:rPr>
      </w:pPr>
      <w:r>
        <w:rPr>
          <w:rFonts w:hint="eastAsia" w:ascii="仿宋" w:hAnsi="仿宋" w:eastAsia="仿宋" w:cs="仿宋"/>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jc w:val="center"/>
              <w:rPr>
                <w:rFonts w:ascii="宋体" w:cs="宋体"/>
                <w:sz w:val="28"/>
                <w:szCs w:val="28"/>
              </w:rPr>
            </w:pPr>
            <w:r>
              <w:rPr>
                <w:rFonts w:hint="eastAsia" w:ascii="宋体" w:hAnsi="宋体" w:cs="宋体"/>
                <w:b/>
                <w:bCs/>
                <w:sz w:val="28"/>
                <w:szCs w:val="28"/>
              </w:rPr>
              <w:t>单位名称</w:t>
            </w:r>
          </w:p>
        </w:tc>
        <w:tc>
          <w:tcPr>
            <w:tcW w:w="2220" w:type="dxa"/>
            <w:vAlign w:val="center"/>
          </w:tcPr>
          <w:p>
            <w:pPr>
              <w:jc w:val="center"/>
              <w:rPr>
                <w:rFonts w:ascii="宋体" w:cs="宋体"/>
                <w:b/>
                <w:bCs/>
                <w:sz w:val="28"/>
                <w:szCs w:val="28"/>
              </w:rPr>
            </w:pPr>
            <w:r>
              <w:rPr>
                <w:rFonts w:hint="eastAsia" w:ascii="宋体" w:hAnsi="宋体" w:cs="宋体"/>
                <w:b/>
                <w:bCs/>
                <w:sz w:val="28"/>
                <w:szCs w:val="28"/>
              </w:rPr>
              <w:t>单位性质</w:t>
            </w:r>
          </w:p>
        </w:tc>
        <w:tc>
          <w:tcPr>
            <w:tcW w:w="1965" w:type="dxa"/>
            <w:vAlign w:val="center"/>
          </w:tcPr>
          <w:p>
            <w:pPr>
              <w:jc w:val="center"/>
              <w:rPr>
                <w:rFonts w:ascii="宋体" w:cs="宋体"/>
                <w:b/>
                <w:bCs/>
                <w:sz w:val="28"/>
                <w:szCs w:val="28"/>
              </w:rPr>
            </w:pPr>
            <w:r>
              <w:rPr>
                <w:rFonts w:hint="eastAsia" w:ascii="宋体" w:hAnsi="宋体" w:cs="宋体"/>
                <w:b/>
                <w:bCs/>
                <w:sz w:val="28"/>
                <w:szCs w:val="28"/>
              </w:rPr>
              <w:t>单位规格</w:t>
            </w:r>
          </w:p>
        </w:tc>
        <w:tc>
          <w:tcPr>
            <w:tcW w:w="1956" w:type="dxa"/>
            <w:vAlign w:val="center"/>
          </w:tcPr>
          <w:p>
            <w:pPr>
              <w:jc w:val="center"/>
              <w:rPr>
                <w:rFonts w:ascii="宋体" w:cs="宋体"/>
                <w:b/>
                <w:bCs/>
                <w:sz w:val="28"/>
                <w:szCs w:val="28"/>
              </w:rPr>
            </w:pPr>
            <w:r>
              <w:rPr>
                <w:rFonts w:hint="eastAsia" w:ascii="宋体" w:hAnsi="宋体" w:cs="宋体"/>
                <w:b/>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068" w:type="dxa"/>
            <w:vAlign w:val="center"/>
          </w:tcPr>
          <w:p>
            <w:pPr>
              <w:jc w:val="center"/>
              <w:rPr>
                <w:sz w:val="28"/>
                <w:szCs w:val="28"/>
              </w:rPr>
            </w:pPr>
            <w:r>
              <w:rPr>
                <w:rFonts w:hint="eastAsia" w:cs="宋体"/>
                <w:sz w:val="28"/>
                <w:szCs w:val="28"/>
              </w:rPr>
              <w:t>无极县委宣传部</w:t>
            </w:r>
          </w:p>
        </w:tc>
        <w:tc>
          <w:tcPr>
            <w:tcW w:w="2220" w:type="dxa"/>
            <w:vAlign w:val="center"/>
          </w:tcPr>
          <w:p>
            <w:pPr>
              <w:jc w:val="center"/>
              <w:rPr>
                <w:rFonts w:ascii="仿宋" w:hAnsi="仿宋" w:eastAsia="仿宋"/>
                <w:sz w:val="28"/>
                <w:szCs w:val="28"/>
              </w:rPr>
            </w:pPr>
            <w:r>
              <w:rPr>
                <w:rFonts w:hint="eastAsia" w:ascii="仿宋" w:hAnsi="仿宋" w:eastAsia="仿宋" w:cs="仿宋"/>
                <w:sz w:val="28"/>
                <w:szCs w:val="28"/>
              </w:rPr>
              <w:t>行政</w:t>
            </w:r>
          </w:p>
        </w:tc>
        <w:tc>
          <w:tcPr>
            <w:tcW w:w="1965" w:type="dxa"/>
            <w:vAlign w:val="center"/>
          </w:tcPr>
          <w:p>
            <w:pPr>
              <w:jc w:val="center"/>
              <w:rPr>
                <w:rFonts w:ascii="仿宋" w:hAnsi="仿宋" w:eastAsia="仿宋"/>
                <w:sz w:val="28"/>
                <w:szCs w:val="28"/>
              </w:rPr>
            </w:pPr>
            <w:r>
              <w:rPr>
                <w:rFonts w:hint="eastAsia" w:ascii="仿宋" w:hAnsi="仿宋" w:eastAsia="仿宋" w:cs="仿宋"/>
                <w:sz w:val="28"/>
                <w:szCs w:val="28"/>
              </w:rPr>
              <w:t>正科级</w:t>
            </w:r>
          </w:p>
        </w:tc>
        <w:tc>
          <w:tcPr>
            <w:tcW w:w="1956" w:type="dxa"/>
            <w:vAlign w:val="center"/>
          </w:tcPr>
          <w:p>
            <w:pPr>
              <w:jc w:val="center"/>
              <w:rPr>
                <w:rFonts w:ascii="仿宋" w:hAnsi="仿宋" w:eastAsia="仿宋"/>
                <w:sz w:val="28"/>
                <w:szCs w:val="28"/>
              </w:rPr>
            </w:pPr>
            <w:r>
              <w:rPr>
                <w:rFonts w:hint="eastAsia" w:ascii="仿宋" w:hAnsi="仿宋" w:eastAsia="仿宋" w:cs="仿宋"/>
                <w:sz w:val="28"/>
                <w:szCs w:val="28"/>
              </w:rPr>
              <w:t>财政拨款</w:t>
            </w:r>
          </w:p>
        </w:tc>
      </w:tr>
    </w:tbl>
    <w:p>
      <w:pPr>
        <w:rPr>
          <w:rFonts w:ascii="楷体" w:hAnsi="楷体" w:eastAsia="楷体"/>
          <w:sz w:val="32"/>
          <w:szCs w:val="32"/>
        </w:rPr>
      </w:pPr>
    </w:p>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仿宋" w:hAnsi="仿宋" w:eastAsia="仿宋"/>
          <w:sz w:val="32"/>
          <w:szCs w:val="32"/>
        </w:rPr>
      </w:pPr>
      <w:r>
        <w:rPr>
          <w:rFonts w:hint="eastAsia" w:ascii="仿宋" w:hAnsi="仿宋" w:eastAsia="仿宋" w:cs="仿宋"/>
          <w:sz w:val="32"/>
          <w:szCs w:val="32"/>
        </w:rPr>
        <w:t>按照预算管理有关规定，目前我县部门预算的编制实行综合预算制度，即全部收入和支出都反映在预算里，我部门及所属单位所有收支都包含在部门预算中</w:t>
      </w:r>
      <w:r>
        <w:rPr>
          <w:rFonts w:hint="eastAsia" w:ascii="仿宋" w:hAnsi="仿宋" w:eastAsia="仿宋" w:cs="黑体"/>
          <w:sz w:val="32"/>
          <w:szCs w:val="32"/>
        </w:rPr>
        <w:t>。</w:t>
      </w:r>
    </w:p>
    <w:p>
      <w:pPr>
        <w:numPr>
          <w:ilvl w:val="0"/>
          <w:numId w:val="1"/>
        </w:numPr>
        <w:ind w:firstLine="640" w:firstLineChars="200"/>
        <w:rPr>
          <w:rFonts w:ascii="楷体" w:hAnsi="楷体" w:eastAsia="楷体"/>
          <w:sz w:val="32"/>
          <w:szCs w:val="32"/>
        </w:rPr>
      </w:pPr>
      <w:r>
        <w:rPr>
          <w:rFonts w:hint="eastAsia" w:ascii="楷体" w:hAnsi="楷体" w:eastAsia="楷体" w:cs="楷体"/>
          <w:sz w:val="32"/>
          <w:szCs w:val="32"/>
        </w:rPr>
        <w:t>收入说明</w:t>
      </w:r>
    </w:p>
    <w:p>
      <w:pPr>
        <w:adjustRightInd w:val="0"/>
        <w:snapToGrid w:val="0"/>
        <w:spacing w:line="6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无极县县委宣传部</w:t>
      </w:r>
      <w:r>
        <w:rPr>
          <w:rFonts w:ascii="仿宋" w:hAnsi="仿宋" w:eastAsia="仿宋" w:cs="仿宋"/>
          <w:sz w:val="32"/>
          <w:szCs w:val="32"/>
        </w:rPr>
        <w:t>201</w:t>
      </w:r>
      <w:r>
        <w:rPr>
          <w:rFonts w:hint="eastAsia" w:ascii="仿宋" w:hAnsi="仿宋" w:eastAsia="仿宋" w:cs="仿宋"/>
          <w:sz w:val="32"/>
          <w:szCs w:val="32"/>
        </w:rPr>
        <w:t>9年预算收入总计297.7万元。其中，一般公共预算收入290.7万元、政府性基金收入7万元、财政专户核拨收入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pPr>
        <w:numPr>
          <w:ilvl w:val="0"/>
          <w:numId w:val="1"/>
        </w:numPr>
        <w:ind w:firstLine="640" w:firstLineChars="200"/>
        <w:rPr>
          <w:rFonts w:ascii="楷体" w:hAnsi="楷体" w:eastAsia="楷体"/>
          <w:sz w:val="32"/>
          <w:szCs w:val="32"/>
        </w:rPr>
      </w:pPr>
      <w:r>
        <w:rPr>
          <w:rFonts w:hint="eastAsia" w:ascii="楷体" w:hAnsi="楷体" w:eastAsia="楷体" w:cs="楷体"/>
          <w:sz w:val="32"/>
          <w:szCs w:val="32"/>
        </w:rPr>
        <w:t>支出说明</w:t>
      </w:r>
    </w:p>
    <w:p>
      <w:pPr>
        <w:adjustRightInd w:val="0"/>
        <w:snapToGrid w:val="0"/>
        <w:spacing w:line="600" w:lineRule="exact"/>
        <w:ind w:firstLine="640" w:firstLineChars="200"/>
        <w:jc w:val="left"/>
        <w:rPr>
          <w:rFonts w:ascii="仿宋" w:hAnsi="仿宋" w:eastAsia="仿宋"/>
          <w:sz w:val="32"/>
          <w:szCs w:val="32"/>
        </w:rPr>
      </w:pPr>
      <w:r>
        <w:rPr>
          <w:rFonts w:ascii="仿宋" w:hAnsi="仿宋" w:eastAsia="仿宋" w:cs="仿宋"/>
          <w:sz w:val="32"/>
          <w:szCs w:val="32"/>
        </w:rPr>
        <w:t>201</w:t>
      </w:r>
      <w:r>
        <w:rPr>
          <w:rFonts w:hint="eastAsia" w:ascii="仿宋" w:hAnsi="仿宋" w:eastAsia="仿宋" w:cs="仿宋"/>
          <w:sz w:val="32"/>
          <w:szCs w:val="32"/>
        </w:rPr>
        <w:t>8年预算支出297.7万元。其中，人员经费支出157.47万元，正常公用经费16.9万元，项目支出123.33万元。</w:t>
      </w:r>
    </w:p>
    <w:p>
      <w:pPr>
        <w:numPr>
          <w:ilvl w:val="0"/>
          <w:numId w:val="1"/>
        </w:numPr>
        <w:ind w:firstLine="640" w:firstLineChars="200"/>
        <w:rPr>
          <w:rFonts w:ascii="楷体" w:hAnsi="楷体" w:eastAsia="楷体"/>
          <w:sz w:val="32"/>
          <w:szCs w:val="32"/>
        </w:rPr>
      </w:pPr>
      <w:r>
        <w:rPr>
          <w:rFonts w:hint="eastAsia" w:ascii="楷体" w:hAnsi="楷体" w:eastAsia="楷体" w:cs="楷体"/>
          <w:sz w:val="32"/>
          <w:szCs w:val="32"/>
        </w:rPr>
        <w:t>比上年增减情况</w:t>
      </w:r>
    </w:p>
    <w:p>
      <w:pPr>
        <w:rPr>
          <w:rFonts w:ascii="仿宋" w:hAnsi="仿宋" w:eastAsia="仿宋"/>
          <w:sz w:val="32"/>
          <w:szCs w:val="32"/>
        </w:rPr>
      </w:pPr>
      <w:r>
        <w:rPr>
          <w:rFonts w:ascii="楷体" w:hAnsi="楷体" w:eastAsia="楷体" w:cs="楷体"/>
          <w:sz w:val="32"/>
          <w:szCs w:val="32"/>
        </w:rPr>
        <w:t xml:space="preserve">  </w:t>
      </w:r>
      <w:r>
        <w:rPr>
          <w:rFonts w:ascii="仿宋" w:hAnsi="仿宋" w:eastAsia="仿宋" w:cs="楷体"/>
          <w:sz w:val="32"/>
          <w:szCs w:val="32"/>
        </w:rPr>
        <w:t xml:space="preserve">  </w:t>
      </w:r>
      <w:r>
        <w:rPr>
          <w:rFonts w:ascii="仿宋" w:hAnsi="仿宋" w:eastAsia="仿宋" w:cs="仿宋"/>
          <w:sz w:val="32"/>
          <w:szCs w:val="32"/>
        </w:rPr>
        <w:t>201</w:t>
      </w:r>
      <w:r>
        <w:rPr>
          <w:rFonts w:hint="eastAsia" w:ascii="仿宋" w:hAnsi="仿宋" w:eastAsia="仿宋" w:cs="仿宋"/>
          <w:sz w:val="32"/>
          <w:szCs w:val="32"/>
        </w:rPr>
        <w:t>9年预算收入总计297.7万元</w:t>
      </w:r>
      <w:r>
        <w:rPr>
          <w:rFonts w:ascii="仿宋" w:hAnsi="仿宋" w:eastAsia="仿宋" w:cs="仿宋"/>
          <w:sz w:val="32"/>
          <w:szCs w:val="32"/>
        </w:rPr>
        <w:t>,</w:t>
      </w:r>
      <w:r>
        <w:rPr>
          <w:rFonts w:hint="eastAsia" w:ascii="仿宋" w:hAnsi="仿宋" w:eastAsia="仿宋" w:cs="仿宋"/>
          <w:sz w:val="32"/>
          <w:szCs w:val="32"/>
        </w:rPr>
        <w:t>与</w:t>
      </w:r>
      <w:r>
        <w:rPr>
          <w:rFonts w:ascii="仿宋" w:hAnsi="仿宋" w:eastAsia="仿宋" w:cs="仿宋"/>
          <w:sz w:val="32"/>
          <w:szCs w:val="32"/>
        </w:rPr>
        <w:t>201</w:t>
      </w:r>
      <w:r>
        <w:rPr>
          <w:rFonts w:hint="eastAsia" w:ascii="仿宋" w:hAnsi="仿宋" w:eastAsia="仿宋" w:cs="仿宋"/>
          <w:sz w:val="32"/>
          <w:szCs w:val="32"/>
        </w:rPr>
        <w:t>8年相比增加162.22万元</w:t>
      </w:r>
      <w:r>
        <w:rPr>
          <w:rFonts w:ascii="仿宋" w:hAnsi="仿宋" w:eastAsia="仿宋" w:cs="仿宋"/>
          <w:sz w:val="32"/>
          <w:szCs w:val="32"/>
        </w:rPr>
        <w:t>,</w:t>
      </w:r>
      <w:r>
        <w:rPr>
          <w:rFonts w:hint="eastAsia" w:ascii="仿宋" w:hAnsi="仿宋" w:eastAsia="仿宋" w:cs="仿宋"/>
          <w:sz w:val="32"/>
          <w:szCs w:val="32"/>
        </w:rPr>
        <w:t>增加原因机构改革增加电影放映内容为相关人员经费及项目经费增加。</w:t>
      </w:r>
    </w:p>
    <w:p>
      <w:pPr>
        <w:ind w:firstLine="640" w:firstLineChars="200"/>
        <w:rPr>
          <w:rFonts w:ascii="黑体" w:hAnsi="黑体" w:eastAsia="黑体"/>
          <w:sz w:val="32"/>
          <w:szCs w:val="32"/>
        </w:rPr>
      </w:pPr>
      <w:r>
        <w:rPr>
          <w:rFonts w:hint="eastAsia" w:ascii="黑体" w:hAnsi="黑体" w:eastAsia="黑体" w:cs="黑体"/>
          <w:sz w:val="32"/>
          <w:szCs w:val="32"/>
        </w:rPr>
        <w:t>三、机关运行经费安排情况</w:t>
      </w:r>
    </w:p>
    <w:p>
      <w:pPr>
        <w:ind w:firstLine="640" w:firstLineChars="200"/>
        <w:rPr>
          <w:rFonts w:ascii="仿宋" w:hAnsi="仿宋" w:eastAsia="仿宋"/>
          <w:color w:val="FF0000"/>
          <w:sz w:val="32"/>
          <w:szCs w:val="32"/>
        </w:rPr>
      </w:pPr>
      <w:r>
        <w:rPr>
          <w:rFonts w:ascii="仿宋" w:hAnsi="仿宋" w:eastAsia="仿宋" w:cs="仿宋"/>
          <w:sz w:val="32"/>
          <w:szCs w:val="32"/>
        </w:rPr>
        <w:t>201</w:t>
      </w:r>
      <w:r>
        <w:rPr>
          <w:rFonts w:hint="eastAsia" w:ascii="仿宋" w:hAnsi="仿宋" w:eastAsia="仿宋" w:cs="仿宋"/>
          <w:sz w:val="32"/>
          <w:szCs w:val="32"/>
        </w:rPr>
        <w:t>9年机关运行经费共计安排16.9万元，主要用于我部门办公、车辆运行、值班补助、行政人员公车补助等日常运行支出。</w:t>
      </w:r>
    </w:p>
    <w:p>
      <w:pPr>
        <w:numPr>
          <w:ilvl w:val="0"/>
          <w:numId w:val="2"/>
        </w:num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财政拨款“三公”经费预算情况及增减变化原因</w:t>
      </w:r>
    </w:p>
    <w:p>
      <w:pPr>
        <w:ind w:firstLine="640" w:firstLineChars="200"/>
        <w:outlineLvl w:val="0"/>
        <w:rPr>
          <w:rFonts w:ascii="仿宋" w:hAnsi="仿宋" w:eastAsia="仿宋" w:cs="仿宋"/>
          <w:sz w:val="32"/>
          <w:szCs w:val="32"/>
        </w:rPr>
      </w:pPr>
      <w:r>
        <w:rPr>
          <w:rFonts w:hint="eastAsia" w:ascii="仿宋" w:hAnsi="仿宋" w:eastAsia="仿宋" w:cs="仿宋"/>
          <w:sz w:val="32"/>
          <w:szCs w:val="32"/>
        </w:rPr>
        <w:t>2019年，我部门财政拨款“三公”经费预算安排</w:t>
      </w:r>
      <w:r>
        <w:rPr>
          <w:rFonts w:hint="eastAsia" w:ascii="仿宋" w:hAnsi="仿宋" w:eastAsia="仿宋" w:cs="仿宋"/>
          <w:sz w:val="32"/>
          <w:szCs w:val="32"/>
          <w:lang w:val="en-US" w:eastAsia="zh-CN"/>
        </w:rPr>
        <w:t>3.5万</w:t>
      </w:r>
      <w:r>
        <w:rPr>
          <w:rFonts w:hint="eastAsia" w:ascii="仿宋" w:hAnsi="仿宋" w:eastAsia="仿宋" w:cs="仿宋"/>
          <w:sz w:val="32"/>
          <w:szCs w:val="32"/>
        </w:rPr>
        <w:t>元，其中：因公出国（境）费0万元；公务用车购置及运维费3万元（其中：公务用车购置费0万元，公务用车运行维护费3万元)；公务接待费0.5万元。2019年“三公”经费</w:t>
      </w:r>
      <w:r>
        <w:rPr>
          <w:rFonts w:ascii="仿宋" w:hAnsi="仿宋" w:eastAsia="仿宋" w:cs="仿宋"/>
          <w:sz w:val="32"/>
          <w:szCs w:val="32"/>
        </w:rPr>
        <w:t>与</w:t>
      </w:r>
      <w:r>
        <w:rPr>
          <w:rFonts w:hint="eastAsia" w:ascii="仿宋" w:hAnsi="仿宋" w:eastAsia="仿宋" w:cs="仿宋"/>
          <w:sz w:val="32"/>
          <w:szCs w:val="32"/>
        </w:rPr>
        <w:t>2018</w:t>
      </w:r>
      <w:r>
        <w:rPr>
          <w:rFonts w:ascii="仿宋" w:hAnsi="仿宋" w:eastAsia="仿宋" w:cs="仿宋"/>
          <w:sz w:val="32"/>
          <w:szCs w:val="32"/>
        </w:rPr>
        <w:t>年</w:t>
      </w:r>
      <w:r>
        <w:rPr>
          <w:rFonts w:hint="eastAsia" w:ascii="仿宋" w:hAnsi="仿宋" w:eastAsia="仿宋" w:cs="仿宋"/>
          <w:sz w:val="32"/>
          <w:szCs w:val="32"/>
        </w:rPr>
        <w:t>相比持平</w:t>
      </w:r>
      <w:r>
        <w:rPr>
          <w:rFonts w:ascii="仿宋" w:hAnsi="仿宋" w:eastAsia="仿宋" w:cs="仿宋"/>
          <w:sz w:val="32"/>
          <w:szCs w:val="32"/>
        </w:rPr>
        <w:t>，</w:t>
      </w:r>
      <w:r>
        <w:rPr>
          <w:rFonts w:hint="eastAsia" w:ascii="仿宋" w:hAnsi="仿宋" w:eastAsia="仿宋" w:cs="仿宋"/>
          <w:sz w:val="32"/>
          <w:szCs w:val="32"/>
        </w:rPr>
        <w:t>无增减变化。</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五、绩效预算信息</w:t>
      </w:r>
      <w:bookmarkStart w:id="0" w:name="_GoBack"/>
      <w:bookmarkEnd w:id="0"/>
    </w:p>
    <w:p>
      <w:pPr>
        <w:ind w:firstLine="645"/>
        <w:rPr>
          <w:rFonts w:ascii="楷体" w:hAnsi="楷体" w:eastAsia="楷体"/>
          <w:sz w:val="32"/>
          <w:szCs w:val="32"/>
        </w:rPr>
      </w:pPr>
      <w:r>
        <w:rPr>
          <w:rFonts w:hint="eastAsia" w:ascii="楷体" w:hAnsi="楷体" w:eastAsia="楷体" w:cs="楷体"/>
          <w:sz w:val="32"/>
          <w:szCs w:val="32"/>
        </w:rPr>
        <w:t>（一）总体绩效目标</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一是夯实理论武装，提升政治素质和执行能力。以深入学习宣传贯彻习近平总书记系列重要讲话精神为主线，继续扎实开展理论宣讲活动。利用“文明县城创建”“流动课堂”、“道德模范表彰”等文化阵地在农村、社区和企业广泛开展宣讲活动，把党的声音传达到基层群众中去。</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二是做大做强正面宣传，讲好无极故事。紧紧围绕迎接学习宣传贯彻党的十九大和省、市、县党代会精神，选好主题，培树典型，深入宣传我县全面深化改革，在调整结构、保护生态、保障民生等方面的重大部署和取得的显著成绩。</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三是加强网络宣传管理，主动引导网上舆论。健全“无极发布”微博和微信管理，推动各乡镇和县直有关部门加强政务微信账号和政务公众微信账号的建设。做好无极网络文化协会的管理和运行工作，引导网上舆论，净化网络环境。</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四是坚持改革创新，推进文化事业产业繁荣发展。进一步加大对文化产业企业的扶持，培育具有竞争力的文化产业市场主体，做好文化企业的入统工作，力争实现文化产业增加值占GDP比重大幅提升；组织开展多种形式的文化惠民活动；积极开展“扫黄打非”及“三下乡”工作；加强宣传思想文化示范村建设，督导检查配备物品使用和日常活动开展情况。继续推进科普基地建设，推进爱国主义教育基地建设。</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 xml:space="preserve"> 五是深化群众性精神文明创建，提高社会文明程度。按照河北省文明城市测评体系要求，深入开展文明县城创建工作。广泛深入开展各级各类文明单位、文明村镇、文明社区创建活动，提高文明创建水平。继续开展道德模范推荐评选活动，广泛开展“弘扬雷锋精神、开展志愿服务”“创文明窗口、筑企业品牌”等系列活动。加强未成年人思想道德建设。</w:t>
      </w:r>
    </w:p>
    <w:p>
      <w:pPr>
        <w:numPr>
          <w:ilvl w:val="0"/>
          <w:numId w:val="3"/>
        </w:numPr>
        <w:ind w:firstLine="645"/>
        <w:rPr>
          <w:rFonts w:ascii="楷体" w:hAnsi="楷体" w:eastAsia="楷体"/>
          <w:sz w:val="32"/>
          <w:szCs w:val="32"/>
        </w:rPr>
      </w:pPr>
      <w:r>
        <w:rPr>
          <w:rFonts w:hint="eastAsia" w:ascii="楷体" w:hAnsi="楷体" w:eastAsia="楷体" w:cs="楷体"/>
          <w:sz w:val="32"/>
          <w:szCs w:val="32"/>
        </w:rPr>
        <w:t>职责分类绩效目标</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1、提升理论研究水平，为全县经济社会发展提供理论支持；提高干部群众运用科学理论解决实际问题能力；增强广大干部群众理论自信、道路自信、制度自信，不断巩固全县人民团结奋斗的共同思想基础。</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2、完成思想政治工作重大任务，推进社会主义核心价值观落地生根。</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3、充分展示我县良好形象，不断提高我县知名度、美誉度。</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4、牢牢把握正确导向，为我县经济社会发展提供有力的舆论支持；提升新闻工作者的政治意识、责任意识和职业素养；提高舆情研判能力和信息服务水平，及时化解、妥善处理有关负面舆情。</w:t>
      </w:r>
    </w:p>
    <w:p>
      <w:pPr>
        <w:spacing w:line="60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5、完善互联网管理领导体制，加强网上舆论引导，营造良好网络舆论氛围，发展健康向上网络文化。</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6、全县城乡文明程度显著提升，和谐向善的社会风气逐步形成。</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7、全面推进文化体制机制创新，激发全县文化创造活力，确保国有文化资产保值增值。</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8、推进文化事业繁荣和文化产业快速发展，推动全县文化艺术健康发展。</w:t>
      </w:r>
    </w:p>
    <w:p>
      <w:pPr>
        <w:spacing w:line="600" w:lineRule="exact"/>
        <w:ind w:firstLine="640"/>
        <w:rPr>
          <w:rFonts w:ascii="仿宋" w:hAnsi="仿宋" w:eastAsia="仿宋" w:cs="仿宋_GB2312"/>
          <w:sz w:val="32"/>
          <w:szCs w:val="32"/>
        </w:rPr>
      </w:pPr>
      <w:r>
        <w:rPr>
          <w:rFonts w:hint="eastAsia" w:ascii="仿宋" w:hAnsi="仿宋" w:eastAsia="仿宋" w:cs="仿宋_GB2312"/>
          <w:sz w:val="32"/>
          <w:szCs w:val="32"/>
        </w:rPr>
        <w:t>9、确保各项业务工作谋划到位、顺利开展。</w:t>
      </w:r>
    </w:p>
    <w:p>
      <w:pPr>
        <w:autoSpaceDE w:val="0"/>
        <w:autoSpaceDN w:val="0"/>
        <w:adjustRightInd w:val="0"/>
        <w:ind w:firstLine="640" w:firstLineChars="200"/>
        <w:jc w:val="left"/>
        <w:rPr>
          <w:rFonts w:ascii="黑体" w:hAnsi="黑体" w:eastAsia="黑体" w:cs="黑体"/>
          <w:sz w:val="32"/>
          <w:szCs w:val="32"/>
        </w:rPr>
      </w:pPr>
      <w:r>
        <w:rPr>
          <w:rFonts w:hint="eastAsia" w:ascii="黑体" w:hAnsi="黑体" w:eastAsia="黑体" w:cs="黑体"/>
          <w:sz w:val="32"/>
          <w:szCs w:val="32"/>
        </w:rPr>
        <w:t>（三）工作保障措施</w:t>
      </w:r>
    </w:p>
    <w:p>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为了更好的实现本年度宣传工作规划目标，我单位制定了严格的专项考核机制，从制度上约束相关人员工作，为全县争先创优做贡献。一是加强单位工作人员政治思想教育学习，提高政治觉悟，坚定政治立场。二是要加强业务知识学习，增强工作能力。三是加强经费使用管理，尤其是上级资金的使用，做到专款专用，严格把钱用到办事上，杜绝浪费和其他项目开支。</w:t>
      </w:r>
    </w:p>
    <w:p>
      <w:pPr>
        <w:spacing w:line="600" w:lineRule="exact"/>
        <w:ind w:firstLine="640"/>
        <w:rPr>
          <w:rFonts w:ascii="仿宋" w:hAnsi="仿宋" w:eastAsia="仿宋" w:cs="仿宋_GB2312"/>
          <w:sz w:val="32"/>
          <w:szCs w:val="32"/>
        </w:rPr>
      </w:pPr>
    </w:p>
    <w:p>
      <w:pPr>
        <w:ind w:firstLine="640" w:firstLineChars="200"/>
        <w:rPr>
          <w:rFonts w:ascii="楷体" w:hAnsi="楷体" w:eastAsia="楷体"/>
          <w:sz w:val="32"/>
          <w:szCs w:val="32"/>
        </w:rPr>
      </w:pPr>
      <w:r>
        <w:rPr>
          <w:rFonts w:hint="eastAsia" w:ascii="楷体" w:hAnsi="楷体" w:eastAsia="楷体" w:cs="楷体"/>
          <w:sz w:val="32"/>
          <w:szCs w:val="32"/>
        </w:rPr>
        <w:t>（四）部门职责</w:t>
      </w:r>
      <w:r>
        <w:rPr>
          <w:rFonts w:ascii="楷体" w:hAnsi="楷体" w:eastAsia="楷体" w:cs="楷体"/>
          <w:sz w:val="32"/>
          <w:szCs w:val="32"/>
        </w:rPr>
        <w:t>-</w:t>
      </w:r>
      <w:r>
        <w:rPr>
          <w:rFonts w:hint="eastAsia" w:ascii="楷体" w:hAnsi="楷体" w:eastAsia="楷体" w:cs="楷体"/>
          <w:sz w:val="32"/>
          <w:szCs w:val="32"/>
        </w:rPr>
        <w:t>工作活动绩效目标</w:t>
      </w:r>
    </w:p>
    <w:p>
      <w:pPr>
        <w:ind w:firstLine="645"/>
        <w:jc w:val="center"/>
        <w:rPr>
          <w:rFonts w:ascii="仿宋" w:hAnsi="仿宋" w:eastAsia="仿宋"/>
          <w:sz w:val="32"/>
          <w:szCs w:val="32"/>
        </w:rPr>
      </w:pPr>
      <w:r>
        <w:rPr>
          <w:rFonts w:hint="eastAsia" w:ascii="仿宋" w:hAnsi="仿宋" w:eastAsia="仿宋" w:cs="仿宋"/>
          <w:sz w:val="32"/>
          <w:szCs w:val="32"/>
        </w:rPr>
        <w:t>部门职责</w:t>
      </w:r>
      <w:r>
        <w:rPr>
          <w:rFonts w:ascii="仿宋" w:hAnsi="仿宋" w:eastAsia="仿宋" w:cs="仿宋"/>
          <w:sz w:val="32"/>
          <w:szCs w:val="32"/>
        </w:rPr>
        <w:t>-</w:t>
      </w:r>
      <w:r>
        <w:rPr>
          <w:rFonts w:hint="eastAsia" w:ascii="仿宋" w:hAnsi="仿宋" w:eastAsia="仿宋" w:cs="仿宋"/>
          <w:sz w:val="32"/>
          <w:szCs w:val="32"/>
        </w:rPr>
        <w:t>工作活动绩效目标</w:t>
      </w:r>
    </w:p>
    <w:p>
      <w:pPr>
        <w:ind w:firstLine="645"/>
        <w:jc w:val="center"/>
        <w:rPr>
          <w:rFonts w:ascii="仿宋" w:hAnsi="仿宋" w:eastAsia="仿宋"/>
          <w:sz w:val="32"/>
          <w:szCs w:val="32"/>
        </w:rPr>
      </w:pP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211</w:t>
            </w:r>
            <w:r>
              <w:rPr>
                <w:rFonts w:hint="eastAsia" w:ascii="方正小标宋_GBK" w:eastAsia="方正小标宋_GBK"/>
                <w:sz w:val="24"/>
              </w:rPr>
              <w:t>宣传部</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一、宣传思想工作</w:t>
            </w:r>
          </w:p>
        </w:tc>
        <w:tc>
          <w:tcPr>
            <w:tcW w:w="1276" w:type="dxa"/>
            <w:vAlign w:val="center"/>
          </w:tcPr>
          <w:p>
            <w:pPr>
              <w:spacing w:line="300" w:lineRule="exact"/>
              <w:jc w:val="left"/>
              <w:rPr>
                <w:rFonts w:ascii="方正书宋_GBK" w:eastAsia="方正书宋_GBK"/>
              </w:rPr>
            </w:pPr>
            <w:r>
              <w:rPr>
                <w:rFonts w:ascii="方正书宋_GBK" w:eastAsia="方正书宋_GBK"/>
              </w:rPr>
              <w:t>15.40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全县理论研究、理论学习、理论宣传工作；宏观指导精神产品创作生产；规划组织思想政治工作；指导协调宣传思想文化事业发展；加强舆论舆情引导管理；宏观指导协调互联网宣传和信息内容管理；加强精神文明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牢牢掌握意识形态工作领导权、管理权、话语权，弘扬主旋律，汇聚正能量，为全县经济社会发展提供有力的思想保证、精神动力、舆论支持。</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、思想理论建设</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深入实施马克思主义理论研究和建设工程，深化中国特色社会主义和中国梦研究；深入学习宣传习近平总书记系列重要讲话；广泛开展理论宣传活动。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提升理论研究水平，为全县经济社会发展提供理论支持；提高干部群众运用科学理论解决实际问题能力；增强广大干部群众理论自信、道路自信、制度自信，不断巩固全县人民团结奋斗的共同思想基础。</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在新闻媒体开办理论宣传专栏数量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组织中心组学习次数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vAlign w:val="center"/>
          </w:tcPr>
          <w:p>
            <w:pPr>
              <w:spacing w:line="300" w:lineRule="exact"/>
              <w:jc w:val="center"/>
              <w:rPr>
                <w:rFonts w:ascii="方正书宋_GBK" w:eastAsia="方正书宋_GBK"/>
              </w:rPr>
            </w:pPr>
            <w:r>
              <w:rPr>
                <w:rFonts w:ascii="方正书宋_GBK" w:eastAsia="方正书宋_GBK"/>
              </w:rPr>
              <w:t>&lt;6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、思想政治工作</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规划、部署全县思想政治工作任务，培育和践行社会主义核心价值观，宣传推广全县性先进典型，加强爱国主义教育基地建设和全民国防教育，加强基层党员教育，组织开展系列宣传教育活动。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完成思想政治工作重大任务，推进社会主义核心价值观落地生根。</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社会主义核心价值观内容普及率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组织开展主题宣传教育活动（次）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、对外宣传事业</w:t>
            </w:r>
          </w:p>
        </w:tc>
        <w:tc>
          <w:tcPr>
            <w:tcW w:w="1276" w:type="dxa"/>
            <w:vAlign w:val="center"/>
          </w:tcPr>
          <w:p>
            <w:pPr>
              <w:spacing w:line="300" w:lineRule="exact"/>
              <w:jc w:val="left"/>
              <w:rPr>
                <w:rFonts w:ascii="方正书宋_GBK" w:eastAsia="方正书宋_GBK"/>
              </w:rPr>
            </w:pPr>
            <w:r>
              <w:rPr>
                <w:rFonts w:ascii="方正书宋_GBK" w:eastAsia="方正书宋_GBK"/>
              </w:rPr>
              <w:t>6.00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制订对外宣传事业发展规划，加强和改进新闻发布工作，扩大对外宣传，深化文化交流合作，开展多种形式的文化交流活动。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充分展示本县良好形象，不断提高知名度、美誉度。</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组织省市媒体采访、宣传次数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、舆论舆情引导管理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指导协调新闻舆论工作，组织系列主题新闻宣传，开展新闻业务调研评议；抓好新闻管理制度和措施落实；围绕社会热点敏感问题、突发事件，正确引导社会心态；组织开展舆情信息收集、分析、研判。</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牢牢把握正确导向，为全县经济社会发展提供有力的舆论支持；提升新闻工作者的政治意识、责任意识和职业素养；提高舆情研判能力和信息服务水平，及时化解、妥善处理有关负面舆情。</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突发事件新闻处置完成率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在市级以上媒体播发宣传本县稿件篇数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600</w:t>
            </w:r>
          </w:p>
        </w:tc>
        <w:tc>
          <w:tcPr>
            <w:tcW w:w="737" w:type="dxa"/>
            <w:vAlign w:val="center"/>
          </w:tcPr>
          <w:p>
            <w:pPr>
              <w:spacing w:line="300" w:lineRule="exact"/>
              <w:jc w:val="center"/>
              <w:rPr>
                <w:rFonts w:ascii="方正书宋_GBK" w:eastAsia="方正书宋_GBK"/>
              </w:rPr>
            </w:pPr>
            <w:r>
              <w:rPr>
                <w:rFonts w:ascii="方正书宋_GBK" w:eastAsia="方正书宋_GBK"/>
              </w:rPr>
              <w:t>&lt;600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、互联网宣传和信息内容管理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加强网络安全和信息化工作，加强互联网宣传和信息内容管理，加强网络文化建设。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完善互联网管理领导体制，加强网上舆论引导，营造良好网络舆论氛围，发展健康向上网络文化。</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组织开展网络宣传活动比率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互联网重大突发事件应急处置率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、精神文明建设</w:t>
            </w:r>
          </w:p>
        </w:tc>
        <w:tc>
          <w:tcPr>
            <w:tcW w:w="1276" w:type="dxa"/>
            <w:vAlign w:val="center"/>
          </w:tcPr>
          <w:p>
            <w:pPr>
              <w:spacing w:line="300" w:lineRule="exact"/>
              <w:jc w:val="left"/>
              <w:rPr>
                <w:rFonts w:ascii="方正书宋_GBK" w:eastAsia="方正书宋_GBK"/>
              </w:rPr>
            </w:pPr>
            <w:r>
              <w:rPr>
                <w:rFonts w:ascii="方正书宋_GBK" w:eastAsia="方正书宋_GBK"/>
              </w:rPr>
              <w:t>4.40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规划部署全县精神文明创建工作，组织指导全县群众性精神文明创建活动。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全县城乡文明程度显著提升，和谐向善的社会风气逐步形成。</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组织开展精神文明创建活动次数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二、推动文化发展</w:t>
            </w:r>
          </w:p>
        </w:tc>
        <w:tc>
          <w:tcPr>
            <w:tcW w:w="1276" w:type="dxa"/>
            <w:vAlign w:val="center"/>
          </w:tcPr>
          <w:p>
            <w:pPr>
              <w:spacing w:line="300" w:lineRule="exact"/>
              <w:jc w:val="left"/>
              <w:rPr>
                <w:rFonts w:ascii="方正书宋_GBK" w:eastAsia="方正书宋_GBK"/>
              </w:rPr>
            </w:pPr>
            <w:r>
              <w:rPr>
                <w:rFonts w:ascii="方正书宋_GBK" w:eastAsia="方正书宋_GBK"/>
              </w:rPr>
              <w:t>107.93</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深化文化体制改革，构建现代公共文化服务体系；加强精神文化产品创作生产。</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进一步解放和发展文化生产力，推动全县文化事业和文化产业健康发展。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、文化事业产业发展</w:t>
            </w:r>
          </w:p>
        </w:tc>
        <w:tc>
          <w:tcPr>
            <w:tcW w:w="1276" w:type="dxa"/>
            <w:vAlign w:val="center"/>
          </w:tcPr>
          <w:p>
            <w:pPr>
              <w:spacing w:line="300" w:lineRule="exact"/>
              <w:jc w:val="left"/>
              <w:rPr>
                <w:rFonts w:ascii="方正书宋_GBK" w:eastAsia="方正书宋_GBK"/>
              </w:rPr>
            </w:pPr>
            <w:r>
              <w:rPr>
                <w:rFonts w:ascii="方正书宋_GBK" w:eastAsia="方正书宋_GBK"/>
              </w:rPr>
              <w:t>107.93</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研究制定全县文化发展方针政策，管理县级各类文化发展专项资金和基金，支持重点文化项目建设，加强文化招商，推动文化事业产业健康发展。</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推动文化事业繁荣和文化产业快速发展。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全县文化产业增加值年增速</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、文化艺术发展</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研究制定全县文化艺术发展的指导方针，构建现代公共文化服务体系，加强精神文化产品创作生产，传承和保护优秀传统文化，推动文化艺术健康发展。</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推动全县文化艺术健康发展。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组织系列文化活动数量（次）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三、宣传事务管理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确保各项业务工作谋划到位、顺利开展。保障机关工作正常高效运转。</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制定全县宣传思想文化发展规划和政策制度并组织实施，开展宣传文化业务管理，加强政策业务宣传等。</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规划、制度完成率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重点工作督察督办率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开展会议组织管理、财务资产管理、干部人才队伍建设、机关党建等工作。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ind w:firstLine="645" w:firstLineChars="215"/>
        <w:rPr>
          <w:rFonts w:ascii="??_GB2312"/>
          <w:sz w:val="30"/>
          <w:szCs w:val="30"/>
        </w:rPr>
      </w:pPr>
      <w:r>
        <w:rPr>
          <w:rFonts w:ascii="??_GB2312" w:eastAsia="Times New Roman" w:cs="??_GB2312"/>
          <w:sz w:val="30"/>
          <w:szCs w:val="30"/>
        </w:rPr>
        <w:t>201</w:t>
      </w:r>
      <w:r>
        <w:rPr>
          <w:rFonts w:hint="eastAsia" w:ascii="??_GB2312" w:cs="??_GB2312"/>
          <w:sz w:val="30"/>
          <w:szCs w:val="30"/>
        </w:rPr>
        <w:t>9</w:t>
      </w:r>
      <w:r>
        <w:rPr>
          <w:rFonts w:ascii="??_GB2312" w:eastAsia="Times New Roman"/>
          <w:sz w:val="30"/>
          <w:szCs w:val="30"/>
        </w:rPr>
        <w:t>年中国共产党无极县委员会宣传部安排政府采购预算</w:t>
      </w:r>
      <w:r>
        <w:rPr>
          <w:rFonts w:ascii="??_GB2312" w:eastAsia="Times New Roman" w:cs="??_GB2312"/>
          <w:sz w:val="30"/>
          <w:szCs w:val="30"/>
        </w:rPr>
        <w:t>0</w:t>
      </w:r>
      <w:r>
        <w:rPr>
          <w:rFonts w:ascii="??_GB2312" w:eastAsia="Times New Roman"/>
          <w:sz w:val="30"/>
          <w:szCs w:val="30"/>
        </w:rPr>
        <w:t>万元，具体内容见下表。</w:t>
      </w:r>
    </w:p>
    <w:p>
      <w:pPr>
        <w:ind w:firstLine="645" w:firstLineChars="215"/>
        <w:jc w:val="center"/>
        <w:rPr>
          <w:rFonts w:ascii="??_GB2312"/>
          <w:sz w:val="30"/>
          <w:szCs w:val="30"/>
        </w:rPr>
      </w:pPr>
      <w:r>
        <w:rPr>
          <w:rFonts w:hint="eastAsia" w:ascii="??_GB2312"/>
          <w:sz w:val="30"/>
          <w:szCs w:val="30"/>
        </w:rPr>
        <w:t>部门政府采购预算</w:t>
      </w:r>
    </w:p>
    <w:tbl>
      <w:tblPr>
        <w:tblStyle w:val="4"/>
        <w:tblW w:w="147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0"/>
        <w:gridCol w:w="1134"/>
        <w:gridCol w:w="954"/>
        <w:gridCol w:w="992"/>
        <w:gridCol w:w="850"/>
        <w:gridCol w:w="567"/>
        <w:gridCol w:w="709"/>
        <w:gridCol w:w="709"/>
        <w:gridCol w:w="709"/>
        <w:gridCol w:w="992"/>
        <w:gridCol w:w="1134"/>
        <w:gridCol w:w="992"/>
        <w:gridCol w:w="1715"/>
        <w:gridCol w:w="17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766"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hint="eastAsia" w:ascii="方正小标宋_GBK" w:eastAsia="方正小标宋_GBK"/>
                <w:sz w:val="24"/>
              </w:rPr>
              <w:t>无极县委宣传部</w:t>
            </w:r>
          </w:p>
        </w:tc>
        <w:tc>
          <w:tcPr>
            <w:tcW w:w="7966"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94"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5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9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单位</w:t>
            </w:r>
          </w:p>
        </w:tc>
        <w:tc>
          <w:tcPr>
            <w:tcW w:w="56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7966"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50" w:hRule="atLeast"/>
          <w:tblHeader/>
          <w:jc w:val="center"/>
        </w:trPr>
        <w:tc>
          <w:tcPr>
            <w:tcW w:w="15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54" w:type="dxa"/>
            <w:vMerge w:val="continue"/>
            <w:shd w:val="clear" w:color="auto" w:fill="auto"/>
            <w:vAlign w:val="center"/>
          </w:tcPr>
          <w:p>
            <w:pPr>
              <w:spacing w:line="300" w:lineRule="exact"/>
              <w:jc w:val="left"/>
              <w:outlineLvl w:val="1"/>
              <w:rPr>
                <w:rFonts w:eastAsia="方正仿宋_GBK"/>
                <w:sz w:val="28"/>
              </w:rPr>
            </w:pPr>
          </w:p>
        </w:tc>
        <w:tc>
          <w:tcPr>
            <w:tcW w:w="992" w:type="dxa"/>
            <w:vMerge w:val="continue"/>
            <w:shd w:val="clear" w:color="auto" w:fill="auto"/>
            <w:vAlign w:val="center"/>
          </w:tcPr>
          <w:p>
            <w:pPr>
              <w:spacing w:line="300" w:lineRule="exact"/>
              <w:jc w:val="left"/>
              <w:outlineLvl w:val="1"/>
              <w:rPr>
                <w:rFonts w:eastAsia="方正仿宋_GBK"/>
                <w:sz w:val="28"/>
              </w:rPr>
            </w:pPr>
          </w:p>
        </w:tc>
        <w:tc>
          <w:tcPr>
            <w:tcW w:w="850" w:type="dxa"/>
            <w:vMerge w:val="continue"/>
            <w:shd w:val="clear" w:color="auto" w:fill="auto"/>
            <w:vAlign w:val="center"/>
          </w:tcPr>
          <w:p>
            <w:pPr>
              <w:spacing w:line="300" w:lineRule="exact"/>
              <w:jc w:val="left"/>
              <w:outlineLvl w:val="1"/>
              <w:rPr>
                <w:rFonts w:eastAsia="方正仿宋_GBK"/>
                <w:sz w:val="28"/>
              </w:rPr>
            </w:pPr>
          </w:p>
        </w:tc>
        <w:tc>
          <w:tcPr>
            <w:tcW w:w="567" w:type="dxa"/>
            <w:vMerge w:val="continue"/>
            <w:shd w:val="clear" w:color="auto" w:fill="auto"/>
            <w:vAlign w:val="center"/>
          </w:tcPr>
          <w:p>
            <w:pPr>
              <w:spacing w:line="300" w:lineRule="exact"/>
              <w:jc w:val="left"/>
              <w:outlineLvl w:val="1"/>
              <w:rPr>
                <w:rFonts w:eastAsia="方正仿宋_GBK"/>
                <w:sz w:val="28"/>
              </w:rPr>
            </w:pPr>
          </w:p>
        </w:tc>
        <w:tc>
          <w:tcPr>
            <w:tcW w:w="709" w:type="dxa"/>
            <w:vMerge w:val="continue"/>
            <w:shd w:val="clear" w:color="auto" w:fill="auto"/>
            <w:vAlign w:val="center"/>
          </w:tcPr>
          <w:p>
            <w:pPr>
              <w:spacing w:line="300" w:lineRule="exact"/>
              <w:jc w:val="left"/>
              <w:outlineLvl w:val="1"/>
              <w:rPr>
                <w:rFonts w:eastAsia="方正仿宋_GBK"/>
                <w:sz w:val="28"/>
              </w:rPr>
            </w:pP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5542" w:type="dxa"/>
            <w:gridSpan w:val="5"/>
            <w:shd w:val="clear" w:color="auto" w:fill="auto"/>
            <w:vAlign w:val="center"/>
          </w:tcPr>
          <w:p>
            <w:pPr>
              <w:spacing w:line="300" w:lineRule="exact"/>
              <w:jc w:val="center"/>
              <w:rPr>
                <w:rFonts w:ascii="方正书宋_GBK" w:eastAsia="方正书宋_GBK"/>
                <w:b/>
              </w:rPr>
            </w:pPr>
          </w:p>
        </w:tc>
        <w:tc>
          <w:tcPr>
            <w:tcW w:w="1715" w:type="dxa"/>
            <w:vMerge w:val="restart"/>
            <w:shd w:val="clear" w:color="auto" w:fill="auto"/>
            <w:vAlign w:val="center"/>
          </w:tcPr>
          <w:p>
            <w:pPr>
              <w:spacing w:line="300" w:lineRule="exact"/>
              <w:jc w:val="center"/>
              <w:rPr>
                <w:rFonts w:ascii="方正书宋_GBK" w:eastAsia="方正书宋_GBK"/>
                <w:b/>
              </w:rPr>
            </w:pPr>
            <w:r>
              <w:rPr>
                <w:rFonts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50" w:hRule="atLeast"/>
          <w:tblHeader/>
          <w:jc w:val="center"/>
        </w:trPr>
        <w:tc>
          <w:tcPr>
            <w:tcW w:w="1560" w:type="dxa"/>
            <w:vMerge w:val="continue"/>
            <w:shd w:val="clear" w:color="auto" w:fill="auto"/>
            <w:vAlign w:val="center"/>
          </w:tcPr>
          <w:p>
            <w:pPr>
              <w:spacing w:line="300" w:lineRule="exact"/>
              <w:jc w:val="center"/>
              <w:rPr>
                <w:rFonts w:ascii="方正书宋_GBK" w:eastAsia="方正书宋_GBK"/>
                <w:b/>
              </w:rPr>
            </w:pPr>
          </w:p>
        </w:tc>
        <w:tc>
          <w:tcPr>
            <w:tcW w:w="1134" w:type="dxa"/>
            <w:vMerge w:val="continue"/>
            <w:shd w:val="clear" w:color="auto" w:fill="auto"/>
            <w:vAlign w:val="center"/>
          </w:tcPr>
          <w:p>
            <w:pPr>
              <w:spacing w:line="300" w:lineRule="exact"/>
              <w:jc w:val="center"/>
              <w:rPr>
                <w:rFonts w:ascii="方正书宋_GBK" w:eastAsia="方正书宋_GBK"/>
                <w:b/>
              </w:rPr>
            </w:pPr>
          </w:p>
        </w:tc>
        <w:tc>
          <w:tcPr>
            <w:tcW w:w="954" w:type="dxa"/>
            <w:vMerge w:val="continue"/>
            <w:shd w:val="clear" w:color="auto" w:fill="auto"/>
            <w:vAlign w:val="center"/>
          </w:tcPr>
          <w:p>
            <w:pPr>
              <w:spacing w:line="300" w:lineRule="exact"/>
              <w:jc w:val="left"/>
              <w:outlineLvl w:val="1"/>
              <w:rPr>
                <w:rFonts w:eastAsia="方正仿宋_GBK"/>
                <w:sz w:val="28"/>
              </w:rPr>
            </w:pPr>
          </w:p>
        </w:tc>
        <w:tc>
          <w:tcPr>
            <w:tcW w:w="992" w:type="dxa"/>
            <w:vMerge w:val="continue"/>
            <w:shd w:val="clear" w:color="auto" w:fill="auto"/>
            <w:vAlign w:val="center"/>
          </w:tcPr>
          <w:p>
            <w:pPr>
              <w:spacing w:line="300" w:lineRule="exact"/>
              <w:jc w:val="left"/>
              <w:outlineLvl w:val="1"/>
              <w:rPr>
                <w:rFonts w:eastAsia="方正仿宋_GBK"/>
                <w:sz w:val="28"/>
              </w:rPr>
            </w:pPr>
          </w:p>
        </w:tc>
        <w:tc>
          <w:tcPr>
            <w:tcW w:w="850" w:type="dxa"/>
            <w:vMerge w:val="continue"/>
            <w:shd w:val="clear" w:color="auto" w:fill="auto"/>
            <w:vAlign w:val="center"/>
          </w:tcPr>
          <w:p>
            <w:pPr>
              <w:spacing w:line="300" w:lineRule="exact"/>
              <w:jc w:val="left"/>
              <w:outlineLvl w:val="1"/>
              <w:rPr>
                <w:rFonts w:eastAsia="方正仿宋_GBK"/>
                <w:sz w:val="28"/>
              </w:rPr>
            </w:pPr>
          </w:p>
        </w:tc>
        <w:tc>
          <w:tcPr>
            <w:tcW w:w="567" w:type="dxa"/>
            <w:vMerge w:val="continue"/>
            <w:shd w:val="clear" w:color="auto" w:fill="auto"/>
            <w:vAlign w:val="center"/>
          </w:tcPr>
          <w:p>
            <w:pPr>
              <w:spacing w:line="300" w:lineRule="exact"/>
              <w:jc w:val="left"/>
              <w:outlineLvl w:val="1"/>
              <w:rPr>
                <w:rFonts w:eastAsia="方正仿宋_GBK"/>
                <w:sz w:val="28"/>
              </w:rPr>
            </w:pPr>
          </w:p>
        </w:tc>
        <w:tc>
          <w:tcPr>
            <w:tcW w:w="709" w:type="dxa"/>
            <w:vMerge w:val="continue"/>
            <w:shd w:val="clear" w:color="auto" w:fill="auto"/>
            <w:vAlign w:val="center"/>
          </w:tcPr>
          <w:p>
            <w:pPr>
              <w:spacing w:line="300" w:lineRule="exact"/>
              <w:jc w:val="left"/>
              <w:outlineLvl w:val="1"/>
              <w:rPr>
                <w:rFonts w:eastAsia="方正仿宋_GBK"/>
                <w:sz w:val="28"/>
              </w:rPr>
            </w:pPr>
          </w:p>
        </w:tc>
        <w:tc>
          <w:tcPr>
            <w:tcW w:w="709" w:type="dxa"/>
            <w:vMerge w:val="continue"/>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合计</w:t>
            </w:r>
          </w:p>
        </w:tc>
        <w:tc>
          <w:tcPr>
            <w:tcW w:w="99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9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71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1715" w:type="dxa"/>
            <w:vMerge w:val="continue"/>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954" w:type="dxa"/>
            <w:shd w:val="clear" w:color="auto" w:fill="auto"/>
            <w:vAlign w:val="center"/>
          </w:tcPr>
          <w:p>
            <w:pPr>
              <w:spacing w:line="300" w:lineRule="exact"/>
              <w:jc w:val="left"/>
              <w:rPr>
                <w:rFonts w:ascii="方正书宋_GBK" w:eastAsia="方正书宋_GBK"/>
                <w:b/>
              </w:rPr>
            </w:pPr>
          </w:p>
        </w:tc>
        <w:tc>
          <w:tcPr>
            <w:tcW w:w="992" w:type="dxa"/>
            <w:shd w:val="clear" w:color="auto" w:fill="auto"/>
            <w:vAlign w:val="center"/>
          </w:tcPr>
          <w:p>
            <w:pPr>
              <w:spacing w:line="300" w:lineRule="exact"/>
              <w:jc w:val="left"/>
              <w:rPr>
                <w:rFonts w:ascii="方正书宋_GBK" w:eastAsia="方正书宋_GBK"/>
                <w:b/>
              </w:rPr>
            </w:pPr>
          </w:p>
        </w:tc>
        <w:tc>
          <w:tcPr>
            <w:tcW w:w="850" w:type="dxa"/>
            <w:shd w:val="clear" w:color="auto" w:fill="auto"/>
            <w:vAlign w:val="center"/>
          </w:tcPr>
          <w:p>
            <w:pPr>
              <w:spacing w:line="300" w:lineRule="exact"/>
              <w:jc w:val="center"/>
              <w:rPr>
                <w:rFonts w:ascii="方正书宋_GBK" w:eastAsia="方正书宋_GBK"/>
                <w:b/>
              </w:rPr>
            </w:pPr>
          </w:p>
        </w:tc>
        <w:tc>
          <w:tcPr>
            <w:tcW w:w="567"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992"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992" w:type="dxa"/>
            <w:shd w:val="clear" w:color="auto" w:fill="auto"/>
            <w:vAlign w:val="center"/>
          </w:tcPr>
          <w:p>
            <w:pPr>
              <w:spacing w:line="300" w:lineRule="exact"/>
              <w:jc w:val="right"/>
              <w:rPr>
                <w:rFonts w:ascii="方正书宋_GBK" w:eastAsia="方正书宋_GBK"/>
                <w:b/>
              </w:rPr>
            </w:pPr>
          </w:p>
        </w:tc>
        <w:tc>
          <w:tcPr>
            <w:tcW w:w="1715" w:type="dxa"/>
            <w:shd w:val="clear" w:color="auto" w:fill="auto"/>
            <w:vAlign w:val="center"/>
          </w:tcPr>
          <w:p>
            <w:pPr>
              <w:spacing w:line="300" w:lineRule="exact"/>
              <w:jc w:val="right"/>
              <w:rPr>
                <w:rFonts w:ascii="方正书宋_GBK" w:eastAsia="方正书宋_GBK"/>
                <w:b/>
              </w:rPr>
            </w:pPr>
          </w:p>
        </w:tc>
        <w:tc>
          <w:tcPr>
            <w:tcW w:w="1715"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b/>
              </w:rPr>
            </w:pPr>
          </w:p>
        </w:tc>
        <w:tc>
          <w:tcPr>
            <w:tcW w:w="954" w:type="dxa"/>
            <w:shd w:val="clear" w:color="auto" w:fill="auto"/>
            <w:vAlign w:val="center"/>
          </w:tcPr>
          <w:p>
            <w:pPr>
              <w:spacing w:line="300" w:lineRule="exact"/>
              <w:jc w:val="right"/>
              <w:rPr>
                <w:rFonts w:ascii="方正书宋_GBK" w:eastAsia="方正书宋_GBK"/>
                <w:b/>
              </w:rPr>
            </w:pPr>
          </w:p>
        </w:tc>
        <w:tc>
          <w:tcPr>
            <w:tcW w:w="992" w:type="dxa"/>
            <w:shd w:val="clear" w:color="auto" w:fill="auto"/>
            <w:vAlign w:val="center"/>
          </w:tcPr>
          <w:p>
            <w:pPr>
              <w:spacing w:line="300" w:lineRule="exact"/>
              <w:jc w:val="right"/>
              <w:rPr>
                <w:rFonts w:ascii="方正书宋_GBK" w:eastAsia="方正书宋_GBK"/>
                <w:b/>
              </w:rPr>
            </w:pPr>
          </w:p>
        </w:tc>
        <w:tc>
          <w:tcPr>
            <w:tcW w:w="850" w:type="dxa"/>
            <w:shd w:val="clear" w:color="auto" w:fill="auto"/>
            <w:vAlign w:val="center"/>
          </w:tcPr>
          <w:p>
            <w:pPr>
              <w:spacing w:line="300" w:lineRule="exact"/>
              <w:jc w:val="right"/>
              <w:rPr>
                <w:rFonts w:ascii="方正书宋_GBK" w:eastAsia="方正书宋_GBK"/>
                <w:b/>
              </w:rPr>
            </w:pPr>
          </w:p>
        </w:tc>
        <w:tc>
          <w:tcPr>
            <w:tcW w:w="567"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992"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992" w:type="dxa"/>
            <w:shd w:val="clear" w:color="auto" w:fill="auto"/>
            <w:vAlign w:val="center"/>
          </w:tcPr>
          <w:p>
            <w:pPr>
              <w:spacing w:line="300" w:lineRule="exact"/>
              <w:jc w:val="right"/>
              <w:rPr>
                <w:rFonts w:ascii="方正书宋_GBK" w:eastAsia="方正书宋_GBK"/>
                <w:b/>
              </w:rPr>
            </w:pPr>
          </w:p>
        </w:tc>
        <w:tc>
          <w:tcPr>
            <w:tcW w:w="1715" w:type="dxa"/>
            <w:shd w:val="clear" w:color="auto" w:fill="auto"/>
            <w:vAlign w:val="center"/>
          </w:tcPr>
          <w:p>
            <w:pPr>
              <w:spacing w:line="300" w:lineRule="exact"/>
              <w:jc w:val="right"/>
              <w:rPr>
                <w:rFonts w:ascii="方正书宋_GBK" w:eastAsia="方正书宋_GBK"/>
                <w:b/>
              </w:rPr>
            </w:pPr>
          </w:p>
        </w:tc>
        <w:tc>
          <w:tcPr>
            <w:tcW w:w="1715"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b/>
              </w:rPr>
            </w:pPr>
          </w:p>
        </w:tc>
        <w:tc>
          <w:tcPr>
            <w:tcW w:w="954" w:type="dxa"/>
            <w:shd w:val="clear" w:color="auto" w:fill="auto"/>
            <w:vAlign w:val="center"/>
          </w:tcPr>
          <w:p>
            <w:pPr>
              <w:spacing w:line="300" w:lineRule="exact"/>
              <w:jc w:val="right"/>
              <w:rPr>
                <w:rFonts w:ascii="方正书宋_GBK" w:eastAsia="方正书宋_GBK"/>
                <w:b/>
              </w:rPr>
            </w:pPr>
          </w:p>
        </w:tc>
        <w:tc>
          <w:tcPr>
            <w:tcW w:w="992" w:type="dxa"/>
            <w:shd w:val="clear" w:color="auto" w:fill="auto"/>
            <w:vAlign w:val="center"/>
          </w:tcPr>
          <w:p>
            <w:pPr>
              <w:spacing w:line="300" w:lineRule="exact"/>
              <w:jc w:val="right"/>
              <w:rPr>
                <w:rFonts w:ascii="方正书宋_GBK" w:eastAsia="方正书宋_GBK"/>
                <w:b/>
              </w:rPr>
            </w:pPr>
          </w:p>
        </w:tc>
        <w:tc>
          <w:tcPr>
            <w:tcW w:w="850" w:type="dxa"/>
            <w:shd w:val="clear" w:color="auto" w:fill="auto"/>
            <w:vAlign w:val="center"/>
          </w:tcPr>
          <w:p>
            <w:pPr>
              <w:spacing w:line="300" w:lineRule="exact"/>
              <w:jc w:val="right"/>
              <w:rPr>
                <w:rFonts w:ascii="方正书宋_GBK" w:eastAsia="方正书宋_GBK"/>
                <w:b/>
              </w:rPr>
            </w:pPr>
          </w:p>
        </w:tc>
        <w:tc>
          <w:tcPr>
            <w:tcW w:w="567"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992"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992" w:type="dxa"/>
            <w:shd w:val="clear" w:color="auto" w:fill="auto"/>
            <w:vAlign w:val="center"/>
          </w:tcPr>
          <w:p>
            <w:pPr>
              <w:spacing w:line="300" w:lineRule="exact"/>
              <w:jc w:val="right"/>
              <w:rPr>
                <w:rFonts w:ascii="方正书宋_GBK" w:eastAsia="方正书宋_GBK"/>
                <w:b/>
              </w:rPr>
            </w:pPr>
          </w:p>
        </w:tc>
        <w:tc>
          <w:tcPr>
            <w:tcW w:w="1715" w:type="dxa"/>
            <w:shd w:val="clear" w:color="auto" w:fill="auto"/>
            <w:vAlign w:val="center"/>
          </w:tcPr>
          <w:p>
            <w:pPr>
              <w:spacing w:line="300" w:lineRule="exact"/>
              <w:jc w:val="right"/>
              <w:rPr>
                <w:rFonts w:ascii="方正书宋_GBK" w:eastAsia="方正书宋_GBK"/>
                <w:b/>
              </w:rPr>
            </w:pPr>
          </w:p>
        </w:tc>
        <w:tc>
          <w:tcPr>
            <w:tcW w:w="1715"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954" w:type="dxa"/>
            <w:shd w:val="clear" w:color="auto" w:fill="auto"/>
            <w:vAlign w:val="center"/>
          </w:tcPr>
          <w:p>
            <w:pPr>
              <w:spacing w:line="300" w:lineRule="exact"/>
              <w:jc w:val="right"/>
              <w:rPr>
                <w:rFonts w:ascii="方正书宋_GBK" w:eastAsia="方正书宋_GBK"/>
              </w:rPr>
            </w:pPr>
          </w:p>
        </w:tc>
        <w:tc>
          <w:tcPr>
            <w:tcW w:w="992" w:type="dxa"/>
            <w:shd w:val="clear" w:color="auto" w:fill="auto"/>
            <w:vAlign w:val="center"/>
          </w:tcPr>
          <w:p>
            <w:pPr>
              <w:spacing w:line="300" w:lineRule="exact"/>
              <w:jc w:val="right"/>
              <w:rPr>
                <w:rFonts w:ascii="方正书宋_GBK" w:eastAsia="方正书宋_GBK"/>
              </w:rPr>
            </w:pPr>
          </w:p>
        </w:tc>
        <w:tc>
          <w:tcPr>
            <w:tcW w:w="850" w:type="dxa"/>
            <w:shd w:val="clear" w:color="auto" w:fill="auto"/>
            <w:vAlign w:val="center"/>
          </w:tcPr>
          <w:p>
            <w:pPr>
              <w:spacing w:line="300" w:lineRule="exact"/>
              <w:jc w:val="right"/>
              <w:rPr>
                <w:rFonts w:ascii="方正书宋_GBK" w:eastAsia="方正书宋_GBK"/>
              </w:rPr>
            </w:pPr>
          </w:p>
        </w:tc>
        <w:tc>
          <w:tcPr>
            <w:tcW w:w="567"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992"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992" w:type="dxa"/>
            <w:shd w:val="clear" w:color="auto" w:fill="auto"/>
            <w:vAlign w:val="center"/>
          </w:tcPr>
          <w:p>
            <w:pPr>
              <w:spacing w:line="300" w:lineRule="exact"/>
              <w:jc w:val="right"/>
              <w:rPr>
                <w:rFonts w:ascii="方正书宋_GBK" w:eastAsia="方正书宋_GBK"/>
              </w:rPr>
            </w:pPr>
          </w:p>
        </w:tc>
        <w:tc>
          <w:tcPr>
            <w:tcW w:w="1715" w:type="dxa"/>
            <w:shd w:val="clear" w:color="auto" w:fill="auto"/>
            <w:vAlign w:val="center"/>
          </w:tcPr>
          <w:p>
            <w:pPr>
              <w:spacing w:line="300" w:lineRule="exact"/>
              <w:jc w:val="right"/>
              <w:rPr>
                <w:rFonts w:ascii="方正书宋_GBK" w:eastAsia="方正书宋_GBK"/>
              </w:rPr>
            </w:pPr>
          </w:p>
        </w:tc>
        <w:tc>
          <w:tcPr>
            <w:tcW w:w="1715" w:type="dxa"/>
            <w:shd w:val="clear" w:color="auto" w:fill="auto"/>
            <w:vAlign w:val="center"/>
          </w:tcPr>
          <w:p>
            <w:pPr>
              <w:spacing w:line="300" w:lineRule="exact"/>
              <w:jc w:val="right"/>
              <w:rPr>
                <w:rFonts w:ascii="方正书宋_GBK" w:eastAsia="方正书宋_GBK"/>
              </w:rPr>
            </w:pPr>
          </w:p>
        </w:tc>
      </w:tr>
    </w:tbl>
    <w:p>
      <w:pPr>
        <w:ind w:firstLine="645" w:firstLineChars="215"/>
        <w:rPr>
          <w:rFonts w:ascii="??_GB2312"/>
          <w:sz w:val="30"/>
          <w:szCs w:val="30"/>
        </w:rPr>
      </w:pPr>
      <w:r>
        <w:rPr>
          <w:rFonts w:hint="eastAsia" w:ascii="??_GB2312"/>
          <w:sz w:val="30"/>
          <w:szCs w:val="30"/>
        </w:rPr>
        <w:t>注：我单位无政府采购，空表列示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无极县宣传部上年末固定资产金额为 39.086万元（详见下表）。本年度拟购置固定资产金额为0万元。</w:t>
      </w:r>
    </w:p>
    <w:p>
      <w:pPr>
        <w:pStyle w:val="9"/>
        <w:ind w:firstLine="640" w:firstLineChars="200"/>
        <w:rPr>
          <w:rFonts w:ascii="仿宋" w:hAnsi="仿宋" w:eastAsia="仿宋" w:cs="Times New Roman"/>
          <w:sz w:val="32"/>
          <w:szCs w:val="32"/>
          <w:lang w:eastAsia="zh-CN"/>
        </w:rPr>
      </w:pPr>
    </w:p>
    <w:p>
      <w:pPr>
        <w:autoSpaceDE w:val="0"/>
        <w:autoSpaceDN w:val="0"/>
        <w:adjustRightInd w:val="0"/>
        <w:ind w:left="420" w:leftChars="200"/>
        <w:jc w:val="center"/>
        <w:rPr>
          <w:rFonts w:ascii="仿宋" w:hAnsi="仿宋" w:eastAsia="仿宋" w:cs="仿宋"/>
          <w:sz w:val="32"/>
          <w:szCs w:val="32"/>
        </w:rPr>
      </w:pPr>
    </w:p>
    <w:p>
      <w:pPr>
        <w:autoSpaceDE w:val="0"/>
        <w:autoSpaceDN w:val="0"/>
        <w:adjustRightInd w:val="0"/>
        <w:ind w:left="420" w:leftChars="200"/>
        <w:jc w:val="center"/>
        <w:rPr>
          <w:rFonts w:ascii="仿宋" w:hAnsi="仿宋" w:eastAsia="仿宋" w:cs="仿宋"/>
          <w:sz w:val="32"/>
          <w:szCs w:val="32"/>
        </w:rPr>
      </w:pPr>
    </w:p>
    <w:p>
      <w:pPr>
        <w:autoSpaceDE w:val="0"/>
        <w:autoSpaceDN w:val="0"/>
        <w:adjustRightInd w:val="0"/>
        <w:ind w:left="420" w:leftChars="200"/>
        <w:jc w:val="center"/>
        <w:rPr>
          <w:rFonts w:ascii="仿宋" w:hAnsi="仿宋" w:eastAsia="仿宋" w:cs="仿宋"/>
          <w:sz w:val="32"/>
          <w:szCs w:val="32"/>
        </w:rPr>
      </w:pPr>
    </w:p>
    <w:p>
      <w:pPr>
        <w:autoSpaceDE w:val="0"/>
        <w:autoSpaceDN w:val="0"/>
        <w:adjustRightInd w:val="0"/>
        <w:ind w:left="420" w:leftChars="200"/>
        <w:jc w:val="center"/>
        <w:rPr>
          <w:rFonts w:ascii="仿宋" w:hAnsi="仿宋" w:eastAsia="仿宋"/>
          <w:sz w:val="32"/>
          <w:szCs w:val="32"/>
        </w:rPr>
      </w:pPr>
      <w:r>
        <w:rPr>
          <w:rFonts w:hint="eastAsia" w:ascii="仿宋" w:hAnsi="仿宋" w:eastAsia="仿宋" w:cs="仿宋"/>
          <w:sz w:val="32"/>
          <w:szCs w:val="32"/>
        </w:rPr>
        <w:t>无极县委宣传部固定资产占用情况表</w:t>
      </w:r>
    </w:p>
    <w:tbl>
      <w:tblPr>
        <w:tblStyle w:val="4"/>
        <w:tblW w:w="9718" w:type="dxa"/>
        <w:jc w:val="center"/>
        <w:tblLayout w:type="fixed"/>
        <w:tblCellMar>
          <w:top w:w="0" w:type="dxa"/>
          <w:left w:w="108" w:type="dxa"/>
          <w:bottom w:w="0" w:type="dxa"/>
          <w:right w:w="108" w:type="dxa"/>
        </w:tblCellMar>
      </w:tblPr>
      <w:tblGrid>
        <w:gridCol w:w="3048"/>
        <w:gridCol w:w="1785"/>
        <w:gridCol w:w="4885"/>
      </w:tblGrid>
      <w:tr>
        <w:trPr>
          <w:trHeight w:val="510" w:hRule="atLeast"/>
          <w:jc w:val="center"/>
        </w:trPr>
        <w:tc>
          <w:tcPr>
            <w:tcW w:w="4833" w:type="dxa"/>
            <w:gridSpan w:val="2"/>
            <w:tcBorders>
              <w:top w:val="nil"/>
              <w:left w:val="nil"/>
              <w:bottom w:val="nil"/>
              <w:right w:val="nil"/>
            </w:tcBorders>
            <w:vAlign w:val="center"/>
          </w:tcPr>
          <w:p>
            <w:pPr>
              <w:widowControl/>
              <w:jc w:val="left"/>
              <w:rPr>
                <w:rFonts w:ascii="宋体"/>
                <w:kern w:val="0"/>
                <w:sz w:val="22"/>
                <w:szCs w:val="22"/>
              </w:rPr>
            </w:pPr>
            <w:r>
              <w:rPr>
                <w:rFonts w:hint="eastAsia" w:ascii="宋体" w:hAnsi="宋体" w:cs="宋体"/>
                <w:kern w:val="0"/>
                <w:sz w:val="22"/>
                <w:szCs w:val="22"/>
              </w:rPr>
              <w:t>编制部门：</w:t>
            </w:r>
            <w:r>
              <w:rPr>
                <w:rFonts w:hint="eastAsia" w:cs="宋体"/>
              </w:rPr>
              <w:t>无极县宣传部</w:t>
            </w:r>
          </w:p>
        </w:tc>
        <w:tc>
          <w:tcPr>
            <w:tcW w:w="4885" w:type="dxa"/>
            <w:tcBorders>
              <w:top w:val="nil"/>
              <w:left w:val="nil"/>
              <w:bottom w:val="nil"/>
              <w:right w:val="nil"/>
            </w:tcBorders>
            <w:vAlign w:val="center"/>
          </w:tcPr>
          <w:p>
            <w:pPr>
              <w:widowControl/>
              <w:ind w:firstLine="880" w:firstLineChars="400"/>
              <w:jc w:val="left"/>
              <w:rPr>
                <w:rFonts w:ascii="宋体"/>
                <w:kern w:val="0"/>
                <w:sz w:val="22"/>
                <w:szCs w:val="22"/>
              </w:rPr>
            </w:pPr>
            <w:r>
              <w:rPr>
                <w:rFonts w:hint="eastAsia" w:ascii="宋体" w:hAnsi="宋体" w:cs="宋体"/>
                <w:kern w:val="0"/>
                <w:sz w:val="22"/>
                <w:szCs w:val="22"/>
              </w:rPr>
              <w:t>截止时间：</w:t>
            </w:r>
            <w:r>
              <w:rPr>
                <w:rFonts w:ascii="宋体" w:hAnsi="宋体" w:cs="宋体"/>
                <w:kern w:val="0"/>
                <w:sz w:val="22"/>
                <w:szCs w:val="22"/>
              </w:rPr>
              <w:t>201</w:t>
            </w:r>
            <w:r>
              <w:rPr>
                <w:rFonts w:hint="eastAsia" w:ascii="宋体" w:hAnsi="宋体" w:cs="宋体"/>
                <w:kern w:val="0"/>
                <w:sz w:val="22"/>
                <w:szCs w:val="22"/>
              </w:rPr>
              <w:t>8年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tblPrEx>
          <w:tblCellMar>
            <w:top w:w="0" w:type="dxa"/>
            <w:left w:w="108" w:type="dxa"/>
            <w:bottom w:w="0" w:type="dxa"/>
            <w:right w:w="108" w:type="dxa"/>
          </w:tblCellMar>
        </w:tblPrEx>
        <w:trPr>
          <w:trHeight w:val="645" w:hRule="atLeast"/>
          <w:jc w:val="center"/>
        </w:trPr>
        <w:tc>
          <w:tcPr>
            <w:tcW w:w="304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178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数量</w:t>
            </w:r>
          </w:p>
        </w:tc>
        <w:tc>
          <w:tcPr>
            <w:tcW w:w="488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jc w:val="center"/>
        </w:trPr>
        <w:tc>
          <w:tcPr>
            <w:tcW w:w="3048"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szCs w:val="22"/>
              </w:rPr>
            </w:pPr>
            <w:r>
              <w:rPr>
                <w:rFonts w:hint="eastAsia" w:ascii="宋体" w:hAnsi="宋体" w:cs="宋体"/>
                <w:kern w:val="0"/>
                <w:sz w:val="22"/>
                <w:szCs w:val="22"/>
              </w:rPr>
              <w:t>资产总额</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88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hint="eastAsia" w:ascii="宋体" w:cs="宋体"/>
                <w:kern w:val="0"/>
                <w:sz w:val="22"/>
                <w:szCs w:val="22"/>
              </w:rPr>
              <w:t>39.086</w:t>
            </w:r>
          </w:p>
        </w:tc>
      </w:tr>
      <w:tr>
        <w:tblPrEx>
          <w:tblCellMar>
            <w:top w:w="0" w:type="dxa"/>
            <w:left w:w="108" w:type="dxa"/>
            <w:bottom w:w="0" w:type="dxa"/>
            <w:right w:w="108" w:type="dxa"/>
          </w:tblCellMar>
        </w:tblPrEx>
        <w:trPr>
          <w:trHeight w:val="645" w:hRule="atLeast"/>
          <w:jc w:val="center"/>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c>
          <w:tcPr>
            <w:tcW w:w="488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jc w:val="center"/>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c>
          <w:tcPr>
            <w:tcW w:w="488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jc w:val="center"/>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178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1</w:t>
            </w:r>
          </w:p>
        </w:tc>
        <w:tc>
          <w:tcPr>
            <w:tcW w:w="488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hint="eastAsia" w:ascii="宋体" w:cs="宋体"/>
                <w:kern w:val="0"/>
                <w:sz w:val="22"/>
                <w:szCs w:val="22"/>
              </w:rPr>
              <w:t>5.4</w:t>
            </w:r>
          </w:p>
        </w:tc>
      </w:tr>
      <w:tr>
        <w:tblPrEx>
          <w:tblCellMar>
            <w:top w:w="0" w:type="dxa"/>
            <w:left w:w="108" w:type="dxa"/>
            <w:bottom w:w="0" w:type="dxa"/>
            <w:right w:w="108" w:type="dxa"/>
          </w:tblCellMar>
        </w:tblPrEx>
        <w:trPr>
          <w:trHeight w:val="645" w:hRule="atLeast"/>
          <w:jc w:val="center"/>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万元以上设备</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88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jc w:val="center"/>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88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hint="eastAsia" w:ascii="宋体" w:cs="宋体"/>
                <w:kern w:val="0"/>
                <w:sz w:val="22"/>
                <w:szCs w:val="22"/>
              </w:rPr>
              <w:t>33.6860</w:t>
            </w:r>
          </w:p>
        </w:tc>
      </w:tr>
    </w:tbl>
    <w:p>
      <w:pPr>
        <w:autoSpaceDE w:val="0"/>
        <w:autoSpaceDN w:val="0"/>
        <w:adjustRightInd w:val="0"/>
        <w:ind w:left="420" w:leftChars="200"/>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八、名词解释</w:t>
      </w:r>
    </w:p>
    <w:p>
      <w:pPr>
        <w:ind w:firstLine="720"/>
        <w:rPr>
          <w:rFonts w:ascii="仿宋" w:hAnsi="仿宋" w:eastAsia="仿宋"/>
          <w:b/>
          <w:bCs/>
          <w:sz w:val="32"/>
          <w:szCs w:val="32"/>
        </w:rPr>
      </w:pPr>
      <w:r>
        <w:rPr>
          <w:rFonts w:ascii="仿宋" w:hAnsi="仿宋" w:eastAsia="仿宋" w:cs="仿宋"/>
          <w:b/>
          <w:bCs/>
          <w:sz w:val="32"/>
          <w:szCs w:val="32"/>
        </w:rPr>
        <w:t>1.</w:t>
      </w:r>
      <w:r>
        <w:rPr>
          <w:rFonts w:hint="eastAsia" w:ascii="仿宋" w:hAnsi="仿宋" w:eastAsia="仿宋" w:cs="仿宋"/>
          <w:b/>
          <w:bCs/>
          <w:sz w:val="32"/>
          <w:szCs w:val="32"/>
        </w:rPr>
        <w:t>财政拨款收入</w:t>
      </w:r>
    </w:p>
    <w:p>
      <w:pPr>
        <w:ind w:firstLine="720"/>
        <w:rPr>
          <w:rFonts w:ascii="仿宋" w:hAnsi="仿宋" w:eastAsia="仿宋"/>
          <w:sz w:val="32"/>
          <w:szCs w:val="32"/>
        </w:rPr>
      </w:pPr>
      <w:r>
        <w:rPr>
          <w:rFonts w:hint="eastAsia" w:ascii="仿宋" w:hAnsi="仿宋" w:eastAsia="仿宋" w:cs="仿宋"/>
          <w:sz w:val="32"/>
          <w:szCs w:val="32"/>
        </w:rPr>
        <w:t>财政拨款收入是指财政部门按照批复的预算核拨给单位的财政预算资金。</w:t>
      </w:r>
    </w:p>
    <w:p>
      <w:pPr>
        <w:ind w:firstLine="720"/>
        <w:rPr>
          <w:rFonts w:ascii="仿宋" w:hAnsi="仿宋" w:eastAsia="仿宋"/>
          <w:b/>
          <w:bCs/>
          <w:sz w:val="32"/>
          <w:szCs w:val="32"/>
        </w:rPr>
      </w:pPr>
      <w:r>
        <w:rPr>
          <w:rFonts w:ascii="仿宋" w:hAnsi="仿宋" w:eastAsia="仿宋" w:cs="仿宋"/>
          <w:b/>
          <w:bCs/>
          <w:sz w:val="32"/>
          <w:szCs w:val="32"/>
        </w:rPr>
        <w:t>2.</w:t>
      </w:r>
      <w:r>
        <w:rPr>
          <w:rFonts w:hint="eastAsia" w:ascii="仿宋" w:hAnsi="仿宋" w:eastAsia="仿宋" w:cs="仿宋"/>
          <w:b/>
          <w:bCs/>
          <w:sz w:val="32"/>
          <w:szCs w:val="32"/>
        </w:rPr>
        <w:t>基本支出、项目支出</w:t>
      </w:r>
    </w:p>
    <w:p>
      <w:pPr>
        <w:ind w:firstLine="720"/>
        <w:rPr>
          <w:rFonts w:ascii="仿宋" w:hAnsi="仿宋" w:eastAsia="仿宋"/>
          <w:sz w:val="32"/>
          <w:szCs w:val="32"/>
        </w:rPr>
      </w:pPr>
      <w:r>
        <w:rPr>
          <w:rFonts w:hint="eastAsia" w:ascii="仿宋" w:hAnsi="仿宋" w:eastAsia="仿宋" w:cs="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cs="仿宋"/>
          <w:sz w:val="32"/>
          <w:szCs w:val="32"/>
        </w:rPr>
        <w:t>项目支出是指在基本支出之外完成特定行政任务和事业发展目标所发生的支出。</w:t>
      </w:r>
    </w:p>
    <w:p>
      <w:pPr>
        <w:ind w:firstLine="720"/>
        <w:rPr>
          <w:rFonts w:ascii="仿宋" w:hAnsi="仿宋" w:eastAsia="仿宋"/>
          <w:b/>
          <w:bCs/>
          <w:sz w:val="32"/>
          <w:szCs w:val="32"/>
        </w:rPr>
      </w:pPr>
      <w:r>
        <w:rPr>
          <w:rFonts w:ascii="仿宋" w:hAnsi="仿宋" w:eastAsia="仿宋" w:cs="仿宋"/>
          <w:b/>
          <w:bCs/>
          <w:sz w:val="32"/>
          <w:szCs w:val="32"/>
        </w:rPr>
        <w:t>3.</w:t>
      </w:r>
      <w:r>
        <w:rPr>
          <w:rFonts w:hint="eastAsia" w:ascii="仿宋" w:hAnsi="仿宋" w:eastAsia="仿宋" w:cs="仿宋"/>
          <w:b/>
          <w:bCs/>
          <w:sz w:val="32"/>
          <w:szCs w:val="32"/>
        </w:rPr>
        <w:t>一般公共服务支出</w:t>
      </w:r>
    </w:p>
    <w:p>
      <w:pPr>
        <w:ind w:firstLine="720"/>
        <w:rPr>
          <w:rFonts w:ascii="仿宋" w:hAnsi="仿宋" w:eastAsia="仿宋"/>
          <w:sz w:val="32"/>
          <w:szCs w:val="32"/>
        </w:rPr>
      </w:pPr>
      <w:r>
        <w:rPr>
          <w:rFonts w:hint="eastAsia" w:ascii="仿宋" w:hAnsi="仿宋" w:eastAsia="仿宋" w:cs="仿宋"/>
          <w:sz w:val="32"/>
          <w:szCs w:val="32"/>
        </w:rPr>
        <w:t>一般公共服务支出是指反映预算单位一般公共服务的支出。</w:t>
      </w:r>
    </w:p>
    <w:p>
      <w:pPr>
        <w:ind w:firstLine="720"/>
        <w:rPr>
          <w:rFonts w:ascii="仿宋" w:hAnsi="仿宋" w:eastAsia="仿宋"/>
          <w:b/>
          <w:bCs/>
          <w:sz w:val="32"/>
          <w:szCs w:val="32"/>
        </w:rPr>
      </w:pPr>
      <w:r>
        <w:rPr>
          <w:rFonts w:ascii="仿宋" w:hAnsi="仿宋" w:eastAsia="仿宋" w:cs="仿宋"/>
          <w:b/>
          <w:bCs/>
          <w:sz w:val="32"/>
          <w:szCs w:val="32"/>
        </w:rPr>
        <w:t>4.</w:t>
      </w:r>
      <w:r>
        <w:rPr>
          <w:rFonts w:hint="eastAsia" w:ascii="仿宋" w:hAnsi="仿宋" w:eastAsia="仿宋" w:cs="仿宋"/>
          <w:b/>
          <w:bCs/>
          <w:sz w:val="32"/>
          <w:szCs w:val="32"/>
        </w:rPr>
        <w:t>文化体育与传媒支出</w:t>
      </w:r>
    </w:p>
    <w:p>
      <w:pPr>
        <w:ind w:firstLine="720"/>
        <w:rPr>
          <w:rFonts w:ascii="仿宋" w:hAnsi="仿宋" w:eastAsia="仿宋"/>
          <w:sz w:val="32"/>
          <w:szCs w:val="32"/>
        </w:rPr>
      </w:pPr>
      <w:r>
        <w:rPr>
          <w:rFonts w:hint="eastAsia" w:ascii="仿宋" w:hAnsi="仿宋" w:eastAsia="仿宋" w:cs="仿宋"/>
          <w:sz w:val="32"/>
          <w:szCs w:val="32"/>
        </w:rPr>
        <w:t>文化体育与传媒支出是指反映预算单位在文化、文物、体育、广播影视、新闻出版等方面的支出。</w:t>
      </w:r>
    </w:p>
    <w:p>
      <w:pPr>
        <w:ind w:firstLine="720"/>
        <w:rPr>
          <w:rFonts w:ascii="仿宋" w:hAnsi="仿宋" w:eastAsia="仿宋"/>
          <w:b/>
          <w:bCs/>
          <w:sz w:val="32"/>
          <w:szCs w:val="32"/>
        </w:rPr>
      </w:pPr>
      <w:r>
        <w:rPr>
          <w:rFonts w:ascii="仿宋" w:hAnsi="仿宋" w:eastAsia="仿宋" w:cs="仿宋"/>
          <w:b/>
          <w:bCs/>
          <w:sz w:val="32"/>
          <w:szCs w:val="32"/>
        </w:rPr>
        <w:t>5.</w:t>
      </w:r>
      <w:r>
        <w:rPr>
          <w:rFonts w:hint="eastAsia" w:ascii="仿宋" w:hAnsi="仿宋" w:eastAsia="仿宋" w:cs="仿宋"/>
          <w:b/>
          <w:bCs/>
          <w:sz w:val="32"/>
          <w:szCs w:val="32"/>
        </w:rPr>
        <w:t>社会保障和就业支出</w:t>
      </w:r>
    </w:p>
    <w:p>
      <w:pPr>
        <w:ind w:firstLine="720"/>
        <w:rPr>
          <w:rFonts w:ascii="仿宋" w:hAnsi="仿宋" w:eastAsia="仿宋"/>
          <w:sz w:val="32"/>
          <w:szCs w:val="32"/>
        </w:rPr>
      </w:pPr>
      <w:r>
        <w:rPr>
          <w:rFonts w:hint="eastAsia" w:ascii="仿宋" w:hAnsi="仿宋" w:eastAsia="仿宋" w:cs="仿宋"/>
          <w:sz w:val="32"/>
          <w:szCs w:val="32"/>
        </w:rPr>
        <w:t>社会保障和就业支出是指预算单位在社会保障和就业方面的支出。</w:t>
      </w:r>
    </w:p>
    <w:p>
      <w:pPr>
        <w:ind w:firstLine="720"/>
        <w:rPr>
          <w:rFonts w:ascii="仿宋" w:hAnsi="仿宋" w:eastAsia="仿宋"/>
          <w:b/>
          <w:bCs/>
          <w:sz w:val="32"/>
          <w:szCs w:val="32"/>
        </w:rPr>
      </w:pPr>
      <w:r>
        <w:rPr>
          <w:rFonts w:ascii="仿宋" w:hAnsi="仿宋" w:eastAsia="仿宋" w:cs="仿宋"/>
          <w:b/>
          <w:bCs/>
          <w:sz w:val="32"/>
          <w:szCs w:val="32"/>
        </w:rPr>
        <w:t>6.</w:t>
      </w:r>
      <w:r>
        <w:rPr>
          <w:rFonts w:hint="eastAsia" w:ascii="仿宋" w:hAnsi="仿宋" w:eastAsia="仿宋" w:cs="仿宋"/>
          <w:b/>
          <w:bCs/>
          <w:sz w:val="32"/>
          <w:szCs w:val="32"/>
        </w:rPr>
        <w:t>机关运行经费</w:t>
      </w:r>
    </w:p>
    <w:p>
      <w:pPr>
        <w:ind w:firstLine="720"/>
        <w:rPr>
          <w:rFonts w:ascii="仿宋" w:hAnsi="仿宋" w:eastAsia="仿宋"/>
          <w:sz w:val="32"/>
          <w:szCs w:val="32"/>
        </w:rPr>
      </w:pPr>
      <w:r>
        <w:rPr>
          <w:rFonts w:hint="eastAsia" w:ascii="仿宋" w:hAnsi="仿宋" w:eastAsia="仿宋" w:cs="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bCs/>
          <w:sz w:val="32"/>
          <w:szCs w:val="32"/>
        </w:rPr>
      </w:pPr>
      <w:r>
        <w:rPr>
          <w:rFonts w:ascii="仿宋" w:hAnsi="仿宋" w:eastAsia="仿宋" w:cs="仿宋"/>
          <w:b/>
          <w:bCs/>
          <w:sz w:val="32"/>
          <w:szCs w:val="32"/>
        </w:rPr>
        <w:t>7.</w:t>
      </w:r>
      <w:r>
        <w:rPr>
          <w:rFonts w:hint="eastAsia" w:ascii="仿宋" w:hAnsi="仿宋" w:eastAsia="仿宋" w:cs="仿宋"/>
          <w:b/>
          <w:bCs/>
          <w:sz w:val="32"/>
          <w:szCs w:val="32"/>
        </w:rPr>
        <w:t>“三公”经费</w:t>
      </w:r>
    </w:p>
    <w:p>
      <w:pPr>
        <w:ind w:firstLine="720"/>
        <w:rPr>
          <w:rFonts w:ascii="仿宋" w:hAnsi="仿宋" w:eastAsia="仿宋"/>
          <w:sz w:val="32"/>
          <w:szCs w:val="32"/>
        </w:rPr>
      </w:pPr>
      <w:r>
        <w:rPr>
          <w:rFonts w:hint="eastAsia" w:ascii="仿宋" w:hAnsi="仿宋" w:eastAsia="仿宋" w:cs="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cs="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cs="仿宋"/>
          <w:sz w:val="32"/>
          <w:szCs w:val="32"/>
        </w:rPr>
        <w:t>公务用车购置及运行维护费是指单位购置公务用车及公务用车租用费、燃料费、维修费、路桥费、保险费等支出。</w:t>
      </w:r>
    </w:p>
    <w:p>
      <w:pPr>
        <w:ind w:firstLine="720"/>
        <w:rPr>
          <w:rFonts w:ascii="仿宋" w:hAnsi="仿宋" w:eastAsia="仿宋" w:cs="仿宋"/>
          <w:sz w:val="32"/>
          <w:szCs w:val="32"/>
        </w:rPr>
      </w:pPr>
      <w:r>
        <w:rPr>
          <w:rFonts w:hint="eastAsia" w:ascii="仿宋" w:hAnsi="仿宋" w:eastAsia="仿宋" w:cs="仿宋"/>
          <w:sz w:val="32"/>
          <w:szCs w:val="32"/>
        </w:rPr>
        <w:t>公务接待费是指单位按规定开支的各类公务接待（含外宾接待）费用。</w:t>
      </w:r>
    </w:p>
    <w:p>
      <w:pPr>
        <w:ind w:firstLine="72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72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72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九、其他需要说明的事项</w:t>
      </w:r>
    </w:p>
    <w:p>
      <w:pPr>
        <w:ind w:firstLine="688" w:firstLineChars="215"/>
        <w:rPr>
          <w:rFonts w:ascii="仿宋" w:hAnsi="仿宋" w:eastAsia="仿宋"/>
          <w:sz w:val="32"/>
          <w:szCs w:val="32"/>
        </w:rPr>
      </w:pPr>
      <w:r>
        <w:rPr>
          <w:rFonts w:hint="eastAsia" w:ascii="仿宋" w:hAnsi="仿宋" w:eastAsia="仿宋" w:cs="仿宋"/>
          <w:sz w:val="32"/>
          <w:szCs w:val="32"/>
        </w:rPr>
        <w:t>我部门无其他需要说明的事项。</w:t>
      </w:r>
    </w:p>
    <w:sectPr>
      <w:head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_GB2312">
    <w:altName w:val="Times New Roman"/>
    <w:panose1 w:val="00000000000000000000"/>
    <w:charset w:val="00"/>
    <w:family w:val="auto"/>
    <w:pitch w:val="default"/>
    <w:sig w:usb0="00000000" w:usb1="00000000" w:usb2="00000000" w:usb3="00000000" w:csb0="0000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2"/>
      <w:numFmt w:val="chineseCounting"/>
      <w:suff w:val="nothing"/>
      <w:lvlText w:val="（%1）"/>
      <w:lvlJc w:val="left"/>
    </w:lvl>
  </w:abstractNum>
  <w:abstractNum w:abstractNumId="1">
    <w:nsid w:val="00000002"/>
    <w:multiLevelType w:val="singleLevel"/>
    <w:tmpl w:val="00000002"/>
    <w:lvl w:ilvl="0" w:tentative="0">
      <w:start w:val="1"/>
      <w:numFmt w:val="chineseCounting"/>
      <w:suff w:val="nothing"/>
      <w:lvlText w:val="（%1）"/>
      <w:lvlJc w:val="left"/>
    </w:lvl>
  </w:abstractNum>
  <w:abstractNum w:abstractNumId="2">
    <w:nsid w:val="0053208E"/>
    <w:multiLevelType w:val="singleLevel"/>
    <w:tmpl w:val="0053208E"/>
    <w:lvl w:ilvl="0" w:tentative="0">
      <w:start w:val="4"/>
      <w:numFmt w:val="chineseCounting"/>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E00A1"/>
    <w:rsid w:val="00014C86"/>
    <w:rsid w:val="001F1888"/>
    <w:rsid w:val="00413630"/>
    <w:rsid w:val="004E00A1"/>
    <w:rsid w:val="00607960"/>
    <w:rsid w:val="00795E97"/>
    <w:rsid w:val="008E48B6"/>
    <w:rsid w:val="00AE4FDC"/>
    <w:rsid w:val="00BB5650"/>
    <w:rsid w:val="00C4377D"/>
    <w:rsid w:val="00CA6E2E"/>
    <w:rsid w:val="00FD18C2"/>
    <w:rsid w:val="127864FC"/>
    <w:rsid w:val="453D5E80"/>
    <w:rsid w:val="7A7C45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6"/>
    <w:uiPriority w:val="0"/>
    <w:pPr>
      <w:tabs>
        <w:tab w:val="center" w:pos="4153"/>
        <w:tab w:val="right" w:pos="8306"/>
      </w:tabs>
      <w:snapToGrid w:val="0"/>
      <w:jc w:val="left"/>
    </w:pPr>
    <w:rPr>
      <w:kern w:val="0"/>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kern w:val="0"/>
      <w:sz w:val="18"/>
      <w:szCs w:val="18"/>
    </w:rPr>
  </w:style>
  <w:style w:type="character" w:customStyle="1" w:styleId="6">
    <w:name w:val="页脚 Char"/>
    <w:link w:val="2"/>
    <w:semiHidden/>
    <w:uiPriority w:val="0"/>
    <w:rPr>
      <w:rFonts w:ascii="Times New Roman" w:hAnsi="Times New Roman" w:eastAsia="宋体" w:cs="Times New Roman"/>
      <w:sz w:val="18"/>
      <w:szCs w:val="18"/>
    </w:rPr>
  </w:style>
  <w:style w:type="character" w:customStyle="1" w:styleId="7">
    <w:name w:val="页眉 Char"/>
    <w:link w:val="3"/>
    <w:semiHidden/>
    <w:uiPriority w:val="0"/>
    <w:rPr>
      <w:rFonts w:ascii="Times New Roman" w:hAnsi="Times New Roman" w:eastAsia="宋体" w:cs="Times New Roman"/>
      <w:sz w:val="18"/>
      <w:szCs w:val="18"/>
    </w:rPr>
  </w:style>
  <w:style w:type="paragraph" w:customStyle="1" w:styleId="8">
    <w:name w:val="List Paragraph1"/>
    <w:basedOn w:val="1"/>
    <w:uiPriority w:val="0"/>
    <w:pPr>
      <w:ind w:firstLine="420" w:firstLineChars="200"/>
    </w:pPr>
  </w:style>
  <w:style w:type="paragraph" w:customStyle="1" w:styleId="9">
    <w:name w:val="[Normal]"/>
    <w:qFormat/>
    <w:uiPriority w:val="0"/>
    <w:rPr>
      <w:rFonts w:ascii="宋体" w:hAnsi="Times New Roman" w:eastAsia="宋体" w:cs="宋体"/>
      <w:sz w:val="24"/>
      <w:szCs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16</Pages>
  <Words>1038</Words>
  <Characters>5922</Characters>
  <Lines>49</Lines>
  <Paragraphs>13</Paragraphs>
  <TotalTime>44</TotalTime>
  <ScaleCrop>false</ScaleCrop>
  <LinksUpToDate>false</LinksUpToDate>
  <CharactersWithSpaces>6947</CharactersWithSpaces>
  <Application>WPS Office_11.1.0.10578_F1E327BC-269C-435d-A152-05C5408002CA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2017-08-22T17:42:00Z</dcterms:created>
  <dc:creator>微软用户</dc:creator>
  <cp:lastModifiedBy>lenovo</cp:lastModifiedBy>
  <dcterms:modified xsi:type="dcterms:W3CDTF">2021-07-10T10:27:32Z</dcterms:modified>
  <dc:title>Sky123.Org</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24F0890BBFFB4C268DD923BB2459CBFE</vt:lpwstr>
  </property>
</Properties>
</file>