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bCs/>
          <w:sz w:val="44"/>
          <w:szCs w:val="44"/>
        </w:rPr>
      </w:pPr>
    </w:p>
    <w:p>
      <w:pPr>
        <w:jc w:val="center"/>
        <w:rPr>
          <w:rFonts w:ascii="宋体"/>
          <w:b/>
          <w:bCs/>
          <w:sz w:val="44"/>
          <w:szCs w:val="44"/>
        </w:rPr>
      </w:pPr>
      <w:r>
        <w:rPr>
          <w:rFonts w:hint="eastAsia" w:ascii="宋体" w:hAnsi="宋体" w:cs="宋体"/>
          <w:b/>
          <w:bCs/>
          <w:sz w:val="44"/>
          <w:szCs w:val="44"/>
        </w:rPr>
        <w:t>中国共产党无极县委员会老干部局</w:t>
      </w:r>
    </w:p>
    <w:p>
      <w:pPr>
        <w:jc w:val="center"/>
        <w:rPr>
          <w:rFonts w:ascii="宋体"/>
          <w:b/>
          <w:bCs/>
          <w:sz w:val="44"/>
          <w:szCs w:val="44"/>
        </w:rPr>
      </w:pPr>
      <w:r>
        <w:rPr>
          <w:rFonts w:ascii="宋体" w:hAnsi="宋体" w:cs="宋体"/>
          <w:b/>
          <w:bCs/>
          <w:sz w:val="44"/>
          <w:szCs w:val="44"/>
        </w:rPr>
        <w:t>2019</w:t>
      </w:r>
      <w:r>
        <w:rPr>
          <w:rFonts w:hint="eastAsia" w:ascii="宋体" w:hAnsi="宋体" w:cs="宋体"/>
          <w:b/>
          <w:bCs/>
          <w:sz w:val="44"/>
          <w:szCs w:val="44"/>
        </w:rPr>
        <w:t>年部门预算信息公开说明目录</w:t>
      </w:r>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Pr>
        <w:ind w:firstLine="640" w:firstLineChars="200"/>
        <w:rPr>
          <w:rFonts w:ascii="仿宋" w:hAnsi="仿宋" w:eastAsia="仿宋"/>
          <w:sz w:val="32"/>
          <w:szCs w:val="32"/>
        </w:rPr>
      </w:pPr>
      <w:r>
        <w:rPr>
          <w:rFonts w:hint="eastAsia" w:ascii="仿宋" w:hAnsi="仿宋" w:eastAsia="仿宋" w:cs="仿宋_GB2312"/>
          <w:sz w:val="32"/>
          <w:szCs w:val="32"/>
        </w:rPr>
        <w:t>按照《预算法》、《地方预决算公开操作规程》和《河北省省级预算公开办法》规定，现将中国共产党无极县委员会老干部局</w:t>
      </w:r>
      <w:r>
        <w:rPr>
          <w:rFonts w:ascii="仿宋" w:hAnsi="仿宋" w:eastAsia="仿宋" w:cs="仿宋_GB2312"/>
          <w:sz w:val="32"/>
          <w:szCs w:val="32"/>
        </w:rPr>
        <w:t>2019</w:t>
      </w:r>
      <w:r>
        <w:rPr>
          <w:rFonts w:hint="eastAsia" w:ascii="仿宋" w:hAnsi="仿宋" w:eastAsia="仿宋" w:cs="仿宋_GB2312"/>
          <w:sz w:val="32"/>
          <w:szCs w:val="32"/>
        </w:rPr>
        <w:t>年部门预算公开如下：</w:t>
      </w:r>
    </w:p>
    <w:p>
      <w:pPr>
        <w:ind w:left="8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楷体" w:hAnsi="楷体" w:eastAsia="楷体"/>
          <w:sz w:val="32"/>
          <w:szCs w:val="32"/>
        </w:rPr>
      </w:pPr>
      <w:r>
        <w:rPr>
          <w:rFonts w:hint="eastAsia" w:ascii="楷体" w:hAnsi="楷体" w:eastAsia="楷体" w:cs="楷体"/>
          <w:sz w:val="32"/>
          <w:szCs w:val="32"/>
        </w:rPr>
        <w:t>（一）部门职责</w:t>
      </w:r>
    </w:p>
    <w:p>
      <w:pPr>
        <w:rPr>
          <w:rFonts w:ascii="仿宋" w:hAnsi="仿宋" w:eastAsia="仿宋"/>
          <w:sz w:val="32"/>
          <w:szCs w:val="32"/>
        </w:rPr>
      </w:pPr>
      <w:r>
        <w:rPr>
          <w:rFonts w:ascii="仿宋_GB2312" w:hAnsi="仿宋_GB2312" w:eastAsia="仿宋_GB2312" w:cs="仿宋_GB2312"/>
          <w:sz w:val="32"/>
          <w:szCs w:val="32"/>
        </w:rPr>
        <w:t xml:space="preserve">  </w:t>
      </w:r>
      <w:r>
        <w:rPr>
          <w:rFonts w:ascii="仿宋" w:hAnsi="仿宋" w:eastAsia="仿宋" w:cs="仿宋"/>
          <w:sz w:val="32"/>
          <w:szCs w:val="32"/>
        </w:rPr>
        <w:t xml:space="preserve">  1</w:t>
      </w:r>
      <w:r>
        <w:rPr>
          <w:rFonts w:hint="eastAsia" w:ascii="仿宋" w:hAnsi="仿宋" w:eastAsia="仿宋" w:cs="仿宋"/>
          <w:sz w:val="32"/>
          <w:szCs w:val="32"/>
        </w:rPr>
        <w:t>、全面贯彻加强党对离退休干部工作的集中统一领导要求</w:t>
      </w:r>
      <w:r>
        <w:rPr>
          <w:rFonts w:ascii="仿宋" w:hAnsi="仿宋" w:eastAsia="仿宋" w:cs="仿宋"/>
          <w:sz w:val="32"/>
          <w:szCs w:val="32"/>
        </w:rPr>
        <w:t>,</w:t>
      </w:r>
      <w:r>
        <w:rPr>
          <w:rFonts w:hint="eastAsia" w:ascii="仿宋" w:hAnsi="仿宋" w:eastAsia="仿宋" w:cs="仿宋"/>
          <w:sz w:val="32"/>
          <w:szCs w:val="32"/>
        </w:rPr>
        <w:t>负责宣传贯彻落实党中央、国务院和省、市、县党委、政府关于离退休干部工作的方针政策</w:t>
      </w:r>
      <w:r>
        <w:rPr>
          <w:rFonts w:ascii="仿宋" w:hAnsi="仿宋" w:eastAsia="仿宋" w:cs="仿宋"/>
          <w:sz w:val="32"/>
          <w:szCs w:val="32"/>
        </w:rPr>
        <w:t>;</w:t>
      </w:r>
      <w:r>
        <w:rPr>
          <w:rFonts w:hint="eastAsia" w:ascii="仿宋" w:hAnsi="仿宋" w:eastAsia="仿宋" w:cs="仿宋"/>
          <w:sz w:val="32"/>
          <w:szCs w:val="32"/>
        </w:rPr>
        <w:t>落实离退休干部工作有关政策规定并拟定实施办法</w:t>
      </w:r>
      <w:r>
        <w:rPr>
          <w:rFonts w:ascii="仿宋" w:hAnsi="仿宋" w:eastAsia="仿宋" w:cs="仿宋"/>
          <w:sz w:val="32"/>
          <w:szCs w:val="32"/>
        </w:rPr>
        <w:t>;</w:t>
      </w:r>
      <w:r>
        <w:rPr>
          <w:rFonts w:hint="eastAsia" w:ascii="仿宋" w:hAnsi="仿宋" w:eastAsia="仿宋" w:cs="仿宋"/>
          <w:sz w:val="32"/>
          <w:szCs w:val="32"/>
        </w:rPr>
        <w:t>总结宣传全县离退休干部工作和先进典型。</w:t>
      </w:r>
    </w:p>
    <w:p>
      <w:pPr>
        <w:rPr>
          <w:rFonts w:ascii="仿宋" w:hAnsi="仿宋" w:eastAsia="仿宋"/>
          <w:sz w:val="32"/>
          <w:szCs w:val="32"/>
        </w:rPr>
      </w:pPr>
      <w:r>
        <w:rPr>
          <w:rFonts w:ascii="仿宋" w:hAnsi="仿宋" w:eastAsia="仿宋" w:cs="仿宋"/>
          <w:sz w:val="32"/>
          <w:szCs w:val="32"/>
        </w:rPr>
        <w:t xml:space="preserve">    2</w:t>
      </w:r>
      <w:r>
        <w:rPr>
          <w:rFonts w:hint="eastAsia" w:ascii="仿宋" w:hAnsi="仿宋" w:eastAsia="仿宋" w:cs="仿宋"/>
          <w:sz w:val="32"/>
          <w:szCs w:val="32"/>
        </w:rPr>
        <w:t>、负责指导、督促、检查各部门离退休干部工作</w:t>
      </w:r>
      <w:r>
        <w:rPr>
          <w:rFonts w:ascii="仿宋" w:hAnsi="仿宋" w:eastAsia="仿宋" w:cs="仿宋"/>
          <w:sz w:val="32"/>
          <w:szCs w:val="32"/>
        </w:rPr>
        <w:t>;</w:t>
      </w:r>
      <w:r>
        <w:rPr>
          <w:rFonts w:hint="eastAsia" w:ascii="仿宋" w:hAnsi="仿宋" w:eastAsia="仿宋" w:cs="仿宋"/>
          <w:sz w:val="32"/>
          <w:szCs w:val="32"/>
        </w:rPr>
        <w:t>组织和协调有关部门做好离退休干部工作。</w:t>
      </w:r>
    </w:p>
    <w:p>
      <w:pPr>
        <w:rPr>
          <w:rFonts w:ascii="仿宋" w:hAnsi="仿宋" w:eastAsia="仿宋"/>
          <w:sz w:val="32"/>
          <w:szCs w:val="32"/>
        </w:rPr>
      </w:pPr>
      <w:r>
        <w:rPr>
          <w:rFonts w:ascii="仿宋" w:hAnsi="仿宋" w:eastAsia="仿宋" w:cs="仿宋"/>
          <w:sz w:val="32"/>
          <w:szCs w:val="32"/>
        </w:rPr>
        <w:t xml:space="preserve">    3</w:t>
      </w:r>
      <w:r>
        <w:rPr>
          <w:rFonts w:hint="eastAsia" w:ascii="仿宋" w:hAnsi="仿宋" w:eastAsia="仿宋" w:cs="仿宋"/>
          <w:sz w:val="32"/>
          <w:szCs w:val="32"/>
        </w:rPr>
        <w:t>、负责督促检查各部门落实离退休干部的政治和生活待遇</w:t>
      </w:r>
      <w:r>
        <w:rPr>
          <w:rFonts w:ascii="仿宋" w:hAnsi="仿宋" w:eastAsia="仿宋" w:cs="仿宋"/>
          <w:sz w:val="32"/>
          <w:szCs w:val="32"/>
        </w:rPr>
        <w:t>,</w:t>
      </w:r>
      <w:r>
        <w:rPr>
          <w:rFonts w:hint="eastAsia" w:ascii="仿宋" w:hAnsi="仿宋" w:eastAsia="仿宋" w:cs="仿宋"/>
          <w:sz w:val="32"/>
          <w:szCs w:val="32"/>
        </w:rPr>
        <w:t>组织做好走访慰问工作</w:t>
      </w:r>
      <w:r>
        <w:rPr>
          <w:rFonts w:ascii="仿宋" w:hAnsi="仿宋" w:eastAsia="仿宋" w:cs="仿宋"/>
          <w:sz w:val="32"/>
          <w:szCs w:val="32"/>
        </w:rPr>
        <w:t>:</w:t>
      </w:r>
      <w:r>
        <w:rPr>
          <w:rFonts w:hint="eastAsia" w:ascii="仿宋" w:hAnsi="仿宋" w:eastAsia="仿宋" w:cs="仿宋"/>
          <w:sz w:val="32"/>
          <w:szCs w:val="32"/>
        </w:rPr>
        <w:t>督促检查离休干部“两费”</w:t>
      </w:r>
      <w:r>
        <w:rPr>
          <w:rFonts w:ascii="仿宋" w:hAnsi="仿宋" w:eastAsia="仿宋" w:cs="仿宋"/>
          <w:sz w:val="32"/>
          <w:szCs w:val="32"/>
        </w:rPr>
        <w:t>(</w:t>
      </w:r>
      <w:r>
        <w:rPr>
          <w:rFonts w:hint="eastAsia" w:ascii="仿宋" w:hAnsi="仿宋" w:eastAsia="仿宋" w:cs="仿宋"/>
          <w:sz w:val="32"/>
          <w:szCs w:val="32"/>
        </w:rPr>
        <w:t>离休费、医药费</w:t>
      </w:r>
      <w:r>
        <w:rPr>
          <w:rFonts w:ascii="仿宋" w:hAnsi="仿宋" w:eastAsia="仿宋" w:cs="仿宋"/>
          <w:sz w:val="32"/>
          <w:szCs w:val="32"/>
        </w:rPr>
        <w:t>)</w:t>
      </w:r>
      <w:r>
        <w:rPr>
          <w:rFonts w:hint="eastAsia" w:ascii="仿宋" w:hAnsi="仿宋" w:eastAsia="仿宋" w:cs="仿宋"/>
          <w:sz w:val="32"/>
          <w:szCs w:val="32"/>
        </w:rPr>
        <w:t>落实情况</w:t>
      </w:r>
      <w:r>
        <w:rPr>
          <w:rFonts w:ascii="仿宋" w:hAnsi="仿宋" w:eastAsia="仿宋" w:cs="仿宋"/>
          <w:sz w:val="32"/>
          <w:szCs w:val="32"/>
        </w:rPr>
        <w:t>;</w:t>
      </w:r>
      <w:r>
        <w:rPr>
          <w:rFonts w:hint="eastAsia" w:ascii="仿宋" w:hAnsi="仿宋" w:eastAsia="仿宋" w:cs="仿宋"/>
          <w:sz w:val="32"/>
          <w:szCs w:val="32"/>
        </w:rPr>
        <w:t>调查研究离退休部政治和生活待遇中存在的问题</w:t>
      </w:r>
      <w:r>
        <w:rPr>
          <w:rFonts w:ascii="仿宋" w:hAnsi="仿宋" w:eastAsia="仿宋" w:cs="仿宋"/>
          <w:sz w:val="32"/>
          <w:szCs w:val="32"/>
        </w:rPr>
        <w:t>,</w:t>
      </w:r>
      <w:r>
        <w:rPr>
          <w:rFonts w:hint="eastAsia" w:ascii="仿宋" w:hAnsi="仿宋" w:eastAsia="仿宋" w:cs="仿宋"/>
          <w:sz w:val="32"/>
          <w:szCs w:val="32"/>
        </w:rPr>
        <w:t>协调有关部门提出解决办法</w:t>
      </w:r>
    </w:p>
    <w:p>
      <w:pPr>
        <w:rPr>
          <w:rFonts w:ascii="仿宋" w:hAnsi="仿宋" w:eastAsia="仿宋"/>
          <w:sz w:val="32"/>
          <w:szCs w:val="32"/>
        </w:rPr>
      </w:pPr>
      <w:r>
        <w:rPr>
          <w:rFonts w:ascii="仿宋" w:hAnsi="仿宋" w:eastAsia="仿宋" w:cs="仿宋"/>
          <w:sz w:val="32"/>
          <w:szCs w:val="32"/>
        </w:rPr>
        <w:t xml:space="preserve">    4</w:t>
      </w:r>
      <w:r>
        <w:rPr>
          <w:rFonts w:hint="eastAsia" w:ascii="仿宋" w:hAnsi="仿宋" w:eastAsia="仿宋" w:cs="仿宋"/>
          <w:sz w:val="32"/>
          <w:szCs w:val="32"/>
        </w:rPr>
        <w:t>、加强对全县离退休干部的政治引领和教育管理。负责做好新形势下离退休干部党组织建设工作</w:t>
      </w:r>
      <w:r>
        <w:rPr>
          <w:rFonts w:ascii="仿宋" w:hAnsi="仿宋" w:eastAsia="仿宋" w:cs="仿宋"/>
          <w:sz w:val="32"/>
          <w:szCs w:val="32"/>
        </w:rPr>
        <w:t>,</w:t>
      </w:r>
      <w:r>
        <w:rPr>
          <w:rFonts w:hint="eastAsia" w:ascii="仿宋" w:hAnsi="仿宋" w:eastAsia="仿宋" w:cs="仿宋"/>
          <w:sz w:val="32"/>
          <w:szCs w:val="32"/>
        </w:rPr>
        <w:t>拟订离退休干部思想做治工作的制度办法和措施</w:t>
      </w:r>
      <w:r>
        <w:rPr>
          <w:rFonts w:ascii="仿宋" w:hAnsi="仿宋" w:eastAsia="仿宋" w:cs="仿宋"/>
          <w:sz w:val="32"/>
          <w:szCs w:val="32"/>
        </w:rPr>
        <w:t>;</w:t>
      </w:r>
      <w:r>
        <w:rPr>
          <w:rFonts w:hint="eastAsia" w:ascii="仿宋" w:hAnsi="仿宋" w:eastAsia="仿宋" w:cs="仿宋"/>
          <w:sz w:val="32"/>
          <w:szCs w:val="32"/>
        </w:rPr>
        <w:t>组织开展离退休干部党组织书记的教育培训工作。</w:t>
      </w:r>
    </w:p>
    <w:p>
      <w:pPr>
        <w:rPr>
          <w:rFonts w:ascii="仿宋" w:hAnsi="仿宋" w:eastAsia="仿宋"/>
          <w:sz w:val="32"/>
          <w:szCs w:val="32"/>
        </w:rPr>
      </w:pPr>
      <w:r>
        <w:rPr>
          <w:rFonts w:ascii="仿宋" w:hAnsi="仿宋" w:eastAsia="仿宋" w:cs="仿宋"/>
          <w:sz w:val="32"/>
          <w:szCs w:val="32"/>
        </w:rPr>
        <w:t xml:space="preserve">    5</w:t>
      </w:r>
      <w:r>
        <w:rPr>
          <w:rFonts w:hint="eastAsia" w:ascii="仿宋" w:hAnsi="仿宋" w:eastAsia="仿宋" w:cs="仿宋"/>
          <w:sz w:val="32"/>
          <w:szCs w:val="32"/>
        </w:rPr>
        <w:t>、督促检查各部门老干部活动阵地的建设与管理</w:t>
      </w:r>
    </w:p>
    <w:p>
      <w:pPr>
        <w:rPr>
          <w:rFonts w:ascii="仿宋" w:hAnsi="仿宋" w:eastAsia="仿宋"/>
          <w:sz w:val="32"/>
          <w:szCs w:val="32"/>
        </w:rPr>
      </w:pPr>
      <w:r>
        <w:rPr>
          <w:rFonts w:ascii="仿宋" w:hAnsi="仿宋" w:eastAsia="仿宋" w:cs="仿宋"/>
          <w:sz w:val="32"/>
          <w:szCs w:val="32"/>
        </w:rPr>
        <w:t xml:space="preserve">    6</w:t>
      </w:r>
      <w:r>
        <w:rPr>
          <w:rFonts w:hint="eastAsia" w:ascii="仿宋" w:hAnsi="仿宋" w:eastAsia="仿宋" w:cs="仿宋"/>
          <w:sz w:val="32"/>
          <w:szCs w:val="32"/>
        </w:rPr>
        <w:t>、组织离退休干部利用自身优势</w:t>
      </w:r>
      <w:r>
        <w:rPr>
          <w:rFonts w:ascii="仿宋" w:hAnsi="仿宋" w:eastAsia="仿宋" w:cs="仿宋"/>
          <w:sz w:val="32"/>
          <w:szCs w:val="32"/>
        </w:rPr>
        <w:t>,</w:t>
      </w:r>
      <w:r>
        <w:rPr>
          <w:rFonts w:hint="eastAsia" w:ascii="仿宋" w:hAnsi="仿宋" w:eastAsia="仿宋" w:cs="仿宋"/>
          <w:sz w:val="32"/>
          <w:szCs w:val="32"/>
        </w:rPr>
        <w:t>在政治、经济、文化和青少年教育等各领域发挥作用</w:t>
      </w:r>
      <w:r>
        <w:rPr>
          <w:rFonts w:ascii="仿宋" w:hAnsi="仿宋" w:eastAsia="仿宋" w:cs="仿宋"/>
          <w:sz w:val="32"/>
          <w:szCs w:val="32"/>
        </w:rPr>
        <w:t>,</w:t>
      </w:r>
      <w:r>
        <w:rPr>
          <w:rFonts w:hint="eastAsia" w:ascii="仿宋" w:hAnsi="仿宋" w:eastAsia="仿宋" w:cs="仿宋"/>
          <w:sz w:val="32"/>
          <w:szCs w:val="32"/>
        </w:rPr>
        <w:t>增添正能量。</w:t>
      </w:r>
    </w:p>
    <w:p>
      <w:pPr>
        <w:rPr>
          <w:rFonts w:ascii="仿宋" w:hAnsi="仿宋" w:eastAsia="仿宋"/>
          <w:sz w:val="32"/>
          <w:szCs w:val="32"/>
        </w:rPr>
      </w:pPr>
      <w:r>
        <w:rPr>
          <w:rFonts w:ascii="仿宋" w:hAnsi="仿宋" w:eastAsia="仿宋" w:cs="仿宋"/>
          <w:sz w:val="32"/>
          <w:szCs w:val="32"/>
        </w:rPr>
        <w:t xml:space="preserve">    7</w:t>
      </w:r>
      <w:r>
        <w:rPr>
          <w:rFonts w:hint="eastAsia" w:ascii="仿宋" w:hAnsi="仿宋" w:eastAsia="仿宋" w:cs="仿宋"/>
          <w:sz w:val="32"/>
          <w:szCs w:val="32"/>
        </w:rPr>
        <w:t>、了解离退休干部对医疗保健方面的意见和要求。组织离退休干部开展健康科学的文化健身、保健讲座、参观学习等活动</w:t>
      </w:r>
    </w:p>
    <w:p>
      <w:pPr>
        <w:rPr>
          <w:rFonts w:ascii="仿宋" w:hAnsi="仿宋" w:eastAsia="仿宋"/>
          <w:sz w:val="32"/>
          <w:szCs w:val="32"/>
        </w:rPr>
      </w:pPr>
      <w:r>
        <w:rPr>
          <w:rFonts w:ascii="仿宋" w:hAnsi="仿宋" w:eastAsia="仿宋" w:cs="仿宋"/>
          <w:sz w:val="32"/>
          <w:szCs w:val="32"/>
        </w:rPr>
        <w:t xml:space="preserve">    8</w:t>
      </w:r>
      <w:r>
        <w:rPr>
          <w:rFonts w:hint="eastAsia" w:ascii="仿宋" w:hAnsi="仿宋" w:eastAsia="仿宋" w:cs="仿宋"/>
          <w:sz w:val="32"/>
          <w:szCs w:val="32"/>
        </w:rPr>
        <w:t>、负责易地安置离休干部服务管理工作。</w:t>
      </w:r>
    </w:p>
    <w:p>
      <w:pPr>
        <w:rPr>
          <w:rFonts w:ascii="仿宋" w:hAnsi="仿宋" w:eastAsia="仿宋"/>
          <w:sz w:val="32"/>
          <w:szCs w:val="32"/>
        </w:rPr>
      </w:pPr>
      <w:r>
        <w:rPr>
          <w:rFonts w:ascii="仿宋" w:hAnsi="仿宋" w:eastAsia="仿宋" w:cs="仿宋"/>
          <w:sz w:val="32"/>
          <w:szCs w:val="32"/>
        </w:rPr>
        <w:t xml:space="preserve">    9</w:t>
      </w:r>
      <w:r>
        <w:rPr>
          <w:rFonts w:hint="eastAsia" w:ascii="仿宋" w:hAnsi="仿宋" w:eastAsia="仿宋" w:cs="仿宋"/>
          <w:sz w:val="32"/>
          <w:szCs w:val="32"/>
        </w:rPr>
        <w:t>、会同有关部门拟订治丧办法</w:t>
      </w:r>
      <w:r>
        <w:rPr>
          <w:rFonts w:ascii="仿宋" w:hAnsi="仿宋" w:eastAsia="仿宋" w:cs="仿宋"/>
          <w:sz w:val="32"/>
          <w:szCs w:val="32"/>
        </w:rPr>
        <w:t>,</w:t>
      </w:r>
      <w:r>
        <w:rPr>
          <w:rFonts w:hint="eastAsia" w:ascii="仿宋" w:hAnsi="仿宋" w:eastAsia="仿宋" w:cs="仿宋"/>
          <w:sz w:val="32"/>
          <w:szCs w:val="32"/>
        </w:rPr>
        <w:t>配合有关部门做好逝世老干部的善后工作</w:t>
      </w:r>
      <w:r>
        <w:rPr>
          <w:rFonts w:ascii="仿宋" w:hAnsi="仿宋" w:eastAsia="仿宋" w:cs="仿宋"/>
          <w:sz w:val="32"/>
          <w:szCs w:val="32"/>
        </w:rPr>
        <w:t>,</w:t>
      </w:r>
      <w:r>
        <w:rPr>
          <w:rFonts w:hint="eastAsia" w:ascii="仿宋" w:hAnsi="仿宋" w:eastAsia="仿宋" w:cs="仿宋"/>
          <w:sz w:val="32"/>
          <w:szCs w:val="32"/>
        </w:rPr>
        <w:t>协助承办县委交办的丧葬事宜。</w:t>
      </w:r>
    </w:p>
    <w:p>
      <w:pPr>
        <w:rPr>
          <w:rFonts w:ascii="仿宋" w:hAnsi="仿宋" w:eastAsia="仿宋"/>
          <w:sz w:val="32"/>
          <w:szCs w:val="32"/>
        </w:rPr>
      </w:pPr>
      <w:r>
        <w:rPr>
          <w:rFonts w:ascii="仿宋" w:hAnsi="仿宋" w:eastAsia="仿宋" w:cs="仿宋"/>
          <w:sz w:val="32"/>
          <w:szCs w:val="32"/>
        </w:rPr>
        <w:t xml:space="preserve">    10</w:t>
      </w:r>
      <w:r>
        <w:rPr>
          <w:rFonts w:hint="eastAsia" w:ascii="仿宋" w:hAnsi="仿宋" w:eastAsia="仿宋" w:cs="仿宋"/>
          <w:sz w:val="32"/>
          <w:szCs w:val="32"/>
        </w:rPr>
        <w:t>、承担县老干部工作领导小组、县关心下一代工作委员会的日常工作</w:t>
      </w:r>
    </w:p>
    <w:p>
      <w:pPr>
        <w:rPr>
          <w:rFonts w:ascii="仿宋" w:hAnsi="仿宋" w:eastAsia="仿宋"/>
          <w:sz w:val="32"/>
          <w:szCs w:val="32"/>
        </w:rPr>
      </w:pPr>
      <w:r>
        <w:rPr>
          <w:rFonts w:ascii="仿宋" w:hAnsi="仿宋" w:eastAsia="仿宋" w:cs="仿宋"/>
          <w:sz w:val="32"/>
          <w:szCs w:val="32"/>
        </w:rPr>
        <w:t xml:space="preserve">    11</w:t>
      </w:r>
      <w:r>
        <w:rPr>
          <w:rFonts w:hint="eastAsia" w:ascii="仿宋" w:hAnsi="仿宋" w:eastAsia="仿宋" w:cs="仿宋"/>
          <w:sz w:val="32"/>
          <w:szCs w:val="32"/>
        </w:rPr>
        <w:t>、完成县委交办的其他任务。</w:t>
      </w:r>
    </w:p>
    <w:p>
      <w:pPr>
        <w:ind w:firstLine="645"/>
        <w:rPr>
          <w:rFonts w:ascii="楷体" w:hAnsi="楷体" w:eastAsia="楷体"/>
          <w:sz w:val="32"/>
          <w:szCs w:val="32"/>
        </w:rPr>
      </w:pPr>
      <w:r>
        <w:rPr>
          <w:rFonts w:hint="eastAsia" w:ascii="楷体" w:hAnsi="楷体" w:eastAsia="楷体" w:cs="楷体"/>
          <w:sz w:val="32"/>
          <w:szCs w:val="32"/>
        </w:rPr>
        <w:t>（二）机构设置</w:t>
      </w:r>
    </w:p>
    <w:p>
      <w:pPr>
        <w:jc w:val="center"/>
        <w:rPr>
          <w:rFonts w:ascii="仿宋" w:hAnsi="仿宋" w:eastAsia="仿宋"/>
          <w:sz w:val="32"/>
          <w:szCs w:val="32"/>
        </w:rPr>
      </w:pPr>
      <w:r>
        <w:rPr>
          <w:rFonts w:hint="eastAsia" w:ascii="仿宋" w:hAnsi="仿宋" w:eastAsia="仿宋" w:cs="仿宋"/>
          <w:sz w:val="32"/>
          <w:szCs w:val="32"/>
        </w:rPr>
        <w:t>部门机构设置情况</w:t>
      </w:r>
    </w:p>
    <w:tbl>
      <w:tblPr>
        <w:tblStyle w:val="7"/>
        <w:tblW w:w="1426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szCs w:val="24"/>
              </w:rPr>
            </w:pPr>
            <w:r>
              <w:rPr>
                <w:rFonts w:ascii="方正小标宋_GBK" w:eastAsia="方正小标宋_GBK" w:cs="方正小标宋_GBK"/>
                <w:sz w:val="24"/>
                <w:szCs w:val="24"/>
              </w:rPr>
              <w:t>287</w:t>
            </w:r>
            <w:r>
              <w:rPr>
                <w:rFonts w:hint="eastAsia" w:ascii="方正小标宋_GBK" w:eastAsia="方正小标宋_GBK" w:cs="方正小标宋_GBK"/>
                <w:sz w:val="24"/>
                <w:szCs w:val="24"/>
              </w:rPr>
              <w:t>老干部局</w:t>
            </w:r>
          </w:p>
        </w:tc>
        <w:tc>
          <w:tcPr>
            <w:tcW w:w="42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szCs w:val="24"/>
              </w:rPr>
            </w:pPr>
            <w:r>
              <w:rPr>
                <w:rFonts w:hint="eastAsia" w:ascii="方正小标宋_GBK" w:eastAsia="方正小标宋_GBK" w:cs="方正小标宋_GBK"/>
                <w:sz w:val="24"/>
                <w:szCs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3827"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单位名称</w:t>
            </w:r>
          </w:p>
        </w:tc>
        <w:tc>
          <w:tcPr>
            <w:tcW w:w="1134"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单位性质</w:t>
            </w:r>
          </w:p>
        </w:tc>
        <w:tc>
          <w:tcPr>
            <w:tcW w:w="12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单位规格</w:t>
            </w:r>
          </w:p>
        </w:tc>
        <w:tc>
          <w:tcPr>
            <w:tcW w:w="2353"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经费保障形式</w:t>
            </w:r>
          </w:p>
        </w:tc>
        <w:tc>
          <w:tcPr>
            <w:tcW w:w="709"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车辆编制数</w:t>
            </w:r>
          </w:p>
        </w:tc>
        <w:tc>
          <w:tcPr>
            <w:tcW w:w="1418" w:type="dxa"/>
            <w:gridSpan w:val="2"/>
            <w:vAlign w:val="center"/>
          </w:tcPr>
          <w:p>
            <w:pPr>
              <w:spacing w:line="300" w:lineRule="exact"/>
              <w:jc w:val="center"/>
              <w:rPr>
                <w:rFonts w:ascii="方正书宋_GBK" w:eastAsia="方正书宋_GBK"/>
                <w:b/>
                <w:bCs/>
              </w:rPr>
            </w:pPr>
            <w:r>
              <w:rPr>
                <w:rFonts w:hint="eastAsia" w:ascii="方正书宋_GBK" w:eastAsia="方正书宋_GBK" w:cs="方正书宋_GBK"/>
                <w:b/>
                <w:bCs/>
              </w:rPr>
              <w:t>编制人数</w:t>
            </w:r>
          </w:p>
        </w:tc>
        <w:tc>
          <w:tcPr>
            <w:tcW w:w="1418" w:type="dxa"/>
            <w:gridSpan w:val="2"/>
            <w:vAlign w:val="center"/>
          </w:tcPr>
          <w:p>
            <w:pPr>
              <w:spacing w:line="300" w:lineRule="exact"/>
              <w:jc w:val="center"/>
              <w:rPr>
                <w:rFonts w:ascii="方正书宋_GBK" w:eastAsia="方正书宋_GBK"/>
                <w:b/>
                <w:bCs/>
              </w:rPr>
            </w:pPr>
            <w:r>
              <w:rPr>
                <w:rFonts w:hint="eastAsia" w:ascii="方正书宋_GBK" w:eastAsia="方正书宋_GBK" w:cs="方正书宋_GBK"/>
                <w:b/>
                <w:bCs/>
              </w:rPr>
              <w:t>在职人数</w:t>
            </w:r>
          </w:p>
        </w:tc>
        <w:tc>
          <w:tcPr>
            <w:tcW w:w="2127" w:type="dxa"/>
            <w:gridSpan w:val="3"/>
            <w:vAlign w:val="center"/>
          </w:tcPr>
          <w:p>
            <w:pPr>
              <w:spacing w:line="300" w:lineRule="exact"/>
              <w:jc w:val="center"/>
              <w:rPr>
                <w:rFonts w:ascii="方正书宋_GBK" w:eastAsia="方正书宋_GBK"/>
                <w:b/>
                <w:bCs/>
              </w:rPr>
            </w:pPr>
            <w:r>
              <w:rPr>
                <w:rFonts w:hint="eastAsia" w:ascii="方正书宋_GBK" w:eastAsia="方正书宋_GBK" w:cs="方正书宋_GBK"/>
                <w:b/>
                <w:bCs/>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3827" w:type="dxa"/>
            <w:vMerge w:val="continue"/>
            <w:vAlign w:val="center"/>
          </w:tcPr>
          <w:p>
            <w:pPr>
              <w:spacing w:line="300" w:lineRule="exact"/>
              <w:jc w:val="left"/>
              <w:outlineLvl w:val="0"/>
            </w:pPr>
          </w:p>
        </w:tc>
        <w:tc>
          <w:tcPr>
            <w:tcW w:w="1134"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353" w:type="dxa"/>
            <w:vMerge w:val="continue"/>
            <w:vAlign w:val="center"/>
          </w:tcPr>
          <w:p>
            <w:pPr>
              <w:spacing w:line="300" w:lineRule="exact"/>
              <w:jc w:val="left"/>
              <w:outlineLvl w:val="0"/>
            </w:pPr>
          </w:p>
        </w:tc>
        <w:tc>
          <w:tcPr>
            <w:tcW w:w="709" w:type="dxa"/>
            <w:vMerge w:val="continue"/>
            <w:vAlign w:val="center"/>
          </w:tcPr>
          <w:p>
            <w:pPr>
              <w:spacing w:line="300" w:lineRule="exact"/>
              <w:jc w:val="left"/>
              <w:outlineLvl w:val="0"/>
            </w:pPr>
          </w:p>
        </w:tc>
        <w:tc>
          <w:tcPr>
            <w:tcW w:w="709"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行政</w:t>
            </w:r>
          </w:p>
        </w:tc>
        <w:tc>
          <w:tcPr>
            <w:tcW w:w="709"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事业</w:t>
            </w:r>
          </w:p>
        </w:tc>
        <w:tc>
          <w:tcPr>
            <w:tcW w:w="709"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行政</w:t>
            </w:r>
          </w:p>
        </w:tc>
        <w:tc>
          <w:tcPr>
            <w:tcW w:w="709"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事业</w:t>
            </w:r>
          </w:p>
        </w:tc>
        <w:tc>
          <w:tcPr>
            <w:tcW w:w="709"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离休</w:t>
            </w:r>
          </w:p>
        </w:tc>
        <w:tc>
          <w:tcPr>
            <w:tcW w:w="709"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退休</w:t>
            </w:r>
          </w:p>
        </w:tc>
        <w:tc>
          <w:tcPr>
            <w:tcW w:w="709"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合</w:t>
            </w:r>
            <w:r>
              <w:rPr>
                <w:rFonts w:ascii="方正书宋_GBK" w:eastAsia="方正书宋_GBK" w:cs="方正书宋_GBK"/>
                <w:b/>
                <w:bCs/>
              </w:rPr>
              <w:t xml:space="preserve">    </w:t>
            </w:r>
            <w:r>
              <w:rPr>
                <w:rFonts w:hint="eastAsia" w:ascii="方正书宋_GBK" w:eastAsia="方正书宋_GBK" w:cs="方正书宋_GBK"/>
                <w:b/>
                <w:bCs/>
              </w:rPr>
              <w:t>计</w:t>
            </w:r>
          </w:p>
        </w:tc>
        <w:tc>
          <w:tcPr>
            <w:tcW w:w="1134" w:type="dxa"/>
            <w:vAlign w:val="center"/>
          </w:tcPr>
          <w:p>
            <w:pPr>
              <w:spacing w:line="300" w:lineRule="exact"/>
              <w:jc w:val="center"/>
              <w:rPr>
                <w:rFonts w:ascii="方正书宋_GBK" w:eastAsia="方正书宋_GBK"/>
                <w:b/>
                <w:bCs/>
              </w:rPr>
            </w:pPr>
          </w:p>
        </w:tc>
        <w:tc>
          <w:tcPr>
            <w:tcW w:w="1276" w:type="dxa"/>
            <w:vAlign w:val="center"/>
          </w:tcPr>
          <w:p>
            <w:pPr>
              <w:spacing w:line="300" w:lineRule="exact"/>
              <w:jc w:val="center"/>
              <w:rPr>
                <w:rFonts w:ascii="方正书宋_GBK" w:eastAsia="方正书宋_GBK"/>
                <w:b/>
                <w:bCs/>
              </w:rPr>
            </w:pPr>
          </w:p>
        </w:tc>
        <w:tc>
          <w:tcPr>
            <w:tcW w:w="2353" w:type="dxa"/>
            <w:vAlign w:val="center"/>
          </w:tcPr>
          <w:p>
            <w:pPr>
              <w:spacing w:line="300" w:lineRule="exact"/>
              <w:jc w:val="center"/>
              <w:rPr>
                <w:rFonts w:ascii="方正书宋_GBK" w:eastAsia="方正书宋_GBK"/>
                <w:b/>
                <w:bCs/>
              </w:rPr>
            </w:pPr>
          </w:p>
        </w:tc>
        <w:tc>
          <w:tcPr>
            <w:tcW w:w="709" w:type="dxa"/>
            <w:vAlign w:val="center"/>
          </w:tcPr>
          <w:p>
            <w:pPr>
              <w:spacing w:line="300" w:lineRule="exact"/>
              <w:jc w:val="center"/>
              <w:rPr>
                <w:rFonts w:ascii="方正书宋_GBK" w:eastAsia="方正书宋_GBK"/>
                <w:b/>
                <w:bCs/>
              </w:rPr>
            </w:pPr>
          </w:p>
        </w:tc>
        <w:tc>
          <w:tcPr>
            <w:tcW w:w="709" w:type="dxa"/>
            <w:vAlign w:val="center"/>
          </w:tcPr>
          <w:p>
            <w:pPr>
              <w:spacing w:line="300" w:lineRule="exact"/>
              <w:jc w:val="center"/>
              <w:rPr>
                <w:rFonts w:ascii="方正书宋_GBK" w:eastAsia="方正书宋_GBK"/>
                <w:b/>
                <w:bCs/>
              </w:rPr>
            </w:pPr>
          </w:p>
        </w:tc>
        <w:tc>
          <w:tcPr>
            <w:tcW w:w="709" w:type="dxa"/>
            <w:vAlign w:val="center"/>
          </w:tcPr>
          <w:p>
            <w:pPr>
              <w:spacing w:line="300" w:lineRule="exact"/>
              <w:jc w:val="center"/>
              <w:rPr>
                <w:rFonts w:ascii="方正书宋_GBK" w:eastAsia="方正书宋_GBK"/>
                <w:b/>
                <w:bCs/>
              </w:rPr>
            </w:pPr>
          </w:p>
        </w:tc>
        <w:tc>
          <w:tcPr>
            <w:tcW w:w="709" w:type="dxa"/>
            <w:vAlign w:val="center"/>
          </w:tcPr>
          <w:p>
            <w:pPr>
              <w:spacing w:line="300" w:lineRule="exact"/>
              <w:jc w:val="center"/>
              <w:rPr>
                <w:rFonts w:ascii="方正书宋_GBK" w:eastAsia="方正书宋_GBK" w:cs="方正书宋_GBK"/>
                <w:b/>
                <w:bCs/>
              </w:rPr>
            </w:pPr>
            <w:r>
              <w:rPr>
                <w:rFonts w:ascii="方正书宋_GBK" w:eastAsia="方正书宋_GBK" w:cs="方正书宋_GBK"/>
                <w:b/>
                <w:bCs/>
              </w:rPr>
              <w:t>14</w:t>
            </w:r>
          </w:p>
        </w:tc>
        <w:tc>
          <w:tcPr>
            <w:tcW w:w="709" w:type="dxa"/>
            <w:vAlign w:val="center"/>
          </w:tcPr>
          <w:p>
            <w:pPr>
              <w:spacing w:line="300" w:lineRule="exact"/>
              <w:jc w:val="center"/>
              <w:rPr>
                <w:rFonts w:ascii="方正书宋_GBK" w:eastAsia="方正书宋_GBK" w:cs="方正书宋_GBK"/>
                <w:b/>
                <w:bCs/>
              </w:rPr>
            </w:pPr>
          </w:p>
        </w:tc>
        <w:tc>
          <w:tcPr>
            <w:tcW w:w="709" w:type="dxa"/>
            <w:vAlign w:val="center"/>
          </w:tcPr>
          <w:p>
            <w:pPr>
              <w:spacing w:line="300" w:lineRule="exact"/>
              <w:jc w:val="center"/>
              <w:rPr>
                <w:rFonts w:ascii="方正书宋_GBK" w:eastAsia="方正书宋_GBK"/>
                <w:b/>
                <w:bCs/>
              </w:rPr>
            </w:pPr>
            <w:r>
              <w:rPr>
                <w:rFonts w:ascii="方正书宋_GBK" w:eastAsia="方正书宋_GBK" w:cs="方正书宋_GBK"/>
                <w:b/>
                <w:bCs/>
              </w:rPr>
              <w:t>12</w:t>
            </w:r>
          </w:p>
        </w:tc>
        <w:tc>
          <w:tcPr>
            <w:tcW w:w="709" w:type="dxa"/>
            <w:vAlign w:val="center"/>
          </w:tcPr>
          <w:p>
            <w:pPr>
              <w:spacing w:line="300" w:lineRule="exact"/>
              <w:jc w:val="center"/>
              <w:rPr>
                <w:rFonts w:ascii="方正书宋_GBK" w:eastAsia="方正书宋_GBK" w:cs="方正书宋_GBK"/>
                <w:b/>
                <w:bCs/>
              </w:rPr>
            </w:pPr>
            <w:r>
              <w:rPr>
                <w:rFonts w:ascii="方正书宋_GBK" w:eastAsia="方正书宋_GBK" w:cs="方正书宋_GBK"/>
                <w:b/>
                <w:bCs/>
              </w:rPr>
              <w:t>9</w:t>
            </w:r>
          </w:p>
        </w:tc>
        <w:tc>
          <w:tcPr>
            <w:tcW w:w="709" w:type="dxa"/>
            <w:vAlign w:val="center"/>
          </w:tcPr>
          <w:p>
            <w:pPr>
              <w:spacing w:line="300" w:lineRule="exact"/>
              <w:jc w:val="center"/>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cs="方正书宋_GBK"/>
              </w:rPr>
              <w:t>中国共产党无极县委员会老干部局</w:t>
            </w:r>
          </w:p>
        </w:tc>
        <w:tc>
          <w:tcPr>
            <w:tcW w:w="1134" w:type="dxa"/>
            <w:vAlign w:val="center"/>
          </w:tcPr>
          <w:p>
            <w:pPr>
              <w:spacing w:line="300" w:lineRule="exact"/>
              <w:jc w:val="center"/>
              <w:rPr>
                <w:rFonts w:ascii="方正书宋_GBK" w:eastAsia="方正书宋_GBK"/>
              </w:rPr>
            </w:pPr>
            <w:r>
              <w:rPr>
                <w:rFonts w:hint="eastAsia" w:ascii="方正书宋_GBK" w:eastAsia="方正书宋_GBK" w:cs="方正书宋_GBK"/>
              </w:rPr>
              <w:t>行政</w:t>
            </w:r>
          </w:p>
        </w:tc>
        <w:tc>
          <w:tcPr>
            <w:tcW w:w="1276" w:type="dxa"/>
            <w:vAlign w:val="center"/>
          </w:tcPr>
          <w:p>
            <w:pPr>
              <w:spacing w:line="300" w:lineRule="exact"/>
              <w:jc w:val="center"/>
              <w:rPr>
                <w:rFonts w:ascii="方正书宋_GBK" w:eastAsia="方正书宋_GBK"/>
              </w:rPr>
            </w:pPr>
            <w:r>
              <w:rPr>
                <w:rFonts w:hint="eastAsia" w:ascii="方正书宋_GBK" w:eastAsia="方正书宋_GBK" w:cs="方正书宋_GBK"/>
              </w:rPr>
              <w:t>正科级</w:t>
            </w:r>
          </w:p>
        </w:tc>
        <w:tc>
          <w:tcPr>
            <w:tcW w:w="2353" w:type="dxa"/>
            <w:vAlign w:val="center"/>
          </w:tcPr>
          <w:p>
            <w:pPr>
              <w:spacing w:line="300" w:lineRule="exact"/>
              <w:jc w:val="center"/>
              <w:rPr>
                <w:rFonts w:ascii="方正书宋_GBK" w:eastAsia="方正书宋_GBK"/>
              </w:rPr>
            </w:pPr>
            <w:r>
              <w:rPr>
                <w:rFonts w:hint="eastAsia" w:ascii="方正书宋_GBK" w:eastAsia="方正书宋_GBK" w:cs="方正书宋_GBK"/>
              </w:rPr>
              <w:t>财政拨款</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cs="方正书宋_GBK"/>
              </w:rPr>
            </w:pPr>
            <w:r>
              <w:rPr>
                <w:rFonts w:ascii="方正书宋_GBK" w:eastAsia="方正书宋_GBK" w:cs="方正书宋_GBK"/>
              </w:rPr>
              <w:t>14</w:t>
            </w:r>
          </w:p>
        </w:tc>
        <w:tc>
          <w:tcPr>
            <w:tcW w:w="709" w:type="dxa"/>
            <w:vAlign w:val="center"/>
          </w:tcPr>
          <w:p>
            <w:pPr>
              <w:spacing w:line="300" w:lineRule="exact"/>
              <w:jc w:val="center"/>
              <w:rPr>
                <w:rFonts w:ascii="方正书宋_GBK" w:eastAsia="方正书宋_GBK" w:cs="方正书宋_GBK"/>
              </w:rPr>
            </w:pPr>
          </w:p>
        </w:tc>
        <w:tc>
          <w:tcPr>
            <w:tcW w:w="709" w:type="dxa"/>
            <w:vAlign w:val="center"/>
          </w:tcPr>
          <w:p>
            <w:pPr>
              <w:spacing w:line="300" w:lineRule="exact"/>
              <w:jc w:val="center"/>
              <w:rPr>
                <w:rFonts w:ascii="方正书宋_GBK" w:eastAsia="方正书宋_GBK" w:cs="方正书宋_GBK"/>
              </w:rPr>
            </w:pPr>
          </w:p>
        </w:tc>
        <w:tc>
          <w:tcPr>
            <w:tcW w:w="709" w:type="dxa"/>
            <w:vAlign w:val="center"/>
          </w:tcPr>
          <w:p>
            <w:pPr>
              <w:spacing w:line="300" w:lineRule="exact"/>
              <w:jc w:val="center"/>
              <w:rPr>
                <w:rFonts w:ascii="方正书宋_GBK" w:eastAsia="方正书宋_GBK" w:cs="方正书宋_GBK"/>
              </w:rPr>
            </w:pPr>
            <w:r>
              <w:rPr>
                <w:rFonts w:ascii="方正书宋_GBK" w:eastAsia="方正书宋_GBK" w:cs="方正书宋_GBK"/>
              </w:rPr>
              <w:t>9</w:t>
            </w:r>
          </w:p>
        </w:tc>
        <w:tc>
          <w:tcPr>
            <w:tcW w:w="709" w:type="dxa"/>
            <w:vAlign w:val="center"/>
          </w:tcPr>
          <w:p>
            <w:pPr>
              <w:spacing w:line="300" w:lineRule="exact"/>
              <w:jc w:val="center"/>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cs="方正书宋_GBK"/>
              </w:rPr>
              <w:t>中国共产党无极县委员会老干部活动室</w:t>
            </w:r>
          </w:p>
        </w:tc>
        <w:tc>
          <w:tcPr>
            <w:tcW w:w="1134" w:type="dxa"/>
            <w:vAlign w:val="center"/>
          </w:tcPr>
          <w:p>
            <w:pPr>
              <w:spacing w:line="300" w:lineRule="exact"/>
              <w:jc w:val="center"/>
              <w:rPr>
                <w:rFonts w:ascii="方正书宋_GBK" w:eastAsia="方正书宋_GBK"/>
              </w:rPr>
            </w:pPr>
            <w:r>
              <w:rPr>
                <w:rFonts w:hint="eastAsia" w:ascii="方正书宋_GBK" w:eastAsia="方正书宋_GBK" w:cs="方正书宋_GBK"/>
              </w:rPr>
              <w:t>全额事业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cs="方正书宋_GBK"/>
              </w:rPr>
              <w:t>其他</w:t>
            </w:r>
          </w:p>
        </w:tc>
        <w:tc>
          <w:tcPr>
            <w:tcW w:w="2353" w:type="dxa"/>
            <w:vAlign w:val="center"/>
          </w:tcPr>
          <w:p>
            <w:pPr>
              <w:spacing w:line="300" w:lineRule="exact"/>
              <w:jc w:val="center"/>
              <w:rPr>
                <w:rFonts w:ascii="方正书宋_GBK" w:eastAsia="方正书宋_GBK"/>
              </w:rPr>
            </w:pPr>
            <w:r>
              <w:rPr>
                <w:rFonts w:hint="eastAsia" w:ascii="方正书宋_GBK" w:eastAsia="方正书宋_GBK" w:cs="方正书宋_GBK"/>
              </w:rPr>
              <w:t>财政性资金基本保障</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ascii="方正书宋_GBK" w:eastAsia="方正书宋_GBK" w:cs="方正书宋_GBK"/>
              </w:rPr>
              <w:t>12</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r>
    </w:tbl>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黑体" w:hAnsi="仿宋_GB2312" w:eastAsia="黑体"/>
          <w:sz w:val="30"/>
          <w:szCs w:val="30"/>
        </w:rPr>
      </w:pPr>
      <w:r>
        <w:rPr>
          <w:rFonts w:hint="eastAsia" w:ascii="仿宋" w:hAnsi="仿宋" w:eastAsia="仿宋" w:cs="仿宋"/>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黑体"/>
          <w:sz w:val="30"/>
          <w:szCs w:val="30"/>
        </w:rPr>
        <w:t>。</w:t>
      </w:r>
    </w:p>
    <w:p>
      <w:pPr>
        <w:pStyle w:val="11"/>
        <w:numPr>
          <w:ilvl w:val="0"/>
          <w:numId w:val="1"/>
        </w:numPr>
        <w:ind w:firstLineChars="0"/>
        <w:rPr>
          <w:rFonts w:ascii="楷体" w:hAnsi="楷体" w:eastAsia="楷体"/>
          <w:sz w:val="32"/>
          <w:szCs w:val="32"/>
        </w:rPr>
      </w:pPr>
      <w:r>
        <w:rPr>
          <w:rFonts w:hint="eastAsia" w:ascii="楷体" w:hAnsi="楷体" w:eastAsia="楷体" w:cs="楷体"/>
          <w:sz w:val="32"/>
          <w:szCs w:val="32"/>
        </w:rPr>
        <w:t>收入说明</w:t>
      </w:r>
    </w:p>
    <w:p>
      <w:pPr>
        <w:adjustRightInd w:val="0"/>
        <w:snapToGrid w:val="0"/>
        <w:spacing w:line="600" w:lineRule="exact"/>
        <w:ind w:left="601" w:leftChars="286" w:firstLine="640" w:firstLineChars="200"/>
        <w:jc w:val="left"/>
        <w:rPr>
          <w:rFonts w:ascii="仿宋" w:hAnsi="仿宋" w:eastAsia="仿宋"/>
          <w:sz w:val="32"/>
          <w:szCs w:val="32"/>
        </w:rPr>
      </w:pPr>
      <w:r>
        <w:rPr>
          <w:rFonts w:hint="eastAsia" w:ascii="仿宋" w:hAnsi="仿宋" w:eastAsia="仿宋" w:cs="仿宋_GB2312"/>
          <w:sz w:val="32"/>
          <w:szCs w:val="32"/>
        </w:rPr>
        <w:t>无极县老干部局</w:t>
      </w:r>
      <w:r>
        <w:rPr>
          <w:rFonts w:ascii="仿宋" w:hAnsi="仿宋" w:eastAsia="仿宋" w:cs="仿宋_GB2312"/>
          <w:sz w:val="32"/>
          <w:szCs w:val="32"/>
        </w:rPr>
        <w:t>2019</w:t>
      </w:r>
      <w:r>
        <w:rPr>
          <w:rFonts w:hint="eastAsia" w:ascii="仿宋" w:hAnsi="仿宋" w:eastAsia="仿宋" w:cs="仿宋_GB2312"/>
          <w:sz w:val="32"/>
          <w:szCs w:val="32"/>
        </w:rPr>
        <w:t>年预算收入总计</w:t>
      </w:r>
      <w:r>
        <w:rPr>
          <w:rFonts w:ascii="仿宋" w:hAnsi="仿宋" w:eastAsia="仿宋" w:cs="仿宋"/>
          <w:sz w:val="32"/>
          <w:szCs w:val="32"/>
        </w:rPr>
        <w:t>485.78</w:t>
      </w:r>
      <w:r>
        <w:rPr>
          <w:rFonts w:hint="eastAsia" w:ascii="仿宋" w:hAnsi="仿宋" w:eastAsia="仿宋" w:cs="仿宋_GB2312"/>
          <w:sz w:val="32"/>
          <w:szCs w:val="32"/>
        </w:rPr>
        <w:t>万元。其中，一般公共预算收入</w:t>
      </w:r>
      <w:r>
        <w:rPr>
          <w:rFonts w:ascii="仿宋" w:hAnsi="仿宋" w:eastAsia="仿宋" w:cs="仿宋_GB2312"/>
          <w:sz w:val="32"/>
          <w:szCs w:val="32"/>
        </w:rPr>
        <w:t>485.75</w:t>
      </w:r>
      <w:r>
        <w:rPr>
          <w:rFonts w:hint="eastAsia" w:ascii="仿宋" w:hAnsi="仿宋" w:eastAsia="仿宋" w:cs="仿宋_GB2312"/>
          <w:sz w:val="32"/>
          <w:szCs w:val="32"/>
        </w:rPr>
        <w:t>万元、政府性基金收入</w:t>
      </w:r>
      <w:r>
        <w:rPr>
          <w:rFonts w:ascii="仿宋" w:hAnsi="仿宋" w:eastAsia="仿宋" w:cs="仿宋_GB2312"/>
          <w:sz w:val="32"/>
          <w:szCs w:val="32"/>
        </w:rPr>
        <w:t>0</w:t>
      </w:r>
      <w:r>
        <w:rPr>
          <w:rFonts w:hint="eastAsia" w:ascii="仿宋" w:hAnsi="仿宋" w:eastAsia="仿宋" w:cs="仿宋_GB2312"/>
          <w:sz w:val="32"/>
          <w:szCs w:val="32"/>
        </w:rPr>
        <w:t>万元、财政专户核拨收入</w:t>
      </w:r>
      <w:r>
        <w:rPr>
          <w:rFonts w:ascii="仿宋" w:hAnsi="仿宋" w:eastAsia="仿宋" w:cs="仿宋_GB2312"/>
          <w:sz w:val="32"/>
          <w:szCs w:val="32"/>
        </w:rPr>
        <w:t>0</w:t>
      </w:r>
      <w:r>
        <w:rPr>
          <w:rFonts w:hint="eastAsia" w:ascii="仿宋" w:hAnsi="仿宋" w:eastAsia="仿宋" w:cs="仿宋_GB2312"/>
          <w:sz w:val="32"/>
          <w:szCs w:val="32"/>
        </w:rPr>
        <w:t>万元，其他来源收入</w:t>
      </w:r>
      <w:r>
        <w:rPr>
          <w:rFonts w:ascii="仿宋" w:hAnsi="仿宋" w:eastAsia="仿宋" w:cs="仿宋_GB2312"/>
          <w:sz w:val="32"/>
          <w:szCs w:val="32"/>
        </w:rPr>
        <w:t>0</w:t>
      </w:r>
      <w:r>
        <w:rPr>
          <w:rFonts w:hint="eastAsia" w:ascii="仿宋" w:hAnsi="仿宋" w:eastAsia="仿宋" w:cs="仿宋_GB2312"/>
          <w:sz w:val="32"/>
          <w:szCs w:val="32"/>
        </w:rPr>
        <w:t>万元。</w:t>
      </w:r>
    </w:p>
    <w:p>
      <w:pPr>
        <w:pStyle w:val="11"/>
        <w:numPr>
          <w:ilvl w:val="0"/>
          <w:numId w:val="1"/>
        </w:numPr>
        <w:ind w:firstLineChars="0"/>
        <w:rPr>
          <w:rFonts w:ascii="楷体" w:hAnsi="楷体" w:eastAsia="楷体"/>
          <w:sz w:val="32"/>
          <w:szCs w:val="32"/>
        </w:rPr>
      </w:pPr>
      <w:r>
        <w:rPr>
          <w:rFonts w:hint="eastAsia" w:ascii="楷体" w:hAnsi="楷体" w:eastAsia="楷体" w:cs="楷体"/>
          <w:sz w:val="32"/>
          <w:szCs w:val="32"/>
        </w:rPr>
        <w:t>支出说明</w:t>
      </w:r>
    </w:p>
    <w:p>
      <w:pPr>
        <w:adjustRightInd w:val="0"/>
        <w:snapToGrid w:val="0"/>
        <w:spacing w:line="600" w:lineRule="exact"/>
        <w:ind w:left="601" w:leftChars="286" w:firstLine="640" w:firstLineChars="200"/>
        <w:jc w:val="left"/>
        <w:rPr>
          <w:rFonts w:ascii="仿宋_GB2312" w:eastAsia="仿宋_GB2312"/>
          <w:sz w:val="32"/>
          <w:szCs w:val="32"/>
        </w:rPr>
      </w:pPr>
      <w:r>
        <w:rPr>
          <w:rFonts w:hint="eastAsia" w:ascii="仿宋" w:hAnsi="仿宋" w:eastAsia="仿宋" w:cs="仿宋_GB2312"/>
          <w:sz w:val="32"/>
          <w:szCs w:val="32"/>
        </w:rPr>
        <w:t>收支预算总表支出栏、基本支出表、项目支出表按经济分类和支出功能分类科目编制，反映年度部门预算中支出预算的总体情况。</w:t>
      </w:r>
      <w:r>
        <w:rPr>
          <w:rFonts w:ascii="仿宋" w:hAnsi="仿宋" w:eastAsia="仿宋" w:cs="仿宋_GB2312"/>
          <w:sz w:val="32"/>
          <w:szCs w:val="32"/>
        </w:rPr>
        <w:t>2019</w:t>
      </w:r>
      <w:r>
        <w:rPr>
          <w:rFonts w:hint="eastAsia" w:ascii="仿宋" w:hAnsi="仿宋" w:eastAsia="仿宋" w:cs="仿宋_GB2312"/>
          <w:sz w:val="32"/>
          <w:szCs w:val="32"/>
        </w:rPr>
        <w:t>年预算支出</w:t>
      </w:r>
      <w:r>
        <w:rPr>
          <w:rFonts w:ascii="仿宋" w:hAnsi="仿宋" w:eastAsia="仿宋" w:cs="仿宋_GB2312"/>
          <w:sz w:val="32"/>
          <w:szCs w:val="32"/>
        </w:rPr>
        <w:t>485.75</w:t>
      </w:r>
      <w:r>
        <w:rPr>
          <w:rFonts w:hint="eastAsia" w:ascii="仿宋" w:hAnsi="仿宋" w:eastAsia="仿宋" w:cs="仿宋_GB2312"/>
          <w:sz w:val="32"/>
          <w:szCs w:val="32"/>
        </w:rPr>
        <w:t>万元。其中，人员经费支出</w:t>
      </w:r>
      <w:r>
        <w:rPr>
          <w:rFonts w:ascii="仿宋" w:hAnsi="仿宋" w:eastAsia="仿宋" w:cs="仿宋_GB2312"/>
          <w:sz w:val="32"/>
          <w:szCs w:val="32"/>
        </w:rPr>
        <w:t>253.45</w:t>
      </w:r>
      <w:r>
        <w:rPr>
          <w:rFonts w:hint="eastAsia" w:ascii="仿宋" w:hAnsi="仿宋" w:eastAsia="仿宋" w:cs="仿宋_GB2312"/>
          <w:sz w:val="32"/>
          <w:szCs w:val="32"/>
        </w:rPr>
        <w:t>万元，正常公用经费</w:t>
      </w:r>
      <w:r>
        <w:rPr>
          <w:rFonts w:ascii="仿宋" w:hAnsi="仿宋" w:eastAsia="仿宋" w:cs="仿宋_GB2312"/>
          <w:sz w:val="32"/>
          <w:szCs w:val="32"/>
        </w:rPr>
        <w:t>18.3</w:t>
      </w:r>
      <w:r>
        <w:rPr>
          <w:rFonts w:hint="eastAsia" w:ascii="仿宋" w:hAnsi="仿宋" w:eastAsia="仿宋" w:cs="仿宋_GB2312"/>
          <w:sz w:val="32"/>
          <w:szCs w:val="32"/>
        </w:rPr>
        <w:t>万元，项目支出</w:t>
      </w:r>
      <w:r>
        <w:rPr>
          <w:rFonts w:ascii="仿宋" w:hAnsi="仿宋" w:eastAsia="仿宋" w:cs="仿宋_GB2312"/>
          <w:sz w:val="32"/>
          <w:szCs w:val="32"/>
        </w:rPr>
        <w:t>214</w:t>
      </w:r>
      <w:r>
        <w:rPr>
          <w:rFonts w:hint="eastAsia" w:ascii="仿宋" w:hAnsi="仿宋" w:eastAsia="仿宋" w:cs="仿宋_GB2312"/>
          <w:sz w:val="32"/>
          <w:szCs w:val="32"/>
        </w:rPr>
        <w:t>万元。</w:t>
      </w:r>
    </w:p>
    <w:p>
      <w:pPr>
        <w:pStyle w:val="11"/>
        <w:numPr>
          <w:ilvl w:val="0"/>
          <w:numId w:val="1"/>
        </w:numPr>
        <w:ind w:firstLineChars="0"/>
        <w:rPr>
          <w:rFonts w:ascii="楷体" w:hAnsi="楷体" w:eastAsia="楷体"/>
          <w:sz w:val="32"/>
          <w:szCs w:val="32"/>
        </w:rPr>
      </w:pPr>
      <w:r>
        <w:rPr>
          <w:rFonts w:hint="eastAsia" w:ascii="楷体" w:hAnsi="楷体" w:eastAsia="楷体" w:cs="楷体"/>
          <w:sz w:val="32"/>
          <w:szCs w:val="32"/>
        </w:rPr>
        <w:t>比上年增减情况</w:t>
      </w:r>
    </w:p>
    <w:p>
      <w:pPr>
        <w:ind w:left="601" w:leftChars="286" w:firstLine="640" w:firstLineChars="200"/>
        <w:rPr>
          <w:rFonts w:ascii="仿宋" w:hAnsi="仿宋" w:eastAsia="仿宋"/>
          <w:sz w:val="32"/>
          <w:szCs w:val="32"/>
        </w:rPr>
      </w:pPr>
      <w:r>
        <w:rPr>
          <w:rFonts w:ascii="仿宋" w:hAnsi="仿宋" w:eastAsia="仿宋" w:cs="仿宋_GB2312"/>
          <w:sz w:val="32"/>
          <w:szCs w:val="32"/>
        </w:rPr>
        <w:t>2019</w:t>
      </w:r>
      <w:r>
        <w:rPr>
          <w:rFonts w:hint="eastAsia" w:ascii="仿宋" w:hAnsi="仿宋" w:eastAsia="仿宋" w:cs="仿宋_GB2312"/>
          <w:sz w:val="32"/>
          <w:szCs w:val="32"/>
        </w:rPr>
        <w:t>年部门预算较</w:t>
      </w:r>
      <w:r>
        <w:rPr>
          <w:rFonts w:ascii="仿宋" w:hAnsi="仿宋" w:eastAsia="仿宋" w:cs="仿宋_GB2312"/>
          <w:sz w:val="32"/>
          <w:szCs w:val="32"/>
        </w:rPr>
        <w:t>2018</w:t>
      </w:r>
      <w:r>
        <w:rPr>
          <w:rFonts w:hint="eastAsia" w:ascii="仿宋" w:hAnsi="仿宋" w:eastAsia="仿宋" w:cs="仿宋_GB2312"/>
          <w:sz w:val="32"/>
          <w:szCs w:val="32"/>
        </w:rPr>
        <w:t>年增加</w:t>
      </w:r>
      <w:r>
        <w:rPr>
          <w:rFonts w:ascii="仿宋" w:hAnsi="仿宋" w:eastAsia="仿宋" w:cs="仿宋_GB2312"/>
          <w:sz w:val="32"/>
          <w:szCs w:val="32"/>
        </w:rPr>
        <w:t>8.03</w:t>
      </w:r>
      <w:r>
        <w:rPr>
          <w:rFonts w:hint="eastAsia" w:ascii="仿宋" w:hAnsi="仿宋" w:eastAsia="仿宋" w:cs="仿宋_GB2312"/>
          <w:sz w:val="32"/>
          <w:szCs w:val="32"/>
        </w:rPr>
        <w:t>万元，其中：基本支出增加</w:t>
      </w:r>
      <w:r>
        <w:rPr>
          <w:rFonts w:ascii="仿宋" w:hAnsi="仿宋" w:eastAsia="仿宋" w:cs="仿宋_GB2312"/>
          <w:sz w:val="32"/>
          <w:szCs w:val="32"/>
        </w:rPr>
        <w:t>6.97</w:t>
      </w:r>
      <w:r>
        <w:rPr>
          <w:rFonts w:hint="eastAsia" w:ascii="仿宋" w:hAnsi="仿宋" w:eastAsia="仿宋" w:cs="仿宋_GB2312"/>
          <w:sz w:val="32"/>
          <w:szCs w:val="32"/>
        </w:rPr>
        <w:t>万元，主要是离休干部护理费增加；项目支出减少</w:t>
      </w:r>
      <w:r>
        <w:rPr>
          <w:rFonts w:ascii="仿宋" w:hAnsi="仿宋" w:eastAsia="仿宋" w:cs="仿宋_GB2312"/>
          <w:sz w:val="32"/>
          <w:szCs w:val="32"/>
        </w:rPr>
        <w:t>15</w:t>
      </w:r>
      <w:r>
        <w:rPr>
          <w:rFonts w:hint="eastAsia" w:ascii="仿宋" w:hAnsi="仿宋" w:eastAsia="仿宋" w:cs="仿宋_GB2312"/>
          <w:sz w:val="32"/>
          <w:szCs w:val="32"/>
        </w:rPr>
        <w:t>万元，主要是由于项目调整，项目支出减少。</w:t>
      </w:r>
    </w:p>
    <w:p>
      <w:pPr>
        <w:ind w:firstLine="640" w:firstLineChars="200"/>
        <w:rPr>
          <w:rFonts w:ascii="黑体" w:hAnsi="黑体" w:eastAsia="黑体"/>
          <w:sz w:val="32"/>
          <w:szCs w:val="32"/>
        </w:rPr>
      </w:pPr>
      <w:r>
        <w:rPr>
          <w:rFonts w:hint="eastAsia" w:ascii="黑体" w:hAnsi="黑体" w:eastAsia="黑体" w:cs="黑体"/>
          <w:sz w:val="32"/>
          <w:szCs w:val="32"/>
        </w:rPr>
        <w:t>三、机关运行经费安排情况</w:t>
      </w:r>
    </w:p>
    <w:p>
      <w:pPr>
        <w:autoSpaceDE w:val="0"/>
        <w:autoSpaceDN w:val="0"/>
        <w:adjustRightInd w:val="0"/>
        <w:ind w:left="630" w:leftChars="300" w:firstLine="640" w:firstLineChars="200"/>
        <w:jc w:val="left"/>
        <w:rPr>
          <w:rFonts w:ascii="仿宋" w:hAnsi="仿宋" w:eastAsia="仿宋"/>
          <w:sz w:val="32"/>
          <w:szCs w:val="32"/>
        </w:rPr>
      </w:pPr>
      <w:r>
        <w:rPr>
          <w:rFonts w:ascii="仿宋" w:hAnsi="仿宋" w:eastAsia="仿宋" w:cs="仿宋_GB2312"/>
          <w:sz w:val="32"/>
          <w:szCs w:val="32"/>
        </w:rPr>
        <w:t>2019</w:t>
      </w:r>
      <w:r>
        <w:rPr>
          <w:rFonts w:hint="eastAsia" w:ascii="仿宋" w:hAnsi="仿宋" w:eastAsia="仿宋" w:cs="仿宋_GB2312"/>
          <w:sz w:val="32"/>
          <w:szCs w:val="32"/>
        </w:rPr>
        <w:t>年机关运行经费共计安排</w:t>
      </w:r>
      <w:r>
        <w:rPr>
          <w:rFonts w:ascii="仿宋" w:hAnsi="仿宋" w:eastAsia="仿宋" w:cs="仿宋_GB2312"/>
          <w:sz w:val="32"/>
          <w:szCs w:val="32"/>
        </w:rPr>
        <w:t>18.3</w:t>
      </w:r>
      <w:r>
        <w:rPr>
          <w:rFonts w:hint="eastAsia" w:ascii="仿宋" w:hAnsi="仿宋" w:eastAsia="仿宋" w:cs="仿宋_GB2312"/>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四、财政拨款“三公”经费预算情况及增减变化原因</w:t>
      </w:r>
    </w:p>
    <w:p>
      <w:pPr>
        <w:ind w:firstLine="640" w:firstLineChars="200"/>
        <w:outlineLvl w:val="0"/>
        <w:rPr>
          <w:rFonts w:ascii="仿宋" w:hAnsi="仿宋" w:eastAsia="仿宋"/>
          <w:sz w:val="32"/>
          <w:szCs w:val="32"/>
        </w:rPr>
      </w:pPr>
      <w:r>
        <w:rPr>
          <w:rFonts w:ascii="仿宋" w:hAnsi="仿宋" w:eastAsia="仿宋" w:cs="仿宋_GB2312"/>
          <w:sz w:val="32"/>
          <w:szCs w:val="32"/>
        </w:rPr>
        <w:t>201</w:t>
      </w:r>
      <w:r>
        <w:rPr>
          <w:rFonts w:hint="eastAsia" w:ascii="仿宋" w:hAnsi="仿宋" w:eastAsia="仿宋" w:cs="仿宋_GB2312"/>
          <w:sz w:val="32"/>
          <w:szCs w:val="32"/>
          <w:lang w:val="en-US" w:eastAsia="zh-CN"/>
        </w:rPr>
        <w:t>9</w:t>
      </w:r>
      <w:bookmarkStart w:id="1" w:name="_GoBack"/>
      <w:bookmarkEnd w:id="1"/>
      <w:r>
        <w:rPr>
          <w:rFonts w:hint="eastAsia" w:ascii="仿宋" w:hAnsi="仿宋" w:eastAsia="仿宋" w:cs="仿宋_GB2312"/>
          <w:sz w:val="32"/>
          <w:szCs w:val="32"/>
        </w:rPr>
        <w:t>年本部门安排“三公”经费</w:t>
      </w:r>
      <w:r>
        <w:rPr>
          <w:rFonts w:ascii="仿宋" w:hAnsi="仿宋" w:eastAsia="仿宋" w:cs="仿宋_GB2312"/>
          <w:sz w:val="32"/>
          <w:szCs w:val="32"/>
        </w:rPr>
        <w:t xml:space="preserve"> 6</w:t>
      </w:r>
      <w:r>
        <w:rPr>
          <w:rFonts w:hint="eastAsia" w:ascii="仿宋" w:hAnsi="仿宋" w:eastAsia="仿宋" w:cs="仿宋_GB2312"/>
          <w:sz w:val="32"/>
          <w:szCs w:val="32"/>
        </w:rPr>
        <w:t>万元，与去年持平，无增减变化。其中：</w:t>
      </w:r>
    </w:p>
    <w:p>
      <w:pPr>
        <w:ind w:firstLine="640" w:firstLineChars="200"/>
        <w:outlineLvl w:val="0"/>
        <w:rPr>
          <w:rFonts w:ascii="仿宋" w:hAnsi="仿宋" w:eastAsia="仿宋"/>
          <w:sz w:val="32"/>
          <w:szCs w:val="32"/>
        </w:rPr>
      </w:pPr>
      <w:r>
        <w:rPr>
          <w:rFonts w:ascii="仿宋" w:hAnsi="仿宋" w:eastAsia="仿宋" w:cs="仿宋_GB2312"/>
          <w:sz w:val="32"/>
          <w:szCs w:val="32"/>
        </w:rPr>
        <w:t>1</w:t>
      </w:r>
      <w:r>
        <w:rPr>
          <w:rFonts w:hint="eastAsia" w:ascii="仿宋" w:hAnsi="仿宋" w:eastAsia="仿宋" w:cs="仿宋_GB2312"/>
          <w:sz w:val="32"/>
          <w:szCs w:val="32"/>
        </w:rPr>
        <w:t>、因公出国（境）费</w:t>
      </w:r>
      <w:r>
        <w:rPr>
          <w:rFonts w:ascii="仿宋" w:hAnsi="仿宋" w:eastAsia="仿宋" w:cs="仿宋_GB2312"/>
          <w:sz w:val="32"/>
          <w:szCs w:val="32"/>
        </w:rPr>
        <w:t>0</w:t>
      </w:r>
      <w:r>
        <w:rPr>
          <w:rFonts w:hint="eastAsia" w:ascii="仿宋" w:hAnsi="仿宋" w:eastAsia="仿宋" w:cs="仿宋_GB2312"/>
          <w:sz w:val="32"/>
          <w:szCs w:val="32"/>
        </w:rPr>
        <w:t>万元，与去年持平</w:t>
      </w:r>
      <w:r>
        <w:rPr>
          <w:rFonts w:ascii="仿宋" w:hAnsi="仿宋" w:eastAsia="仿宋" w:cs="仿宋"/>
          <w:sz w:val="32"/>
          <w:szCs w:val="32"/>
        </w:rPr>
        <w:t>,</w:t>
      </w:r>
      <w:r>
        <w:rPr>
          <w:rFonts w:hint="eastAsia" w:ascii="仿宋" w:hAnsi="仿宋" w:eastAsia="仿宋" w:cs="仿宋_GB2312"/>
          <w:sz w:val="32"/>
          <w:szCs w:val="32"/>
        </w:rPr>
        <w:t>无增减变化。</w:t>
      </w:r>
    </w:p>
    <w:p>
      <w:pPr>
        <w:ind w:firstLine="640" w:firstLineChars="200"/>
        <w:outlineLvl w:val="0"/>
        <w:rPr>
          <w:rFonts w:ascii="仿宋" w:hAnsi="仿宋" w:eastAsia="仿宋"/>
          <w:sz w:val="32"/>
          <w:szCs w:val="32"/>
        </w:rPr>
      </w:pPr>
      <w:r>
        <w:rPr>
          <w:rFonts w:ascii="仿宋" w:hAnsi="仿宋" w:eastAsia="仿宋" w:cs="仿宋_GB2312"/>
          <w:sz w:val="32"/>
          <w:szCs w:val="32"/>
        </w:rPr>
        <w:t>2</w:t>
      </w:r>
      <w:r>
        <w:rPr>
          <w:rFonts w:hint="eastAsia" w:ascii="仿宋" w:hAnsi="仿宋" w:eastAsia="仿宋" w:cs="仿宋_GB2312"/>
          <w:sz w:val="32"/>
          <w:szCs w:val="32"/>
        </w:rPr>
        <w:t>、公务用车购置及运行维护费</w:t>
      </w:r>
      <w:r>
        <w:rPr>
          <w:rFonts w:ascii="仿宋" w:hAnsi="仿宋" w:eastAsia="仿宋" w:cs="仿宋_GB2312"/>
          <w:sz w:val="32"/>
          <w:szCs w:val="32"/>
        </w:rPr>
        <w:t xml:space="preserve"> 6</w:t>
      </w:r>
      <w:r>
        <w:rPr>
          <w:rFonts w:hint="eastAsia" w:ascii="仿宋" w:hAnsi="仿宋" w:eastAsia="仿宋" w:cs="仿宋_GB2312"/>
          <w:sz w:val="32"/>
          <w:szCs w:val="32"/>
        </w:rPr>
        <w:t>万元，与去年持平，无增减变化。</w:t>
      </w:r>
    </w:p>
    <w:p>
      <w:pPr>
        <w:autoSpaceDE w:val="0"/>
        <w:autoSpaceDN w:val="0"/>
        <w:adjustRightInd w:val="0"/>
        <w:ind w:firstLine="640" w:firstLineChars="200"/>
        <w:jc w:val="left"/>
        <w:rPr>
          <w:rFonts w:ascii="仿宋" w:hAnsi="仿宋" w:eastAsia="仿宋"/>
          <w:sz w:val="32"/>
          <w:szCs w:val="32"/>
        </w:rPr>
      </w:pPr>
      <w:r>
        <w:rPr>
          <w:rFonts w:ascii="仿宋" w:hAnsi="仿宋" w:eastAsia="仿宋" w:cs="仿宋_GB2312"/>
          <w:sz w:val="32"/>
          <w:szCs w:val="32"/>
        </w:rPr>
        <w:t>3</w:t>
      </w:r>
      <w:r>
        <w:rPr>
          <w:rFonts w:hint="eastAsia" w:ascii="仿宋" w:hAnsi="仿宋" w:eastAsia="仿宋" w:cs="仿宋_GB2312"/>
          <w:sz w:val="32"/>
          <w:szCs w:val="32"/>
        </w:rPr>
        <w:t>、公务接待费</w:t>
      </w:r>
      <w:r>
        <w:rPr>
          <w:rFonts w:ascii="仿宋" w:hAnsi="仿宋" w:eastAsia="仿宋" w:cs="仿宋_GB2312"/>
          <w:sz w:val="32"/>
          <w:szCs w:val="32"/>
        </w:rPr>
        <w:t>0</w:t>
      </w:r>
      <w:r>
        <w:rPr>
          <w:rFonts w:hint="eastAsia" w:ascii="仿宋" w:hAnsi="仿宋" w:eastAsia="仿宋" w:cs="仿宋_GB2312"/>
          <w:sz w:val="32"/>
          <w:szCs w:val="32"/>
        </w:rPr>
        <w:t>万元，与上年相比减少，主要是厉行节约。</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五、绩效预算信息</w:t>
      </w:r>
    </w:p>
    <w:p>
      <w:pPr>
        <w:ind w:firstLine="645"/>
        <w:rPr>
          <w:rFonts w:ascii="楷体" w:hAnsi="楷体" w:eastAsia="楷体"/>
          <w:sz w:val="32"/>
          <w:szCs w:val="32"/>
        </w:rPr>
      </w:pPr>
      <w:r>
        <w:rPr>
          <w:rFonts w:hint="eastAsia" w:ascii="楷体" w:hAnsi="楷体" w:eastAsia="楷体" w:cs="楷体"/>
          <w:sz w:val="32"/>
          <w:szCs w:val="32"/>
        </w:rPr>
        <w:t>（一）总体绩效目标</w:t>
      </w:r>
    </w:p>
    <w:p>
      <w:pPr>
        <w:ind w:firstLine="560"/>
        <w:rPr>
          <w:rFonts w:ascii="仿宋" w:hAnsi="仿宋" w:eastAsia="仿宋"/>
          <w:sz w:val="32"/>
          <w:szCs w:val="32"/>
        </w:rPr>
      </w:pPr>
      <w:r>
        <w:rPr>
          <w:rFonts w:ascii="仿宋" w:hAnsi="仿宋" w:eastAsia="仿宋" w:cs="仿宋"/>
          <w:sz w:val="32"/>
          <w:szCs w:val="32"/>
        </w:rPr>
        <w:t>2019</w:t>
      </w:r>
      <w:r>
        <w:rPr>
          <w:rFonts w:hint="eastAsia" w:ascii="仿宋" w:hAnsi="仿宋" w:eastAsia="仿宋" w:cs="仿宋"/>
          <w:sz w:val="32"/>
          <w:szCs w:val="32"/>
        </w:rPr>
        <w:t>年，老干部局将重点做好以下工作：办公室：负责机要、保密、督办、建议提案办理、财务、会务、机关政务协调等项工作；管理机关国有资产；局机关后勤保障工作；管理机关的人事劳资；干部教育、机构编制等工作；大事记、计划、总结；请示、批复；规定、制度、职责；老干部统计；各种印信；老干部登记花名册；易地安置接受审批；领发荣誉证、优待证；孤寡老干部安置管理。编制一名。组宣科：负责各种会议的组织、记录工作；老干部政策宣传、解释工作；定期组织老干部学习、及时传达上级文件精神工作；老干部运动会；九九重阳节大会；老干部疗养工作；各种文体活动；各种报刊、杂志的征订、领取、发放工作；老干部典型事迹的采编工作；老干部逝世后的善后处理工作；两费统计落实工作；服务保健；上级有关文件的落实、汇报工作。</w:t>
      </w:r>
    </w:p>
    <w:p>
      <w:pPr>
        <w:ind w:firstLine="645"/>
        <w:rPr>
          <w:rFonts w:ascii="楷体" w:hAnsi="楷体" w:eastAsia="楷体"/>
          <w:sz w:val="32"/>
          <w:szCs w:val="32"/>
        </w:rPr>
      </w:pPr>
      <w:r>
        <w:rPr>
          <w:rFonts w:hint="eastAsia" w:ascii="楷体" w:hAnsi="楷体" w:eastAsia="楷体" w:cs="楷体"/>
          <w:sz w:val="32"/>
          <w:szCs w:val="32"/>
        </w:rPr>
        <w:t>（二）职责分类绩效目标</w:t>
      </w:r>
    </w:p>
    <w:p>
      <w:pPr>
        <w:ind w:firstLine="640" w:firstLineChars="200"/>
        <w:rPr>
          <w:rFonts w:ascii="仿宋" w:hAnsi="仿宋" w:eastAsia="仿宋"/>
          <w:sz w:val="32"/>
          <w:szCs w:val="32"/>
        </w:rPr>
      </w:pPr>
      <w:r>
        <w:rPr>
          <w:rFonts w:ascii="仿宋" w:hAnsi="仿宋" w:eastAsia="仿宋" w:cs="仿宋"/>
          <w:sz w:val="32"/>
          <w:szCs w:val="32"/>
        </w:rPr>
        <w:t>1</w:t>
      </w:r>
      <w:r>
        <w:rPr>
          <w:rFonts w:hint="eastAsia" w:ascii="仿宋" w:hAnsi="仿宋" w:eastAsia="仿宋" w:cs="仿宋"/>
          <w:sz w:val="32"/>
          <w:szCs w:val="32"/>
        </w:rPr>
        <w:t>、全面贯彻执行党和国家关于老干部工作的方针、政策。</w:t>
      </w:r>
    </w:p>
    <w:p>
      <w:pPr>
        <w:ind w:firstLine="640" w:firstLineChars="200"/>
        <w:rPr>
          <w:rFonts w:ascii="仿宋" w:hAnsi="仿宋" w:eastAsia="仿宋"/>
          <w:sz w:val="32"/>
          <w:szCs w:val="32"/>
        </w:rPr>
      </w:pPr>
      <w:r>
        <w:rPr>
          <w:rFonts w:ascii="仿宋" w:hAnsi="仿宋" w:eastAsia="仿宋" w:cs="仿宋"/>
          <w:sz w:val="32"/>
          <w:szCs w:val="32"/>
        </w:rPr>
        <w:t>2</w:t>
      </w:r>
      <w:r>
        <w:rPr>
          <w:rFonts w:hint="eastAsia" w:ascii="仿宋" w:hAnsi="仿宋" w:eastAsia="仿宋" w:cs="仿宋"/>
          <w:sz w:val="32"/>
          <w:szCs w:val="32"/>
        </w:rPr>
        <w:t>、落实离退休干部的政治、生活待遇。</w:t>
      </w:r>
    </w:p>
    <w:p>
      <w:pPr>
        <w:ind w:firstLine="640" w:firstLineChars="20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、定期组织老干部学习、及时传达上级主要文件精神。</w:t>
      </w:r>
      <w:r>
        <w:rPr>
          <w:rFonts w:ascii="仿宋" w:hAnsi="仿宋" w:eastAsia="仿宋" w:cs="仿宋"/>
          <w:sz w:val="32"/>
          <w:szCs w:val="32"/>
        </w:rPr>
        <w:t xml:space="preserve">   </w:t>
      </w:r>
    </w:p>
    <w:p>
      <w:pPr>
        <w:ind w:firstLine="720" w:firstLineChars="225"/>
        <w:rPr>
          <w:rFonts w:ascii="仿宋" w:hAnsi="仿宋" w:eastAsia="仿宋"/>
          <w:sz w:val="32"/>
          <w:szCs w:val="32"/>
        </w:rPr>
      </w:pPr>
      <w:r>
        <w:rPr>
          <w:rFonts w:ascii="仿宋" w:hAnsi="仿宋" w:eastAsia="仿宋" w:cs="仿宋"/>
          <w:sz w:val="32"/>
          <w:szCs w:val="32"/>
        </w:rPr>
        <w:t>4</w:t>
      </w:r>
      <w:r>
        <w:rPr>
          <w:rFonts w:hint="eastAsia" w:ascii="仿宋" w:hAnsi="仿宋" w:eastAsia="仿宋" w:cs="仿宋"/>
          <w:sz w:val="32"/>
          <w:szCs w:val="32"/>
        </w:rPr>
        <w:t>、搞好老干部文体活动及健康疗养。</w:t>
      </w:r>
    </w:p>
    <w:p>
      <w:pPr>
        <w:ind w:firstLine="640" w:firstLineChars="200"/>
        <w:rPr>
          <w:rFonts w:ascii="仿宋" w:hAnsi="仿宋" w:eastAsia="仿宋"/>
          <w:sz w:val="32"/>
          <w:szCs w:val="32"/>
        </w:rPr>
      </w:pPr>
      <w:r>
        <w:rPr>
          <w:rFonts w:ascii="仿宋" w:hAnsi="仿宋" w:eastAsia="仿宋" w:cs="仿宋"/>
          <w:sz w:val="32"/>
          <w:szCs w:val="32"/>
        </w:rPr>
        <w:t>5</w:t>
      </w:r>
      <w:r>
        <w:rPr>
          <w:rFonts w:hint="eastAsia" w:ascii="仿宋" w:hAnsi="仿宋" w:eastAsia="仿宋" w:cs="仿宋"/>
          <w:sz w:val="32"/>
          <w:szCs w:val="32"/>
        </w:rPr>
        <w:t>、组织宣传老干部政策，鼓励老干部发挥余热，为全县政治、经济工作服务。</w:t>
      </w:r>
    </w:p>
    <w:p>
      <w:pPr>
        <w:ind w:firstLine="640" w:firstLineChars="200"/>
        <w:rPr>
          <w:rFonts w:ascii="仿宋" w:hAnsi="仿宋" w:eastAsia="仿宋"/>
          <w:sz w:val="32"/>
          <w:szCs w:val="32"/>
        </w:rPr>
      </w:pPr>
      <w:r>
        <w:rPr>
          <w:rFonts w:ascii="仿宋" w:hAnsi="仿宋" w:eastAsia="仿宋" w:cs="仿宋"/>
          <w:sz w:val="32"/>
          <w:szCs w:val="32"/>
        </w:rPr>
        <w:t>6</w:t>
      </w:r>
      <w:r>
        <w:rPr>
          <w:rFonts w:hint="eastAsia" w:ascii="仿宋" w:hAnsi="仿宋" w:eastAsia="仿宋" w:cs="仿宋"/>
          <w:sz w:val="32"/>
          <w:szCs w:val="32"/>
        </w:rPr>
        <w:t>、为老干部“老有所养，老有所医，老有所为，老有所学，老有所乐”创造良好的条件和环境。</w:t>
      </w:r>
    </w:p>
    <w:p>
      <w:pPr>
        <w:ind w:firstLine="640" w:firstLineChars="200"/>
        <w:rPr>
          <w:rFonts w:ascii="仿宋" w:hAnsi="仿宋" w:eastAsia="仿宋"/>
          <w:sz w:val="32"/>
          <w:szCs w:val="32"/>
        </w:rPr>
      </w:pPr>
      <w:r>
        <w:rPr>
          <w:rFonts w:ascii="仿宋" w:hAnsi="仿宋" w:eastAsia="仿宋" w:cs="仿宋"/>
          <w:sz w:val="32"/>
          <w:szCs w:val="32"/>
        </w:rPr>
        <w:t>7</w:t>
      </w:r>
      <w:r>
        <w:rPr>
          <w:rFonts w:hint="eastAsia" w:ascii="仿宋" w:hAnsi="仿宋" w:eastAsia="仿宋" w:cs="仿宋"/>
          <w:sz w:val="32"/>
          <w:szCs w:val="32"/>
        </w:rPr>
        <w:t>、承办县委交办的其他事项。</w:t>
      </w:r>
    </w:p>
    <w:p>
      <w:pPr>
        <w:ind w:firstLine="645"/>
        <w:rPr>
          <w:rFonts w:ascii="楷体" w:hAnsi="楷体" w:eastAsia="楷体"/>
          <w:sz w:val="32"/>
          <w:szCs w:val="32"/>
        </w:rPr>
      </w:pPr>
      <w:r>
        <w:rPr>
          <w:rFonts w:hint="eastAsia" w:ascii="楷体" w:hAnsi="楷体" w:eastAsia="楷体" w:cs="楷体"/>
          <w:sz w:val="32"/>
          <w:szCs w:val="32"/>
        </w:rPr>
        <w:t>（三）部门职责</w:t>
      </w:r>
      <w:r>
        <w:rPr>
          <w:rFonts w:ascii="楷体" w:hAnsi="楷体" w:eastAsia="楷体" w:cs="楷体"/>
          <w:sz w:val="32"/>
          <w:szCs w:val="32"/>
        </w:rPr>
        <w:t>-</w:t>
      </w:r>
      <w:r>
        <w:rPr>
          <w:rFonts w:hint="eastAsia" w:ascii="楷体" w:hAnsi="楷体" w:eastAsia="楷体" w:cs="楷体"/>
          <w:sz w:val="32"/>
          <w:szCs w:val="32"/>
        </w:rPr>
        <w:t>工作活动绩效目标</w:t>
      </w:r>
    </w:p>
    <w:p>
      <w:pPr>
        <w:jc w:val="center"/>
        <w:outlineLvl w:val="0"/>
        <w:rPr>
          <w:rFonts w:ascii="方正小标宋_GBK" w:eastAsia="方正小标宋_GBK"/>
          <w:color w:val="FFFFFF"/>
          <w:sz w:val="32"/>
        </w:rPr>
      </w:pPr>
      <w:bookmarkStart w:id="0" w:name="_Toc2341088"/>
      <w:r>
        <w:rPr>
          <w:rFonts w:hint="eastAsia" w:ascii="方正小标宋_GBK" w:eastAsia="方正小标宋_GBK"/>
          <w:sz w:val="32"/>
        </w:rPr>
        <w:t>部门职责-工作活动绩效目标</w:t>
      </w:r>
      <w:r>
        <w:rPr>
          <w:rStyle w:val="6"/>
          <w:rFonts w:ascii="方正小标宋_GBK" w:eastAsia="方正小标宋_GBK"/>
          <w:color w:val="FFFFFF"/>
          <w:sz w:val="32"/>
        </w:rPr>
        <w:sym w:font="Symbol" w:char="F020"/>
      </w:r>
      <w:bookmarkEnd w:id="0"/>
    </w:p>
    <w:tbl>
      <w:tblPr>
        <w:tblStyle w:val="7"/>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footnoteReference w:id="0" w:customMarkFollows="1"/>
              <w:t>287</w:t>
            </w:r>
            <w:r>
              <w:rPr>
                <w:rFonts w:hint="eastAsia" w:ascii="方正小标宋_GBK" w:eastAsia="方正小标宋_GBK"/>
                <w:sz w:val="24"/>
              </w:rPr>
              <w:t>老干部局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一、离退休干部政策及服务</w:t>
            </w:r>
          </w:p>
        </w:tc>
        <w:tc>
          <w:tcPr>
            <w:tcW w:w="1276" w:type="dxa"/>
            <w:vAlign w:val="center"/>
          </w:tcPr>
          <w:p>
            <w:pPr>
              <w:spacing w:line="300" w:lineRule="exact"/>
              <w:jc w:val="left"/>
              <w:rPr>
                <w:rFonts w:ascii="方正书宋_GBK" w:eastAsia="方正书宋_GBK"/>
              </w:rPr>
            </w:pPr>
            <w:r>
              <w:rPr>
                <w:rFonts w:ascii="方正书宋_GBK" w:eastAsia="方正书宋_GBK"/>
              </w:rPr>
              <w:t>174.00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贯彻落实国家关于离退休干部的方针政策，组织落实离退休干部的政治、生活待遇</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保障离退休干部各项政策的落实</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、落实老干部政治、生活待遇</w:t>
            </w:r>
          </w:p>
        </w:tc>
        <w:tc>
          <w:tcPr>
            <w:tcW w:w="1276" w:type="dxa"/>
            <w:vAlign w:val="center"/>
          </w:tcPr>
          <w:p>
            <w:pPr>
              <w:spacing w:line="300" w:lineRule="exact"/>
              <w:jc w:val="left"/>
              <w:rPr>
                <w:rFonts w:ascii="方正书宋_GBK" w:eastAsia="方正书宋_GBK"/>
              </w:rPr>
            </w:pPr>
            <w:r>
              <w:rPr>
                <w:rFonts w:ascii="方正书宋_GBK" w:eastAsia="方正书宋_GBK"/>
              </w:rPr>
              <w:t>174.00</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全面落实老干部政治、生活待遇</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让每位老干部感受到政治上的关心、生活上的爱护。</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老干部生活待遇保障率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、老干部活动、组织建设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组织老干部参加社会、文体等各项活动，加强老干部基层组织和党支部建设</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老干部日常生活活动丰富充实。</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基层组织和党支部建设工作完成率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举办活动次数</w:t>
            </w:r>
          </w:p>
        </w:tc>
        <w:tc>
          <w:tcPr>
            <w:tcW w:w="737" w:type="dxa"/>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3</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二、老年活动阵地建设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建设、管理、使用好老年活动阵地，并指导全县阵地建设。</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完善老年阵地建设体系</w:t>
            </w:r>
          </w:p>
        </w:tc>
        <w:tc>
          <w:tcPr>
            <w:tcW w:w="1417" w:type="dxa"/>
            <w:vAlign w:val="center"/>
          </w:tcPr>
          <w:p>
            <w:pPr>
              <w:spacing w:line="300" w:lineRule="exact"/>
              <w:jc w:val="left"/>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、老年教育及关心下一代</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贯彻执行老年教育和老干部工作方针，构建终身教育体系；开展全县关心下一代工作，组织老同志参加青少年教育工作。</w:t>
            </w:r>
          </w:p>
        </w:tc>
        <w:tc>
          <w:tcPr>
            <w:tcW w:w="2976" w:type="dxa"/>
            <w:vMerge w:val="restart"/>
            <w:vAlign w:val="center"/>
          </w:tcPr>
          <w:p>
            <w:pPr>
              <w:spacing w:line="300" w:lineRule="exact"/>
              <w:jc w:val="left"/>
              <w:rPr>
                <w:rFonts w:hint="eastAsia" w:ascii="方正书宋_GBK" w:eastAsia="方正书宋_GBK"/>
              </w:rPr>
            </w:pPr>
            <w:r>
              <w:rPr>
                <w:rFonts w:hint="eastAsia" w:ascii="方正书宋_GBK" w:eastAsia="方正书宋_GBK"/>
              </w:rPr>
              <w:t>健全完善与经济社会发展相适应的老年教育体系，充分发挥老干部传帮带作用，传承优良作风，让下一代健康成长。</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老年教育普及率</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2976" w:type="dxa"/>
            <w:vMerge w:val="continue"/>
            <w:vAlign w:val="center"/>
          </w:tcPr>
          <w:p>
            <w:pPr>
              <w:spacing w:line="300" w:lineRule="exact"/>
              <w:jc w:val="left"/>
              <w:rPr>
                <w:rFonts w:hint="eastAsia" w:ascii="方正书宋_GBK" w:eastAsia="方正书宋_GBK"/>
              </w:rPr>
            </w:pP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开展青少年教育活动次数。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3</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三、综合事务管理</w:t>
            </w:r>
          </w:p>
        </w:tc>
        <w:tc>
          <w:tcPr>
            <w:tcW w:w="1276" w:type="dxa"/>
            <w:vAlign w:val="center"/>
          </w:tcPr>
          <w:p>
            <w:pPr>
              <w:spacing w:line="300" w:lineRule="exact"/>
              <w:jc w:val="left"/>
              <w:rPr>
                <w:rFonts w:ascii="方正书宋_GBK" w:eastAsia="方正书宋_GBK"/>
              </w:rPr>
            </w:pPr>
            <w:r>
              <w:rPr>
                <w:rFonts w:ascii="方正书宋_GBK" w:eastAsia="方正书宋_GBK"/>
              </w:rPr>
              <w:t>40.00</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老干部管理服务设施维修改造、后勤保障、日常运转。</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确保各项活动、工作正常运行。</w:t>
            </w:r>
          </w:p>
        </w:tc>
        <w:tc>
          <w:tcPr>
            <w:tcW w:w="1417" w:type="dxa"/>
            <w:vAlign w:val="center"/>
          </w:tcPr>
          <w:p>
            <w:pPr>
              <w:spacing w:line="300" w:lineRule="exact"/>
              <w:jc w:val="left"/>
              <w:rPr>
                <w:rFonts w:hint="eastAsia" w:ascii="方正书宋_GBK" w:eastAsia="方正书宋_GBK"/>
              </w:rPr>
            </w:pPr>
          </w:p>
        </w:tc>
        <w:tc>
          <w:tcPr>
            <w:tcW w:w="737" w:type="dxa"/>
            <w:vAlign w:val="center"/>
          </w:tcPr>
          <w:p>
            <w:pPr>
              <w:spacing w:line="300" w:lineRule="exact"/>
              <w:jc w:val="center"/>
              <w:rPr>
                <w:rFonts w:hint="eastAsia"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227" w:hRule="atLeast"/>
          <w:jc w:val="center"/>
        </w:trPr>
        <w:tc>
          <w:tcPr>
            <w:tcW w:w="2341" w:type="dxa"/>
            <w:vAlign w:val="center"/>
          </w:tcPr>
          <w:p>
            <w:pPr>
              <w:spacing w:line="300" w:lineRule="exact"/>
              <w:jc w:val="left"/>
              <w:rPr>
                <w:rFonts w:hint="eastAsia"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、老年教育及关心下一代</w:t>
            </w:r>
          </w:p>
        </w:tc>
        <w:tc>
          <w:tcPr>
            <w:tcW w:w="1276" w:type="dxa"/>
            <w:vAlign w:val="center"/>
          </w:tcPr>
          <w:p>
            <w:pPr>
              <w:spacing w:line="300" w:lineRule="exact"/>
              <w:jc w:val="left"/>
              <w:rPr>
                <w:rFonts w:ascii="方正书宋_GBK" w:eastAsia="方正书宋_GBK"/>
              </w:rPr>
            </w:pPr>
            <w:r>
              <w:rPr>
                <w:rFonts w:ascii="方正书宋_GBK" w:eastAsia="方正书宋_GBK"/>
              </w:rPr>
              <w:t>40.00</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贯彻执行老年教育和老干部工作方针，构建终身教育体系；开展全县关心下一代工作，组织老同志参加青少年教育工作。</w:t>
            </w:r>
          </w:p>
        </w:tc>
        <w:tc>
          <w:tcPr>
            <w:tcW w:w="2976" w:type="dxa"/>
            <w:vAlign w:val="center"/>
          </w:tcPr>
          <w:p>
            <w:pPr>
              <w:spacing w:line="300" w:lineRule="exact"/>
              <w:jc w:val="left"/>
              <w:rPr>
                <w:rFonts w:hint="eastAsia" w:ascii="方正书宋_GBK" w:eastAsia="方正书宋_GBK"/>
              </w:rPr>
            </w:pPr>
            <w:r>
              <w:rPr>
                <w:rFonts w:hint="eastAsia" w:ascii="方正书宋_GBK" w:eastAsia="方正书宋_GBK"/>
              </w:rPr>
              <w:t>健全完善与经济社会发展相适应的老年教育体系，充分发挥老干部传帮带作用，传承优良作风，让下一代健康成长。</w:t>
            </w:r>
          </w:p>
        </w:tc>
        <w:tc>
          <w:tcPr>
            <w:tcW w:w="1417" w:type="dxa"/>
            <w:vAlign w:val="center"/>
          </w:tcPr>
          <w:p>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sectPr>
          <w:pgSz w:w="16839" w:h="11907" w:orient="landscape"/>
          <w:pgMar w:top="1020" w:right="1361" w:bottom="1020" w:left="1361" w:header="851" w:footer="992" w:gutter="0"/>
          <w:cols w:space="720" w:num="1"/>
          <w:docGrid w:type="lines" w:linePitch="312" w:charSpace="0"/>
        </w:sectPr>
      </w:pPr>
    </w:p>
    <w:p>
      <w:pPr>
        <w:autoSpaceDE w:val="0"/>
        <w:autoSpaceDN w:val="0"/>
        <w:adjustRightInd w:val="0"/>
        <w:jc w:val="left"/>
        <w:rPr>
          <w:rFonts w:hint="eastAsia" w:ascii="黑体" w:hAnsi="黑体" w:eastAsia="黑体" w:cs="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ascii="仿宋" w:hAnsi="仿宋" w:eastAsia="仿宋"/>
          <w:sz w:val="32"/>
          <w:szCs w:val="32"/>
        </w:rPr>
      </w:pPr>
      <w:r>
        <w:rPr>
          <w:rFonts w:ascii="仿宋" w:hAnsi="仿宋" w:eastAsia="仿宋" w:cs="仿宋_GB2312"/>
          <w:sz w:val="32"/>
          <w:szCs w:val="32"/>
        </w:rPr>
        <w:t>2019</w:t>
      </w:r>
      <w:r>
        <w:rPr>
          <w:rFonts w:hint="eastAsia" w:ascii="仿宋" w:hAnsi="仿宋" w:eastAsia="仿宋" w:cs="仿宋_GB2312"/>
          <w:sz w:val="32"/>
          <w:szCs w:val="32"/>
        </w:rPr>
        <w:t>年我单位没有安排政府采购预算，政府采购预算金额为</w:t>
      </w:r>
      <w:r>
        <w:rPr>
          <w:rFonts w:ascii="仿宋" w:hAnsi="仿宋" w:eastAsia="仿宋" w:cs="仿宋_GB2312"/>
          <w:sz w:val="32"/>
          <w:szCs w:val="32"/>
        </w:rPr>
        <w:t>0</w:t>
      </w:r>
      <w:r>
        <w:rPr>
          <w:rFonts w:hint="eastAsia" w:ascii="仿宋" w:hAnsi="仿宋" w:eastAsia="仿宋" w:cs="仿宋_GB2312"/>
          <w:sz w:val="32"/>
          <w:szCs w:val="32"/>
        </w:rPr>
        <w:t>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widowControl/>
        <w:ind w:firstLine="640"/>
        <w:rPr>
          <w:rFonts w:ascii="仿宋_GB2312" w:eastAsia="仿宋_GB2312"/>
          <w:kern w:val="0"/>
          <w:sz w:val="32"/>
          <w:szCs w:val="32"/>
        </w:rPr>
      </w:pPr>
    </w:p>
    <w:p>
      <w:pPr>
        <w:widowControl/>
        <w:ind w:firstLine="640"/>
        <w:rPr>
          <w:rFonts w:ascii="仿宋" w:hAnsi="仿宋" w:eastAsia="仿宋"/>
          <w:kern w:val="0"/>
          <w:sz w:val="32"/>
          <w:szCs w:val="32"/>
        </w:rPr>
      </w:pPr>
      <w:r>
        <w:rPr>
          <w:rFonts w:hint="eastAsia" w:ascii="仿宋" w:hAnsi="仿宋" w:eastAsia="仿宋" w:cs="仿宋_GB2312"/>
          <w:kern w:val="0"/>
          <w:sz w:val="32"/>
          <w:szCs w:val="32"/>
        </w:rPr>
        <w:t>中国共产党无极县委员会老干部局上年末固定资产金额为</w:t>
      </w:r>
      <w:r>
        <w:rPr>
          <w:rFonts w:hint="eastAsia" w:ascii="仿宋" w:hAnsi="仿宋" w:eastAsia="仿宋" w:cs="仿宋_GB2312"/>
          <w:kern w:val="0"/>
          <w:sz w:val="32"/>
          <w:szCs w:val="32"/>
          <w:lang w:val="en-US" w:eastAsia="zh-CN"/>
        </w:rPr>
        <w:t>56.28</w:t>
      </w:r>
      <w:r>
        <w:rPr>
          <w:rFonts w:hint="eastAsia" w:ascii="仿宋" w:hAnsi="仿宋" w:eastAsia="仿宋" w:cs="仿宋_GB2312"/>
          <w:kern w:val="0"/>
          <w:sz w:val="32"/>
          <w:szCs w:val="32"/>
        </w:rPr>
        <w:t>万元，本年度拟购置固定资产总额为</w:t>
      </w:r>
      <w:r>
        <w:rPr>
          <w:rFonts w:hint="eastAsia" w:ascii="仿宋" w:hAnsi="仿宋" w:eastAsia="仿宋" w:cs="仿宋_GB2312"/>
          <w:kern w:val="0"/>
          <w:sz w:val="32"/>
          <w:szCs w:val="32"/>
          <w:lang w:val="en-US" w:eastAsia="zh-CN"/>
        </w:rPr>
        <w:t>0</w:t>
      </w:r>
      <w:r>
        <w:rPr>
          <w:rFonts w:hint="eastAsia" w:ascii="仿宋" w:hAnsi="仿宋" w:eastAsia="仿宋" w:cs="仿宋_GB2312"/>
          <w:kern w:val="0"/>
          <w:sz w:val="32"/>
          <w:szCs w:val="32"/>
        </w:rPr>
        <w:t>万元</w:t>
      </w:r>
      <w:r>
        <w:rPr>
          <w:rFonts w:hint="eastAsia" w:ascii="仿宋" w:hAnsi="仿宋" w:eastAsia="仿宋" w:cs="仿宋_GB2312"/>
          <w:kern w:val="0"/>
          <w:sz w:val="32"/>
          <w:szCs w:val="32"/>
          <w:lang w:eastAsia="zh-CN"/>
        </w:rPr>
        <w:t>。</w:t>
      </w:r>
    </w:p>
    <w:tbl>
      <w:tblPr>
        <w:tblStyle w:val="7"/>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90" w:hRule="atLeast"/>
        </w:trPr>
        <w:tc>
          <w:tcPr>
            <w:tcW w:w="13482" w:type="dxa"/>
            <w:gridSpan w:val="3"/>
            <w:tcBorders>
              <w:top w:val="nil"/>
              <w:left w:val="nil"/>
              <w:bottom w:val="nil"/>
              <w:right w:val="nil"/>
            </w:tcBorders>
            <w:vAlign w:val="center"/>
          </w:tcPr>
          <w:p>
            <w:pPr>
              <w:widowControl/>
              <w:jc w:val="center"/>
              <w:rPr>
                <w:rFonts w:ascii="仿宋_GB2312" w:hAnsi="宋体" w:eastAsia="仿宋_GB2312"/>
                <w:b/>
                <w:bCs/>
                <w:kern w:val="0"/>
                <w:sz w:val="32"/>
                <w:szCs w:val="32"/>
              </w:rPr>
            </w:pPr>
            <w:r>
              <w:rPr>
                <w:rFonts w:hint="eastAsia" w:ascii="仿宋_GB2312" w:hAnsi="宋体" w:eastAsia="仿宋_GB2312" w:cs="仿宋_GB2312"/>
                <w:b/>
                <w:bCs/>
                <w:kern w:val="0"/>
                <w:sz w:val="32"/>
                <w:szCs w:val="32"/>
              </w:rPr>
              <w:t>部门固定资产占用情况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kern w:val="0"/>
              </w:rPr>
            </w:pPr>
            <w:r>
              <w:rPr>
                <w:rFonts w:hint="eastAsia" w:ascii="仿宋_GB2312" w:hAnsi="宋体" w:eastAsia="仿宋_GB2312" w:cs="仿宋_GB2312"/>
                <w:kern w:val="0"/>
                <w:sz w:val="22"/>
                <w:szCs w:val="22"/>
              </w:rPr>
              <w:t>编制部门：</w:t>
            </w:r>
            <w:r>
              <w:rPr>
                <w:rFonts w:hint="eastAsia" w:ascii="仿宋_GB2312" w:hAnsi="宋体" w:eastAsia="仿宋_GB2312" w:cs="仿宋_GB2312"/>
                <w:kern w:val="0"/>
              </w:rPr>
              <w:t>中国共产党无极县委员会老干部局</w:t>
            </w:r>
          </w:p>
        </w:tc>
        <w:tc>
          <w:tcPr>
            <w:tcW w:w="5103" w:type="dxa"/>
            <w:tcBorders>
              <w:top w:val="nil"/>
              <w:left w:val="nil"/>
              <w:bottom w:val="nil"/>
              <w:right w:val="nil"/>
            </w:tcBorders>
            <w:vAlign w:val="center"/>
          </w:tcPr>
          <w:p>
            <w:pPr>
              <w:widowControl/>
              <w:jc w:val="left"/>
              <w:rPr>
                <w:rFonts w:ascii="仿宋_GB2312" w:hAnsi="宋体" w:eastAsia="仿宋_GB2312"/>
                <w:kern w:val="0"/>
                <w:sz w:val="22"/>
              </w:rPr>
            </w:pPr>
            <w:r>
              <w:rPr>
                <w:rFonts w:hint="eastAsia" w:ascii="仿宋_GB2312" w:hAnsi="宋体" w:eastAsia="仿宋_GB2312" w:cs="仿宋_GB2312"/>
                <w:kern w:val="0"/>
                <w:sz w:val="22"/>
                <w:szCs w:val="22"/>
              </w:rPr>
              <w:t>截止时间：</w:t>
            </w:r>
            <w:r>
              <w:rPr>
                <w:rFonts w:ascii="仿宋_GB2312" w:hAnsi="宋体" w:eastAsia="仿宋_GB2312" w:cs="仿宋_GB2312"/>
                <w:kern w:val="0"/>
                <w:sz w:val="22"/>
                <w:szCs w:val="22"/>
              </w:rPr>
              <w:t>2018</w:t>
            </w:r>
            <w:r>
              <w:rPr>
                <w:rFonts w:hint="eastAsia" w:ascii="仿宋_GB2312" w:hAnsi="宋体" w:eastAsia="仿宋_GB2312" w:cs="仿宋_GB2312"/>
                <w:kern w:val="0"/>
                <w:sz w:val="22"/>
                <w:szCs w:val="22"/>
              </w:rPr>
              <w:t>年</w:t>
            </w:r>
            <w:r>
              <w:rPr>
                <w:rFonts w:ascii="仿宋_GB2312" w:hAnsi="宋体" w:eastAsia="仿宋_GB2312" w:cs="仿宋_GB2312"/>
                <w:kern w:val="0"/>
                <w:sz w:val="22"/>
                <w:szCs w:val="22"/>
              </w:rPr>
              <w:t>12</w:t>
            </w:r>
            <w:r>
              <w:rPr>
                <w:rFonts w:hint="eastAsia" w:ascii="仿宋_GB2312" w:hAnsi="宋体" w:eastAsia="仿宋_GB2312" w:cs="仿宋_GB2312"/>
                <w:kern w:val="0"/>
                <w:sz w:val="22"/>
                <w:szCs w:val="22"/>
              </w:rPr>
              <w:t>月</w:t>
            </w:r>
            <w:r>
              <w:rPr>
                <w:rFonts w:ascii="仿宋_GB2312" w:hAnsi="宋体" w:eastAsia="仿宋_GB2312" w:cs="仿宋_GB2312"/>
                <w:kern w:val="0"/>
                <w:sz w:val="22"/>
                <w:szCs w:val="22"/>
              </w:rPr>
              <w:t>31</w:t>
            </w:r>
            <w:r>
              <w:rPr>
                <w:rFonts w:hint="eastAsia" w:ascii="仿宋_GB2312" w:hAnsi="宋体" w:eastAsia="仿宋_GB2312" w:cs="仿宋_GB2312"/>
                <w:kern w:val="0"/>
                <w:sz w:val="22"/>
                <w:szCs w:val="22"/>
              </w:rPr>
              <w:t>日</w:t>
            </w:r>
            <w:r>
              <w:rPr>
                <w:rFonts w:ascii="仿宋_GB2312" w:hAnsi="宋体" w:eastAsia="仿宋_GB2312" w:cs="仿宋_GB2312"/>
                <w:kern w:val="0"/>
                <w:sz w:val="22"/>
                <w:szCs w:val="2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b/>
                <w:bCs/>
                <w:kern w:val="0"/>
                <w:sz w:val="22"/>
              </w:rPr>
            </w:pPr>
            <w:r>
              <w:rPr>
                <w:rFonts w:hint="eastAsia" w:ascii="仿宋_GB2312" w:hAnsi="宋体" w:eastAsia="仿宋_GB2312" w:cs="仿宋_GB2312"/>
                <w:b/>
                <w:bCs/>
                <w:kern w:val="0"/>
                <w:sz w:val="22"/>
                <w:szCs w:val="22"/>
              </w:rPr>
              <w:t>项</w:t>
            </w:r>
            <w:r>
              <w:rPr>
                <w:rFonts w:ascii="仿宋_GB2312" w:hAnsi="宋体" w:eastAsia="仿宋_GB2312" w:cs="仿宋_GB2312"/>
                <w:b/>
                <w:bCs/>
                <w:kern w:val="0"/>
                <w:sz w:val="22"/>
                <w:szCs w:val="22"/>
              </w:rPr>
              <w:t xml:space="preserve">   </w:t>
            </w:r>
            <w:r>
              <w:rPr>
                <w:rFonts w:hint="eastAsia" w:ascii="仿宋_GB2312" w:hAnsi="宋体" w:eastAsia="仿宋_GB2312" w:cs="仿宋_GB2312"/>
                <w:b/>
                <w:bCs/>
                <w:kern w:val="0"/>
                <w:sz w:val="22"/>
                <w:szCs w:val="22"/>
              </w:rPr>
              <w:t>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b/>
                <w:bCs/>
                <w:kern w:val="0"/>
                <w:sz w:val="22"/>
              </w:rPr>
            </w:pPr>
            <w:r>
              <w:rPr>
                <w:rFonts w:hint="eastAsia" w:ascii="仿宋_GB2312" w:hAnsi="宋体" w:eastAsia="仿宋_GB2312" w:cs="仿宋_GB2312"/>
                <w:b/>
                <w:bCs/>
                <w:kern w:val="0"/>
                <w:sz w:val="22"/>
                <w:szCs w:val="2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b/>
                <w:bCs/>
                <w:kern w:val="0"/>
                <w:sz w:val="22"/>
              </w:rPr>
            </w:pPr>
            <w:r>
              <w:rPr>
                <w:rFonts w:hint="eastAsia" w:ascii="仿宋_GB2312" w:hAnsi="宋体" w:eastAsia="仿宋_GB2312" w:cs="仿宋_GB2312"/>
                <w:b/>
                <w:bCs/>
                <w:kern w:val="0"/>
                <w:sz w:val="22"/>
                <w:szCs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hint="eastAsia" w:ascii="仿宋_GB2312" w:hAnsi="宋体" w:eastAsia="仿宋_GB2312" w:cs="仿宋_GB2312"/>
                <w:kern w:val="0"/>
                <w:sz w:val="22"/>
                <w:szCs w:val="2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56.28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kern w:val="0"/>
                <w:sz w:val="22"/>
              </w:rPr>
            </w:pPr>
            <w:r>
              <w:rPr>
                <w:rFonts w:ascii="仿宋_GB2312" w:hAnsi="宋体" w:eastAsia="仿宋_GB2312" w:cs="仿宋_GB2312"/>
                <w:kern w:val="0"/>
                <w:sz w:val="22"/>
                <w:szCs w:val="22"/>
              </w:rPr>
              <w:t>1</w:t>
            </w:r>
            <w:r>
              <w:rPr>
                <w:rFonts w:hint="eastAsia" w:ascii="仿宋_GB2312" w:hAnsi="宋体" w:eastAsia="仿宋_GB2312" w:cs="仿宋_GB2312"/>
                <w:kern w:val="0"/>
                <w:sz w:val="22"/>
                <w:szCs w:val="22"/>
              </w:rPr>
              <w:t>、房屋（平方米）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862</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12.26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kern w:val="0"/>
                <w:sz w:val="22"/>
              </w:rPr>
            </w:pP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862</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12.26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kern w:val="0"/>
                <w:sz w:val="22"/>
              </w:rPr>
            </w:pPr>
            <w:r>
              <w:rPr>
                <w:rFonts w:ascii="仿宋_GB2312" w:hAnsi="宋体" w:eastAsia="仿宋_GB2312" w:cs="仿宋_GB2312"/>
                <w:kern w:val="0"/>
                <w:sz w:val="22"/>
                <w:szCs w:val="22"/>
              </w:rPr>
              <w:t>2</w:t>
            </w:r>
            <w:r>
              <w:rPr>
                <w:rFonts w:hint="eastAsia" w:ascii="仿宋_GB2312" w:hAnsi="宋体" w:eastAsia="仿宋_GB2312" w:cs="仿宋_GB2312"/>
                <w:kern w:val="0"/>
                <w:sz w:val="22"/>
                <w:szCs w:val="22"/>
              </w:rPr>
              <w:t>、车辆（台、辆）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2</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16.58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kern w:val="0"/>
                <w:sz w:val="22"/>
              </w:rPr>
            </w:pPr>
            <w:r>
              <w:rPr>
                <w:rFonts w:ascii="仿宋_GB2312" w:hAnsi="宋体" w:eastAsia="仿宋_GB2312" w:cs="仿宋_GB2312"/>
                <w:kern w:val="0"/>
                <w:sz w:val="22"/>
                <w:szCs w:val="22"/>
              </w:rPr>
              <w:t>3</w:t>
            </w:r>
            <w:r>
              <w:rPr>
                <w:rFonts w:hint="eastAsia" w:ascii="仿宋_GB2312" w:hAnsi="宋体" w:eastAsia="仿宋_GB2312" w:cs="仿宋_GB2312"/>
                <w:kern w:val="0"/>
                <w:sz w:val="22"/>
                <w:szCs w:val="22"/>
              </w:rPr>
              <w:t>、单价在</w:t>
            </w:r>
            <w:r>
              <w:rPr>
                <w:rFonts w:ascii="仿宋_GB2312" w:hAnsi="宋体" w:eastAsia="仿宋_GB2312" w:cs="仿宋_GB2312"/>
                <w:kern w:val="0"/>
                <w:sz w:val="22"/>
                <w:szCs w:val="22"/>
              </w:rPr>
              <w:t>20</w:t>
            </w:r>
            <w:r>
              <w:rPr>
                <w:rFonts w:hint="eastAsia" w:ascii="仿宋_GB2312" w:hAnsi="宋体" w:eastAsia="仿宋_GB2312" w:cs="仿宋_GB2312"/>
                <w:kern w:val="0"/>
                <w:sz w:val="22"/>
                <w:szCs w:val="22"/>
              </w:rPr>
              <w:t>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kern w:val="0"/>
                <w:sz w:val="22"/>
              </w:rPr>
            </w:pPr>
            <w:r>
              <w:rPr>
                <w:rFonts w:ascii="仿宋_GB2312" w:hAnsi="宋体" w:eastAsia="仿宋_GB2312" w:cs="仿宋_GB2312"/>
                <w:kern w:val="0"/>
                <w:sz w:val="22"/>
                <w:szCs w:val="22"/>
              </w:rPr>
              <w:t>4</w:t>
            </w:r>
            <w:r>
              <w:rPr>
                <w:rFonts w:hint="eastAsia" w:ascii="仿宋_GB2312" w:hAnsi="宋体" w:eastAsia="仿宋_GB2312" w:cs="仿宋_GB2312"/>
                <w:kern w:val="0"/>
                <w:sz w:val="22"/>
                <w:szCs w:val="22"/>
              </w:rPr>
              <w:t>、其他固定资产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kern w:val="0"/>
                <w:sz w:val="22"/>
              </w:rPr>
            </w:pPr>
            <w:r>
              <w:rPr>
                <w:rFonts w:ascii="仿宋_GB2312" w:hAnsi="宋体" w:eastAsia="仿宋_GB2312" w:cs="仿宋_GB2312"/>
                <w:kern w:val="0"/>
                <w:sz w:val="22"/>
                <w:szCs w:val="22"/>
              </w:rPr>
              <w:t>27.44</w:t>
            </w:r>
          </w:p>
        </w:tc>
      </w:tr>
    </w:tbl>
    <w:p>
      <w:pPr>
        <w:autoSpaceDE w:val="0"/>
        <w:autoSpaceDN w:val="0"/>
        <w:adjustRightInd w:val="0"/>
        <w:ind w:firstLine="643" w:firstLineChars="200"/>
        <w:jc w:val="left"/>
        <w:rPr>
          <w:rFonts w:ascii="黑体" w:hAnsi="黑体" w:eastAsia="黑体"/>
          <w:b/>
          <w:bCs/>
          <w:sz w:val="32"/>
          <w:szCs w:val="32"/>
        </w:rPr>
      </w:pPr>
      <w:r>
        <w:rPr>
          <w:rFonts w:hint="eastAsia" w:ascii="黑体" w:hAnsi="黑体" w:eastAsia="黑体" w:cs="黑体"/>
          <w:b/>
          <w:bCs/>
          <w:sz w:val="32"/>
          <w:szCs w:val="32"/>
        </w:rPr>
        <w:t>八、名词解释</w:t>
      </w:r>
    </w:p>
    <w:p>
      <w:pPr>
        <w:ind w:firstLine="720"/>
        <w:rPr>
          <w:rFonts w:ascii="仿宋" w:hAnsi="仿宋" w:eastAsia="仿宋"/>
          <w:b/>
          <w:bCs/>
          <w:sz w:val="32"/>
          <w:szCs w:val="32"/>
        </w:rPr>
      </w:pPr>
      <w:r>
        <w:rPr>
          <w:rFonts w:ascii="仿宋" w:hAnsi="仿宋" w:eastAsia="仿宋" w:cs="仿宋"/>
          <w:b/>
          <w:bCs/>
          <w:sz w:val="32"/>
          <w:szCs w:val="32"/>
        </w:rPr>
        <w:t>1.</w:t>
      </w:r>
      <w:r>
        <w:rPr>
          <w:rFonts w:hint="eastAsia" w:ascii="仿宋" w:hAnsi="仿宋" w:eastAsia="仿宋" w:cs="仿宋"/>
          <w:b/>
          <w:bCs/>
          <w:sz w:val="32"/>
          <w:szCs w:val="32"/>
        </w:rPr>
        <w:t>财政拨款收入</w:t>
      </w:r>
    </w:p>
    <w:p>
      <w:pPr>
        <w:ind w:firstLine="720"/>
        <w:rPr>
          <w:rFonts w:ascii="仿宋" w:hAnsi="仿宋" w:eastAsia="仿宋"/>
          <w:sz w:val="32"/>
          <w:szCs w:val="32"/>
        </w:rPr>
      </w:pPr>
      <w:r>
        <w:rPr>
          <w:rFonts w:hint="eastAsia" w:ascii="仿宋" w:hAnsi="仿宋" w:eastAsia="仿宋" w:cs="仿宋"/>
          <w:sz w:val="32"/>
          <w:szCs w:val="32"/>
        </w:rPr>
        <w:t>财政拨款收入是指财政部门按照批复的预算核拨给单位的财政预算资金。</w:t>
      </w:r>
    </w:p>
    <w:p>
      <w:pPr>
        <w:ind w:firstLine="720"/>
        <w:rPr>
          <w:rFonts w:ascii="仿宋" w:hAnsi="仿宋" w:eastAsia="仿宋"/>
          <w:b/>
          <w:bCs/>
          <w:sz w:val="32"/>
          <w:szCs w:val="32"/>
        </w:rPr>
      </w:pPr>
      <w:r>
        <w:rPr>
          <w:rFonts w:ascii="仿宋" w:hAnsi="仿宋" w:eastAsia="仿宋" w:cs="仿宋"/>
          <w:b/>
          <w:bCs/>
          <w:sz w:val="32"/>
          <w:szCs w:val="32"/>
        </w:rPr>
        <w:t>2.</w:t>
      </w:r>
      <w:r>
        <w:rPr>
          <w:rFonts w:hint="eastAsia" w:ascii="仿宋" w:hAnsi="仿宋" w:eastAsia="仿宋" w:cs="仿宋"/>
          <w:b/>
          <w:bCs/>
          <w:sz w:val="32"/>
          <w:szCs w:val="32"/>
        </w:rPr>
        <w:t>基本支出、项目支出</w:t>
      </w:r>
    </w:p>
    <w:p>
      <w:pPr>
        <w:ind w:firstLine="720"/>
        <w:rPr>
          <w:rFonts w:ascii="仿宋" w:hAnsi="仿宋" w:eastAsia="仿宋"/>
          <w:sz w:val="32"/>
          <w:szCs w:val="32"/>
        </w:rPr>
      </w:pPr>
      <w:r>
        <w:rPr>
          <w:rFonts w:hint="eastAsia" w:ascii="仿宋" w:hAnsi="仿宋" w:eastAsia="仿宋" w:cs="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cs="仿宋"/>
          <w:sz w:val="32"/>
          <w:szCs w:val="32"/>
        </w:rPr>
        <w:t>项目支出是指在基本支出之外完成特定行政任务和事业发展目标所发生的支出。</w:t>
      </w:r>
    </w:p>
    <w:p>
      <w:pPr>
        <w:ind w:firstLine="720"/>
        <w:rPr>
          <w:rFonts w:ascii="仿宋" w:hAnsi="仿宋" w:eastAsia="仿宋"/>
          <w:b/>
          <w:bCs/>
          <w:sz w:val="32"/>
          <w:szCs w:val="32"/>
        </w:rPr>
      </w:pPr>
      <w:r>
        <w:rPr>
          <w:rFonts w:ascii="仿宋" w:hAnsi="仿宋" w:eastAsia="仿宋" w:cs="仿宋"/>
          <w:b/>
          <w:bCs/>
          <w:sz w:val="32"/>
          <w:szCs w:val="32"/>
        </w:rPr>
        <w:t>3.</w:t>
      </w:r>
      <w:r>
        <w:rPr>
          <w:rFonts w:hint="eastAsia" w:ascii="仿宋" w:hAnsi="仿宋" w:eastAsia="仿宋" w:cs="仿宋"/>
          <w:b/>
          <w:bCs/>
          <w:sz w:val="32"/>
          <w:szCs w:val="32"/>
        </w:rPr>
        <w:t>一般公共服务支出</w:t>
      </w:r>
    </w:p>
    <w:p>
      <w:pPr>
        <w:ind w:firstLine="720"/>
        <w:rPr>
          <w:rFonts w:ascii="仿宋" w:hAnsi="仿宋" w:eastAsia="仿宋"/>
          <w:sz w:val="32"/>
          <w:szCs w:val="32"/>
        </w:rPr>
      </w:pPr>
      <w:r>
        <w:rPr>
          <w:rFonts w:hint="eastAsia" w:ascii="仿宋" w:hAnsi="仿宋" w:eastAsia="仿宋" w:cs="仿宋"/>
          <w:sz w:val="32"/>
          <w:szCs w:val="32"/>
        </w:rPr>
        <w:t>一般公共服务支出是指反映预算单位一般公共服务的支出。</w:t>
      </w:r>
    </w:p>
    <w:p>
      <w:pPr>
        <w:ind w:firstLine="720"/>
        <w:rPr>
          <w:rFonts w:ascii="仿宋" w:hAnsi="仿宋" w:eastAsia="仿宋"/>
          <w:b/>
          <w:bCs/>
          <w:sz w:val="32"/>
          <w:szCs w:val="32"/>
        </w:rPr>
      </w:pPr>
      <w:r>
        <w:rPr>
          <w:rFonts w:ascii="仿宋" w:hAnsi="仿宋" w:eastAsia="仿宋" w:cs="仿宋"/>
          <w:b/>
          <w:bCs/>
          <w:sz w:val="32"/>
          <w:szCs w:val="32"/>
        </w:rPr>
        <w:t>4.</w:t>
      </w:r>
      <w:r>
        <w:rPr>
          <w:rFonts w:hint="eastAsia" w:ascii="仿宋" w:hAnsi="仿宋" w:eastAsia="仿宋" w:cs="仿宋"/>
          <w:b/>
          <w:bCs/>
          <w:sz w:val="32"/>
          <w:szCs w:val="32"/>
        </w:rPr>
        <w:t>文化体育与传媒支出</w:t>
      </w:r>
    </w:p>
    <w:p>
      <w:pPr>
        <w:ind w:firstLine="720"/>
        <w:rPr>
          <w:rFonts w:ascii="仿宋" w:hAnsi="仿宋" w:eastAsia="仿宋"/>
          <w:sz w:val="32"/>
          <w:szCs w:val="32"/>
        </w:rPr>
      </w:pPr>
      <w:r>
        <w:rPr>
          <w:rFonts w:hint="eastAsia" w:ascii="仿宋" w:hAnsi="仿宋" w:eastAsia="仿宋" w:cs="仿宋"/>
          <w:sz w:val="32"/>
          <w:szCs w:val="32"/>
        </w:rPr>
        <w:t>文化体育与传媒支出是指反映预算单位在文化、文物、体育、广播影视、新闻出版等方面的支出。</w:t>
      </w:r>
    </w:p>
    <w:p>
      <w:pPr>
        <w:ind w:firstLine="720"/>
        <w:rPr>
          <w:rFonts w:ascii="仿宋" w:hAnsi="仿宋" w:eastAsia="仿宋"/>
          <w:b/>
          <w:bCs/>
          <w:sz w:val="32"/>
          <w:szCs w:val="32"/>
        </w:rPr>
      </w:pPr>
      <w:r>
        <w:rPr>
          <w:rFonts w:ascii="仿宋" w:hAnsi="仿宋" w:eastAsia="仿宋" w:cs="仿宋"/>
          <w:b/>
          <w:bCs/>
          <w:sz w:val="32"/>
          <w:szCs w:val="32"/>
        </w:rPr>
        <w:t>5.</w:t>
      </w:r>
      <w:r>
        <w:rPr>
          <w:rFonts w:hint="eastAsia" w:ascii="仿宋" w:hAnsi="仿宋" w:eastAsia="仿宋" w:cs="仿宋"/>
          <w:b/>
          <w:bCs/>
          <w:sz w:val="32"/>
          <w:szCs w:val="32"/>
        </w:rPr>
        <w:t>社会保障和就业支出</w:t>
      </w:r>
    </w:p>
    <w:p>
      <w:pPr>
        <w:ind w:firstLine="720"/>
        <w:rPr>
          <w:rFonts w:ascii="仿宋" w:hAnsi="仿宋" w:eastAsia="仿宋"/>
          <w:sz w:val="32"/>
          <w:szCs w:val="32"/>
        </w:rPr>
      </w:pPr>
      <w:r>
        <w:rPr>
          <w:rFonts w:hint="eastAsia" w:ascii="仿宋" w:hAnsi="仿宋" w:eastAsia="仿宋" w:cs="仿宋"/>
          <w:sz w:val="32"/>
          <w:szCs w:val="32"/>
        </w:rPr>
        <w:t>社会保障和就业支出是指预算单位在社会保障和就业方面的支出。</w:t>
      </w:r>
    </w:p>
    <w:p>
      <w:pPr>
        <w:ind w:firstLine="720"/>
        <w:rPr>
          <w:rFonts w:ascii="仿宋" w:hAnsi="仿宋" w:eastAsia="仿宋"/>
          <w:b/>
          <w:bCs/>
          <w:sz w:val="32"/>
          <w:szCs w:val="32"/>
        </w:rPr>
      </w:pPr>
      <w:r>
        <w:rPr>
          <w:rFonts w:ascii="仿宋" w:hAnsi="仿宋" w:eastAsia="仿宋" w:cs="仿宋"/>
          <w:b/>
          <w:bCs/>
          <w:sz w:val="32"/>
          <w:szCs w:val="32"/>
        </w:rPr>
        <w:t>6.</w:t>
      </w:r>
      <w:r>
        <w:rPr>
          <w:rFonts w:hint="eastAsia" w:ascii="仿宋" w:hAnsi="仿宋" w:eastAsia="仿宋" w:cs="仿宋"/>
          <w:b/>
          <w:bCs/>
          <w:sz w:val="32"/>
          <w:szCs w:val="32"/>
        </w:rPr>
        <w:t>机关运行经费</w:t>
      </w:r>
    </w:p>
    <w:p>
      <w:pPr>
        <w:ind w:firstLine="720"/>
        <w:rPr>
          <w:rFonts w:ascii="仿宋" w:hAnsi="仿宋" w:eastAsia="仿宋"/>
          <w:sz w:val="32"/>
          <w:szCs w:val="32"/>
        </w:rPr>
      </w:pPr>
      <w:r>
        <w:rPr>
          <w:rFonts w:hint="eastAsia" w:ascii="仿宋" w:hAnsi="仿宋" w:eastAsia="仿宋" w:cs="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bCs/>
          <w:sz w:val="32"/>
          <w:szCs w:val="32"/>
        </w:rPr>
      </w:pPr>
      <w:r>
        <w:rPr>
          <w:rFonts w:ascii="仿宋" w:hAnsi="仿宋" w:eastAsia="仿宋" w:cs="仿宋"/>
          <w:b/>
          <w:bCs/>
          <w:sz w:val="32"/>
          <w:szCs w:val="32"/>
        </w:rPr>
        <w:t>7.</w:t>
      </w:r>
      <w:r>
        <w:rPr>
          <w:rFonts w:hint="eastAsia" w:ascii="仿宋" w:hAnsi="仿宋" w:eastAsia="仿宋" w:cs="仿宋"/>
          <w:b/>
          <w:bCs/>
          <w:sz w:val="32"/>
          <w:szCs w:val="32"/>
        </w:rPr>
        <w:t>“三公”经费</w:t>
      </w:r>
    </w:p>
    <w:p>
      <w:pPr>
        <w:ind w:firstLine="720"/>
        <w:rPr>
          <w:rFonts w:ascii="仿宋" w:hAnsi="仿宋" w:eastAsia="仿宋"/>
          <w:sz w:val="32"/>
          <w:szCs w:val="32"/>
        </w:rPr>
      </w:pPr>
      <w:r>
        <w:rPr>
          <w:rFonts w:hint="eastAsia" w:ascii="仿宋" w:hAnsi="仿宋" w:eastAsia="仿宋" w:cs="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cs="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cs="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cs="仿宋"/>
          <w:sz w:val="32"/>
          <w:szCs w:val="32"/>
        </w:rPr>
        <w:t>公务接待费是指单位按规定开支的各类公务接待（含外宾接待）费用。</w:t>
      </w:r>
    </w:p>
    <w:p>
      <w:pPr>
        <w:numPr>
          <w:ilvl w:val="0"/>
          <w:numId w:val="2"/>
        </w:numPr>
        <w:autoSpaceDE w:val="0"/>
        <w:autoSpaceDN w:val="0"/>
        <w:adjustRightInd w:val="0"/>
        <w:jc w:val="left"/>
        <w:rPr>
          <w:rFonts w:ascii="黑体" w:hAnsi="黑体" w:eastAsia="黑体"/>
          <w:b/>
          <w:bCs/>
          <w:sz w:val="32"/>
          <w:szCs w:val="32"/>
        </w:rPr>
      </w:pPr>
      <w:r>
        <w:rPr>
          <w:rFonts w:hint="eastAsia" w:ascii="黑体" w:hAnsi="黑体" w:eastAsia="黑体" w:cs="宋体-方正超大字符集"/>
          <w:b/>
          <w:bCs/>
          <w:sz w:val="32"/>
          <w:szCs w:val="32"/>
        </w:rPr>
        <w:t>其他需要说明的事项</w:t>
      </w:r>
    </w:p>
    <w:p>
      <w:pPr>
        <w:autoSpaceDE w:val="0"/>
        <w:autoSpaceDN w:val="0"/>
        <w:adjustRightInd w:val="0"/>
        <w:jc w:val="left"/>
        <w:rPr>
          <w:rFonts w:ascii="宋体-方正超大字符集" w:hAnsi="宋体-方正超大字符集" w:eastAsia="宋体-方正超大字符集"/>
          <w:b/>
          <w:bCs/>
          <w:sz w:val="32"/>
          <w:szCs w:val="32"/>
        </w:rPr>
      </w:pPr>
      <w:r>
        <w:rPr>
          <w:rFonts w:hint="eastAsia" w:ascii="宋体-方正超大字符集" w:hAnsi="宋体-方正超大字符集" w:eastAsia="宋体-方正超大字符集" w:cs="宋体-方正超大字符集"/>
          <w:b/>
          <w:bCs/>
          <w:sz w:val="32"/>
          <w:szCs w:val="32"/>
        </w:rPr>
        <w:t>　　</w:t>
      </w:r>
      <w:r>
        <w:rPr>
          <w:rFonts w:hint="eastAsia" w:ascii="仿宋" w:hAnsi="仿宋" w:eastAsia="仿宋" w:cs="仿宋"/>
          <w:sz w:val="32"/>
          <w:szCs w:val="32"/>
        </w:rPr>
        <w:t>无</w:t>
      </w:r>
    </w:p>
    <w:sectPr>
      <w:headerReference r:id="rId6" w:type="first"/>
      <w:footerReference r:id="rId9" w:type="first"/>
      <w:headerReference r:id="rId4" w:type="default"/>
      <w:footerReference r:id="rId7" w:type="default"/>
      <w:headerReference r:id="rId5" w:type="even"/>
      <w:footerReference r:id="rId8" w:type="even"/>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auto"/>
    <w:pitch w:val="default"/>
    <w:sig w:usb0="61007A87" w:usb1="80000000" w:usb2="00000008" w:usb3="00000000" w:csb0="200101FF" w:csb1="20280000"/>
  </w:font>
  <w:font w:name="微软雅黑">
    <w:panose1 w:val="020B0503020204020204"/>
    <w:charset w:val="86"/>
    <w:family w:val="auto"/>
    <w:pitch w:val="default"/>
    <w:sig w:usb0="80000287" w:usb1="280F3C52" w:usb2="00000016" w:usb3="00000000" w:csb0="0004001F" w:csb1="00000000"/>
  </w:font>
  <w:font w:name="仿宋">
    <w:altName w:val="仿宋_GB2312"/>
    <w:panose1 w:val="02010609060101010101"/>
    <w:charset w:val="86"/>
    <w:family w:val="auto"/>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altName w:val="楷体_GB2312"/>
    <w:panose1 w:val="02010609060101010101"/>
    <w:charset w:val="86"/>
    <w:family w:val="auto"/>
    <w:pitch w:val="default"/>
    <w:sig w:usb0="00000000" w:usb1="00000000" w:usb2="00000016" w:usb3="00000000" w:csb0="00040001" w:csb1="00000000"/>
  </w:font>
  <w:font w:name="方正小标宋_GBK">
    <w:altName w:val="宋体"/>
    <w:panose1 w:val="00000000000000000000"/>
    <w:charset w:val="86"/>
    <w:family w:val="auto"/>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10" w:usb3="00000000" w:csb0="00040000" w:csb1="00000000"/>
  </w:font>
  <w:font w:name="方正楷体_GBK">
    <w:altName w:val="宋体"/>
    <w:panose1 w:val="00000000000000000000"/>
    <w:charset w:val="86"/>
    <w:family w:val="auto"/>
    <w:pitch w:val="default"/>
    <w:sig w:usb0="00000000" w:usb1="00000000" w:usb2="00000000" w:usb3="00000000" w:csb0="00040001" w:csb1="00000000"/>
  </w:font>
  <w:font w:name="宋体-方正超大字符集">
    <w:altName w:val="宋体"/>
    <w:panose1 w:val="03000509000000000000"/>
    <w:charset w:val="86"/>
    <w:family w:val="auto"/>
    <w:pitch w:val="default"/>
    <w:sig w:usb0="00000000" w:usb1="00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Arial Rounded MT Bold">
    <w:altName w:val="Arial"/>
    <w:panose1 w:val="020F0704030504030204"/>
    <w:charset w:val="00"/>
    <w:family w:val="auto"/>
    <w:pitch w:val="default"/>
    <w:sig w:usb0="00000000" w:usb1="00000000" w:usb2="00000000" w:usb3="00000000" w:csb0="20000001" w:csb1="00000000"/>
  </w:font>
  <w:font w:name="Palatino Linotype">
    <w:panose1 w:val="02040502050505030304"/>
    <w:charset w:val="00"/>
    <w:family w:val="auto"/>
    <w:pitch w:val="default"/>
    <w:sig w:usb0="E0000387" w:usb1="40000013" w:usb2="00000000" w:usb3="00000000" w:csb0="2000019F" w:csb1="00000000"/>
  </w:font>
  <w:font w:name="Arial">
    <w:panose1 w:val="020B0604020202020204"/>
    <w:charset w:val="00"/>
    <w:family w:val="auto"/>
    <w:pitch w:val="default"/>
    <w:sig w:usb0="00007A87" w:usb1="80000000" w:usb2="00000008"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4"/>
        <w:rPr>
          <w:rFonts w:hint="eastAsia"/>
        </w:rPr>
      </w:pPr>
      <w:r>
        <w:rPr>
          <w:rStyle w:val="6"/>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00000000"/>
    <w:lvl w:ilvl="0" w:tentative="0">
      <w:start w:val="9"/>
      <w:numFmt w:val="chineseCounting"/>
      <w:suff w:val="nothing"/>
      <w:lvlText w:val="%1、"/>
      <w:lvlJc w:val="left"/>
    </w:lvl>
  </w:abstractNum>
  <w:abstractNum w:abstractNumId="1">
    <w:nsid w:val="00000006"/>
    <w:multiLevelType w:val="multilevel"/>
    <w:tmpl w:val="00000006"/>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28D6024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9"/>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footnote text"/>
    <w:basedOn w:val="1"/>
    <w:link w:val="10"/>
    <w:uiPriority w:val="0"/>
    <w:pPr>
      <w:snapToGrid w:val="0"/>
      <w:jc w:val="left"/>
    </w:pPr>
    <w:rPr>
      <w:sz w:val="18"/>
      <w:szCs w:val="18"/>
    </w:rPr>
  </w:style>
  <w:style w:type="character" w:styleId="6">
    <w:name w:val="footnote reference"/>
    <w:uiPriority w:val="0"/>
    <w:rPr>
      <w:vertAlign w:val="superscript"/>
    </w:rPr>
  </w:style>
  <w:style w:type="character" w:customStyle="1" w:styleId="8">
    <w:name w:val="页脚 Char"/>
    <w:link w:val="2"/>
    <w:semiHidden/>
    <w:uiPriority w:val="0"/>
    <w:rPr>
      <w:rFonts w:ascii="Times New Roman" w:hAnsi="Times New Roman" w:eastAsia="宋体" w:cs="Times New Roman"/>
      <w:sz w:val="18"/>
      <w:szCs w:val="18"/>
    </w:rPr>
  </w:style>
  <w:style w:type="character" w:customStyle="1" w:styleId="9">
    <w:name w:val="页眉 Char"/>
    <w:link w:val="3"/>
    <w:semiHidden/>
    <w:uiPriority w:val="0"/>
    <w:rPr>
      <w:rFonts w:ascii="Times New Roman" w:hAnsi="Times New Roman" w:eastAsia="宋体" w:cs="Times New Roman"/>
      <w:sz w:val="18"/>
      <w:szCs w:val="18"/>
    </w:rPr>
  </w:style>
  <w:style w:type="character" w:customStyle="1" w:styleId="10">
    <w:name w:val="脚注文本 Char"/>
    <w:link w:val="4"/>
    <w:semiHidden/>
    <w:uiPriority w:val="0"/>
    <w:rPr>
      <w:sz w:val="18"/>
      <w:szCs w:val="18"/>
    </w:rPr>
  </w:style>
  <w:style w:type="paragraph" w:customStyle="1" w:styleId="11">
    <w:name w:val="List Paragraph1"/>
    <w:basedOn w:val="1"/>
    <w:uiPriority w:val="0"/>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11</Pages>
  <Words>611</Words>
  <Characters>3487</Characters>
  <Lines>29</Lines>
  <Paragraphs>8</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2017-08-22T17:42:00Z</dcterms:created>
  <dc:creator>微软用户</dc:creator>
  <cp:lastModifiedBy>Administrator</cp:lastModifiedBy>
  <dcterms:modified xsi:type="dcterms:W3CDTF">2021-08-30T08:47:08Z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