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Override PartName="/word/theme/themeOverride5.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mc:AlternateContent>
          <mc:Choice Requires="wps">
            <w:drawing>
              <wp:anchor distT="0" distB="0" distL="114300" distR="114300" simplePos="0" relativeHeight="251663360" behindDoc="0" locked="0" layoutInCell="1" allowOverlap="1">
                <wp:simplePos x="0" y="0"/>
                <wp:positionH relativeFrom="column">
                  <wp:posOffset>1628775</wp:posOffset>
                </wp:positionH>
                <wp:positionV relativeFrom="paragraph">
                  <wp:posOffset>7872730</wp:posOffset>
                </wp:positionV>
                <wp:extent cx="2131695" cy="517525"/>
                <wp:effectExtent l="0" t="0" r="0" b="0"/>
                <wp:wrapNone/>
                <wp:docPr id="9"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a:effectLst/>
                      </wps:spPr>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2021年8月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128.25pt;margin-top:619.9pt;height:40.75pt;width:167.85pt;z-index:251663360;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lzDbl3AAAAA0BAAAP&#10;AAAAAAAAAAEAIAAAACIAAABkcnMvZG93bnJldi54bWxQSwECFAAUAAAACACHTuJA5r2xj00CAACA&#10;BAAADgAAAAAAAAABACAAAAArAQAAZHJzL2Uyb0RvYy54bWxQSwUGAAAAAAYABgBZAQAA6gU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2021年8月</w:t>
                      </w:r>
                    </w:p>
                  </w:txbxContent>
                </v:textbox>
              </v:shape>
            </w:pict>
          </mc:Fallback>
        </mc:AlternateContent>
      </w:r>
      <w:r>
        <w:drawing>
          <wp:anchor distT="0" distB="0" distL="114300" distR="114300" simplePos="0" relativeHeight="251659264"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5"/>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b/>
          <w:bCs/>
          <w:sz w:val="48"/>
          <w:szCs w:val="52"/>
        </w:rPr>
      </w:pP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textFill>
            <w14:solidFill>
              <w14:schemeClr w14:val="tx1"/>
            </w14:solidFill>
          </w14:textFill>
        </w:rPr>
      </w:pPr>
      <w:r>
        <w:rPr>
          <w:rFonts w:hint="eastAsia" w:ascii="楷体_GB2312" w:hAnsi="楷体_GB2312" w:eastAsia="楷体_GB2312" w:cs="楷体_GB2312"/>
          <w:color w:val="000000" w:themeColor="text1"/>
          <w:kern w:val="0"/>
          <w:sz w:val="44"/>
          <w:szCs w:val="44"/>
          <w:lang w:eastAsia="zh-CN"/>
          <w14:textFill>
            <w14:solidFill>
              <w14:schemeClr w14:val="tx1"/>
            </w14:solidFill>
          </w14:textFill>
        </w:rPr>
        <w:t>无极县科学技术协会</w:t>
      </w:r>
    </w:p>
    <w:p>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r>
        <w:rPr>
          <w:rFonts w:hint="eastAsia" w:ascii="楷体_GB2312" w:hAnsi="楷体_GB2312" w:eastAsia="楷体_GB2312" w:cs="楷体_GB2312"/>
          <w:color w:val="000000" w:themeColor="text1"/>
          <w:kern w:val="0"/>
          <w:sz w:val="40"/>
          <w:szCs w:val="40"/>
          <w14:textFill>
            <w14:solidFill>
              <w14:schemeClr w14:val="tx1"/>
            </w14:solidFill>
          </w14:textFill>
        </w:rPr>
        <w:t>二〇二一年八月</w:t>
      </w:r>
    </w:p>
    <w:p>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p>
    <w:p>
      <w:pPr>
        <w:jc w:val="center"/>
        <w:rPr>
          <w:rFonts w:hint="eastAsia" w:ascii="黑体" w:hAnsi="黑体" w:eastAsia="黑体" w:cs="黑体"/>
          <w:sz w:val="72"/>
          <w:szCs w:val="96"/>
          <w:highlight w:val="yellow"/>
          <w:lang w:eastAsia="zh-CN"/>
        </w:rPr>
      </w:pPr>
      <w:r>
        <w:rPr>
          <w:rFonts w:hint="eastAsia" w:ascii="黑体" w:hAnsi="黑体" w:eastAsia="黑体" w:cs="黑体"/>
          <w:sz w:val="72"/>
          <w:szCs w:val="96"/>
          <w:lang w:eastAsia="zh-CN"/>
        </w:rPr>
        <w:t>无极县科学技术协会</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p>
    <w:p>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p>
    <w:p>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pPr>
    </w:p>
    <w:p>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textFill>
            <w14:solidFill>
              <w14:schemeClr w14:val="tx1"/>
            </w14:solidFill>
          </w14:textFill>
        </w:rPr>
        <w:t>二〇二一年八月</w:t>
      </w:r>
    </w:p>
    <w:p>
      <w:pPr>
        <w:snapToGrid w:val="0"/>
        <w:jc w:val="center"/>
        <w:rPr>
          <w:rFonts w:ascii="楷体_GB2312" w:hAnsi="楷体_GB2312" w:eastAsia="楷体_GB2312" w:cs="楷体_GB2312"/>
          <w:color w:val="000000" w:themeColor="text1"/>
          <w:kern w:val="0"/>
          <w:sz w:val="40"/>
          <w:szCs w:val="40"/>
          <w14:textFill>
            <w14:solidFill>
              <w14:schemeClr w14:val="tx1"/>
            </w14:solidFill>
          </w14:textFill>
        </w:rPr>
        <w:sectPr>
          <w:headerReference r:id="rId4" w:type="first"/>
          <w:footerReference r:id="rId5" w:type="first"/>
          <w:headerReference r:id="rId3" w:type="default"/>
          <w:pgSz w:w="11906" w:h="16838"/>
          <w:pgMar w:top="2098" w:right="1531" w:bottom="1984" w:left="1531" w:header="851" w:footer="992" w:gutter="0"/>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 name="文本框 1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12700" cap="flat" cmpd="sng">
                          <a:solidFill>
                            <a:srgbClr val="A6A6A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upright="1"/>
                    </wps:wsp>
                  </a:graphicData>
                </a:graphic>
              </wp:anchor>
            </w:drawing>
          </mc:Choice>
          <mc:Fallback>
            <w:pict>
              <v:shape id="文本框 17" o:spid="_x0000_s1026" o:spt="202" type="#_x0000_t202" style="position:absolute;left:0pt;margin-left:-85.7pt;margin-top:80.7pt;height:263.1pt;width:613.65pt;z-index:251661312;v-text-anchor:middle;mso-width-relative:page;mso-height-relative:page;" fillcolor="#7F7F7F"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A3/eYI3AAAAA0BAAAPAAAAAAAAAAEAIAAAACIAAABkcnMv&#10;ZG93bnJldi54bWxQSwECFAAUAAAACACHTuJA+DZxFDgCAACPBAAADgAAAAAAAAABACAAAAArAQAA&#10;ZHJzL2Uyb0RvYy54bWxQSwUGAAAAAAYABgBZAQAA1QUAAAAA&#10;">
                <v:fill type="pattern" on="t" color2="#FFFFFF" o:title="5%" focussize="0,0" r:id="rId16"/>
                <v:stroke weight="1pt" color="#A6A6A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80" w:lineRule="exact"/>
        <w:ind w:firstLine="640" w:firstLineChars="200"/>
        <w:rPr>
          <w:rFonts w:hint="eastAsia" w:ascii="仿宋_GB2312" w:hAnsi="Calibri" w:eastAsia="仿宋_GB2312" w:cs="Arial Black"/>
          <w:kern w:val="0"/>
          <w:sz w:val="32"/>
          <w:szCs w:val="32"/>
          <w:lang w:eastAsia="zh-CN"/>
        </w:rPr>
      </w:pPr>
      <w:r>
        <w:rPr>
          <w:rFonts w:hint="eastAsia" w:ascii="仿宋_GB2312" w:hAnsi="Calibri" w:eastAsia="仿宋_GB2312" w:cs="Arial Black"/>
          <w:kern w:val="0"/>
          <w:sz w:val="32"/>
          <w:szCs w:val="32"/>
          <w:lang w:eastAsia="zh-CN"/>
        </w:rPr>
        <w:t>1、开展学术交流，活跃学术思想，促进学科发展和知识创新。</w:t>
      </w:r>
    </w:p>
    <w:p>
      <w:pPr>
        <w:spacing w:line="580" w:lineRule="exact"/>
        <w:ind w:firstLine="640" w:firstLineChars="200"/>
        <w:rPr>
          <w:rFonts w:hint="eastAsia" w:ascii="仿宋_GB2312" w:hAnsi="Calibri" w:eastAsia="仿宋_GB2312" w:cs="Arial Black"/>
          <w:kern w:val="0"/>
          <w:sz w:val="32"/>
          <w:szCs w:val="32"/>
          <w:lang w:eastAsia="zh-CN"/>
        </w:rPr>
      </w:pPr>
      <w:r>
        <w:rPr>
          <w:rFonts w:hint="eastAsia" w:ascii="仿宋_GB2312" w:hAnsi="Calibri" w:eastAsia="仿宋_GB2312" w:cs="Arial Black"/>
          <w:kern w:val="0"/>
          <w:sz w:val="32"/>
          <w:szCs w:val="32"/>
          <w:lang w:eastAsia="zh-CN"/>
        </w:rPr>
        <w:t>2、普及科学知识，传播科学思想和科学方法，推广先进技术，开展青少年科学技术教育普及活动。</w:t>
      </w:r>
    </w:p>
    <w:p>
      <w:pPr>
        <w:spacing w:line="580" w:lineRule="exact"/>
        <w:ind w:firstLine="640" w:firstLineChars="200"/>
        <w:rPr>
          <w:rFonts w:hint="eastAsia" w:ascii="仿宋_GB2312" w:hAnsi="Calibri" w:eastAsia="仿宋_GB2312" w:cs="Arial Black"/>
          <w:kern w:val="0"/>
          <w:sz w:val="32"/>
          <w:szCs w:val="32"/>
          <w:lang w:eastAsia="zh-CN"/>
        </w:rPr>
      </w:pPr>
      <w:r>
        <w:rPr>
          <w:rFonts w:hint="eastAsia" w:ascii="仿宋_GB2312" w:hAnsi="Calibri" w:eastAsia="仿宋_GB2312" w:cs="Arial Black"/>
          <w:kern w:val="0"/>
          <w:sz w:val="32"/>
          <w:szCs w:val="32"/>
          <w:lang w:eastAsia="zh-CN"/>
        </w:rPr>
        <w:t>3、维护科学技术工作者的合法权益。反映科学技术工作者的意见和要求，组织科学技术工作者参与科技政策、有关地方性法规的拟定和国家事务的政治协商、科学决策、民主监督工作。组织实施科学技术普及法，完善建设“科技工作者之家”的各项举措，全心全意为科技工作服务。</w:t>
      </w:r>
    </w:p>
    <w:p>
      <w:pPr>
        <w:spacing w:line="580" w:lineRule="exact"/>
        <w:ind w:firstLine="640" w:firstLineChars="200"/>
        <w:rPr>
          <w:rFonts w:hint="eastAsia" w:ascii="仿宋_GB2312" w:hAnsi="Calibri" w:eastAsia="仿宋_GB2312" w:cs="Arial Black"/>
          <w:kern w:val="0"/>
          <w:sz w:val="32"/>
          <w:szCs w:val="32"/>
          <w:lang w:eastAsia="zh-CN"/>
        </w:rPr>
      </w:pPr>
      <w:r>
        <w:rPr>
          <w:rFonts w:hint="eastAsia" w:ascii="仿宋_GB2312" w:hAnsi="Calibri" w:eastAsia="仿宋_GB2312" w:cs="Arial Black"/>
          <w:kern w:val="0"/>
          <w:sz w:val="32"/>
          <w:szCs w:val="32"/>
          <w:lang w:eastAsia="zh-CN"/>
        </w:rPr>
        <w:t>4、表彰奖励优秀科学技术工作者，举荐人才。</w:t>
      </w:r>
    </w:p>
    <w:p>
      <w:pPr>
        <w:spacing w:line="580" w:lineRule="exact"/>
        <w:ind w:firstLine="640" w:firstLineChars="200"/>
        <w:rPr>
          <w:rFonts w:hint="eastAsia" w:ascii="仿宋_GB2312" w:hAnsi="Calibri" w:eastAsia="仿宋_GB2312" w:cs="Arial Black"/>
          <w:kern w:val="0"/>
          <w:sz w:val="32"/>
          <w:szCs w:val="32"/>
          <w:lang w:eastAsia="zh-CN"/>
        </w:rPr>
      </w:pPr>
      <w:r>
        <w:rPr>
          <w:rFonts w:hint="eastAsia" w:ascii="仿宋_GB2312" w:hAnsi="Calibri" w:eastAsia="仿宋_GB2312" w:cs="Arial Black"/>
          <w:kern w:val="0"/>
          <w:sz w:val="32"/>
          <w:szCs w:val="32"/>
          <w:lang w:eastAsia="zh-CN"/>
        </w:rPr>
        <w:t>5、开展科学论证、科技咨询服务工作，提出政策建议，促进科学技术成果的转化和技术创新。</w:t>
      </w:r>
    </w:p>
    <w:p>
      <w:pPr>
        <w:spacing w:line="580" w:lineRule="exact"/>
        <w:ind w:firstLine="640" w:firstLineChars="200"/>
        <w:rPr>
          <w:rFonts w:hint="eastAsia" w:ascii="仿宋_GB2312" w:hAnsi="Calibri" w:eastAsia="仿宋_GB2312" w:cs="Arial Black"/>
          <w:kern w:val="0"/>
          <w:sz w:val="32"/>
          <w:szCs w:val="32"/>
          <w:lang w:eastAsia="zh-CN"/>
        </w:rPr>
      </w:pPr>
      <w:r>
        <w:rPr>
          <w:rFonts w:hint="eastAsia" w:ascii="仿宋_GB2312" w:hAnsi="Calibri" w:eastAsia="仿宋_GB2312" w:cs="Arial Black"/>
          <w:kern w:val="0"/>
          <w:sz w:val="32"/>
          <w:szCs w:val="32"/>
          <w:lang w:eastAsia="zh-CN"/>
        </w:rPr>
        <w:t>6、开展科技交流活动，发展科学技术团体和科学技术工作者的友好交往。</w:t>
      </w:r>
    </w:p>
    <w:p>
      <w:pPr>
        <w:spacing w:line="580" w:lineRule="exact"/>
        <w:ind w:firstLine="640" w:firstLineChars="200"/>
        <w:rPr>
          <w:rFonts w:hint="eastAsia" w:ascii="仿宋_GB2312" w:hAnsi="Calibri" w:eastAsia="仿宋_GB2312" w:cs="Arial Black"/>
          <w:kern w:val="0"/>
          <w:sz w:val="32"/>
          <w:szCs w:val="32"/>
          <w:lang w:eastAsia="zh-CN"/>
        </w:rPr>
      </w:pPr>
      <w:r>
        <w:rPr>
          <w:rFonts w:hint="eastAsia" w:ascii="仿宋_GB2312" w:hAnsi="Calibri" w:eastAsia="仿宋_GB2312" w:cs="Arial Black"/>
          <w:kern w:val="0"/>
          <w:sz w:val="32"/>
          <w:szCs w:val="32"/>
          <w:lang w:eastAsia="zh-CN"/>
        </w:rPr>
        <w:t>7、开展科技工作者的继续教育和培训工作。</w:t>
      </w:r>
    </w:p>
    <w:p>
      <w:pPr>
        <w:spacing w:line="580" w:lineRule="exact"/>
        <w:ind w:firstLine="640" w:firstLineChars="200"/>
        <w:rPr>
          <w:rFonts w:hint="eastAsia" w:ascii="仿宋_GB2312" w:hAnsi="Calibri" w:eastAsia="仿宋_GB2312" w:cs="Arial Black"/>
          <w:kern w:val="0"/>
          <w:sz w:val="32"/>
          <w:szCs w:val="32"/>
          <w:lang w:eastAsia="zh-CN"/>
        </w:rPr>
      </w:pPr>
      <w:r>
        <w:rPr>
          <w:rFonts w:hint="eastAsia" w:ascii="仿宋_GB2312" w:hAnsi="Calibri" w:eastAsia="仿宋_GB2312" w:cs="Arial Black"/>
          <w:kern w:val="0"/>
          <w:sz w:val="32"/>
          <w:szCs w:val="32"/>
          <w:lang w:eastAsia="zh-CN"/>
        </w:rPr>
        <w:t>8、负责指导本县各乡镇科协，企业科协及所主管的有关学会和科技类社会团体工作。</w:t>
      </w:r>
    </w:p>
    <w:p>
      <w:pPr>
        <w:spacing w:line="580" w:lineRule="exact"/>
        <w:ind w:firstLine="640" w:firstLineChars="200"/>
        <w:rPr>
          <w:rFonts w:hint="eastAsia" w:ascii="仿宋_GB2312" w:hAnsi="Calibri" w:eastAsia="仿宋_GB2312" w:cs="Arial Black"/>
          <w:kern w:val="0"/>
          <w:sz w:val="32"/>
          <w:szCs w:val="32"/>
          <w:lang w:eastAsia="zh-CN"/>
        </w:rPr>
      </w:pPr>
      <w:r>
        <w:rPr>
          <w:rFonts w:hint="eastAsia" w:ascii="仿宋_GB2312" w:hAnsi="Calibri" w:eastAsia="仿宋_GB2312" w:cs="Arial Black"/>
          <w:kern w:val="0"/>
          <w:sz w:val="32"/>
          <w:szCs w:val="32"/>
          <w:lang w:eastAsia="zh-CN"/>
        </w:rPr>
        <w:t>9、参与指导全县的反邪教工作，积极组织全县科协系统开展反对伪科学、反科学活动。</w:t>
      </w:r>
    </w:p>
    <w:p>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10、承担</w:t>
      </w:r>
      <w:r>
        <w:rPr>
          <w:rFonts w:hint="eastAsia" w:ascii="仿宋_GB2312" w:hAnsi="Calibri" w:eastAsia="仿宋_GB2312" w:cs="Arial Black"/>
          <w:kern w:val="0"/>
          <w:sz w:val="32"/>
          <w:szCs w:val="32"/>
          <w:lang w:eastAsia="zh-CN"/>
        </w:rPr>
        <w:t>县</w:t>
      </w:r>
      <w:r>
        <w:rPr>
          <w:rFonts w:hint="eastAsia" w:ascii="仿宋_GB2312" w:hAnsi="Calibri" w:eastAsia="仿宋_GB2312" w:cs="Arial Black"/>
          <w:kern w:val="0"/>
          <w:sz w:val="32"/>
          <w:szCs w:val="32"/>
        </w:rPr>
        <w:t>委、</w:t>
      </w:r>
      <w:r>
        <w:rPr>
          <w:rFonts w:hint="eastAsia" w:ascii="仿宋_GB2312" w:hAnsi="Calibri" w:eastAsia="仿宋_GB2312" w:cs="Arial Black"/>
          <w:kern w:val="0"/>
          <w:sz w:val="32"/>
          <w:szCs w:val="32"/>
          <w:lang w:eastAsia="zh-CN"/>
        </w:rPr>
        <w:t>县</w:t>
      </w:r>
      <w:r>
        <w:rPr>
          <w:rFonts w:hint="eastAsia" w:ascii="仿宋_GB2312" w:hAnsi="Calibri" w:eastAsia="仿宋_GB2312" w:cs="Arial Black"/>
          <w:kern w:val="0"/>
          <w:sz w:val="32"/>
          <w:szCs w:val="32"/>
        </w:rPr>
        <w:t>政府交办的有关事宜。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426" w:type="dxa"/>
            <w:vAlign w:val="top"/>
          </w:tcPr>
          <w:p>
            <w:pPr>
              <w:spacing w:line="560" w:lineRule="exact"/>
              <w:rPr>
                <w:rFonts w:ascii="仿宋_GB2312" w:hAnsi="Calibri" w:eastAsia="仿宋_GB2312" w:cs="ArialUnicodeMS"/>
                <w:kern w:val="0"/>
                <w:sz w:val="28"/>
                <w:szCs w:val="28"/>
                <w:lang w:val="en-US" w:eastAsia="zh-CN" w:bidi="ar-SA"/>
              </w:rPr>
            </w:pPr>
            <w:r>
              <w:rPr>
                <w:rFonts w:hint="eastAsia" w:ascii="仿宋_GB2312" w:eastAsia="仿宋_GB2312" w:cs="ArialUnicodeMS" w:hAnsiTheme="minorHAnsi"/>
                <w:kern w:val="0"/>
                <w:sz w:val="28"/>
                <w:szCs w:val="28"/>
                <w:lang w:eastAsia="zh-CN"/>
              </w:rPr>
              <w:t>无极县科学技术协会</w:t>
            </w:r>
          </w:p>
        </w:tc>
        <w:tc>
          <w:tcPr>
            <w:tcW w:w="2404" w:type="dxa"/>
            <w:vAlign w:val="top"/>
          </w:tcPr>
          <w:p>
            <w:pPr>
              <w:spacing w:after="0" w:line="560" w:lineRule="exact"/>
              <w:jc w:val="center"/>
              <w:rPr>
                <w:rFonts w:ascii="仿宋_GB2312" w:hAnsi="Calibri" w:eastAsia="仿宋_GB2312" w:cs="ArialUnicodeMS"/>
                <w:kern w:val="0"/>
                <w:sz w:val="28"/>
                <w:szCs w:val="28"/>
                <w:lang w:val="en-US" w:eastAsia="zh-CN" w:bidi="ar-SA"/>
              </w:rPr>
            </w:pPr>
            <w:r>
              <w:rPr>
                <w:rFonts w:hint="eastAsia" w:ascii="仿宋_GB2312" w:eastAsia="仿宋_GB2312" w:cs="ArialUnicodeMS" w:hAnsiTheme="minorHAnsi"/>
                <w:kern w:val="0"/>
                <w:sz w:val="28"/>
                <w:szCs w:val="28"/>
                <w:lang w:eastAsia="zh-CN"/>
              </w:rPr>
              <w:t>行政单位</w:t>
            </w:r>
          </w:p>
        </w:tc>
        <w:tc>
          <w:tcPr>
            <w:tcW w:w="2622" w:type="dxa"/>
            <w:vAlign w:val="top"/>
          </w:tcPr>
          <w:p>
            <w:pPr>
              <w:spacing w:after="0" w:line="560" w:lineRule="exact"/>
              <w:jc w:val="center"/>
              <w:rPr>
                <w:rFonts w:ascii="仿宋_GB2312" w:hAnsi="Calibri" w:eastAsia="仿宋_GB2312" w:cs="ArialUnicodeMS"/>
                <w:kern w:val="0"/>
                <w:sz w:val="28"/>
                <w:szCs w:val="28"/>
                <w:lang w:val="en-US" w:eastAsia="zh-CN" w:bidi="ar-SA"/>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2</w:t>
            </w:r>
          </w:p>
        </w:tc>
        <w:tc>
          <w:tcPr>
            <w:tcW w:w="3426" w:type="dxa"/>
          </w:tcPr>
          <w:p>
            <w:pPr>
              <w:spacing w:line="560" w:lineRule="exact"/>
              <w:rPr>
                <w:rFonts w:ascii="仿宋_GB2312" w:hAnsi="Calibri" w:eastAsia="仿宋_GB2312" w:cs="Arial Black"/>
                <w:kern w:val="0"/>
                <w:sz w:val="28"/>
                <w:szCs w:val="28"/>
              </w:rPr>
            </w:pPr>
          </w:p>
        </w:tc>
        <w:tc>
          <w:tcPr>
            <w:tcW w:w="2404" w:type="dxa"/>
          </w:tcPr>
          <w:p>
            <w:pPr>
              <w:spacing w:line="560" w:lineRule="exact"/>
              <w:jc w:val="center"/>
              <w:rPr>
                <w:rFonts w:ascii="仿宋_GB2312" w:hAnsi="Calibri" w:eastAsia="仿宋_GB2312" w:cs="Arial Black"/>
                <w:kern w:val="0"/>
                <w:sz w:val="28"/>
                <w:szCs w:val="28"/>
              </w:rPr>
            </w:pPr>
          </w:p>
        </w:tc>
        <w:tc>
          <w:tcPr>
            <w:tcW w:w="2622" w:type="dxa"/>
          </w:tcPr>
          <w:p>
            <w:pPr>
              <w:spacing w:line="560" w:lineRule="exact"/>
              <w:jc w:val="center"/>
              <w:rPr>
                <w:rFonts w:ascii="仿宋_GB2312" w:hAnsi="Calibri" w:eastAsia="仿宋_GB2312" w:cs="Arial Blac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3</w:t>
            </w:r>
          </w:p>
        </w:tc>
        <w:tc>
          <w:tcPr>
            <w:tcW w:w="3426" w:type="dxa"/>
          </w:tcPr>
          <w:p>
            <w:pPr>
              <w:spacing w:line="560" w:lineRule="exact"/>
              <w:rPr>
                <w:rFonts w:ascii="仿宋_GB2312" w:hAnsi="Calibri" w:eastAsia="仿宋_GB2312" w:cs="Arial Black"/>
                <w:kern w:val="0"/>
                <w:sz w:val="28"/>
                <w:szCs w:val="28"/>
              </w:rPr>
            </w:pPr>
          </w:p>
        </w:tc>
        <w:tc>
          <w:tcPr>
            <w:tcW w:w="2404" w:type="dxa"/>
          </w:tcPr>
          <w:p>
            <w:pPr>
              <w:spacing w:line="560" w:lineRule="exact"/>
              <w:jc w:val="center"/>
              <w:rPr>
                <w:rFonts w:ascii="仿宋_GB2312" w:hAnsi="Calibri" w:eastAsia="仿宋_GB2312" w:cs="Arial Black"/>
                <w:kern w:val="0"/>
                <w:sz w:val="28"/>
                <w:szCs w:val="28"/>
              </w:rPr>
            </w:pPr>
          </w:p>
        </w:tc>
        <w:tc>
          <w:tcPr>
            <w:tcW w:w="2622" w:type="dxa"/>
          </w:tcPr>
          <w:p>
            <w:pPr>
              <w:spacing w:line="560" w:lineRule="exact"/>
              <w:jc w:val="center"/>
              <w:rPr>
                <w:rFonts w:ascii="仿宋_GB2312" w:hAnsi="Calibri" w:eastAsia="仿宋_GB2312" w:cs="Arial Blac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tcPr>
          <w:p>
            <w:pPr>
              <w:spacing w:line="560" w:lineRule="exact"/>
              <w:jc w:val="center"/>
              <w:rPr>
                <w:rFonts w:ascii="仿宋_GB2312" w:hAnsi="Calibri" w:eastAsia="仿宋_GB2312" w:cs="Arial Black"/>
                <w:kern w:val="0"/>
                <w:sz w:val="28"/>
                <w:szCs w:val="28"/>
              </w:rPr>
            </w:pPr>
            <w:r>
              <w:rPr>
                <w:rFonts w:hint="eastAsia" w:ascii="仿宋_GB2312" w:hAnsi="Calibri" w:eastAsia="仿宋_GB2312" w:cs="Arial Black"/>
                <w:kern w:val="0"/>
                <w:sz w:val="28"/>
                <w:szCs w:val="28"/>
              </w:rPr>
              <w:t>……</w:t>
            </w:r>
          </w:p>
        </w:tc>
        <w:tc>
          <w:tcPr>
            <w:tcW w:w="3426" w:type="dxa"/>
            <w:tcBorders>
              <w:bottom w:val="single" w:color="auto" w:sz="4" w:space="0"/>
            </w:tcBorders>
          </w:tcPr>
          <w:p>
            <w:pPr>
              <w:spacing w:line="560" w:lineRule="exact"/>
              <w:rPr>
                <w:rFonts w:ascii="仿宋_GB2312" w:hAnsi="Calibri" w:eastAsia="仿宋_GB2312" w:cs="Arial Black"/>
                <w:kern w:val="0"/>
                <w:sz w:val="28"/>
                <w:szCs w:val="28"/>
              </w:rPr>
            </w:pPr>
            <w:r>
              <w:rPr>
                <w:rFonts w:hint="eastAsia" w:ascii="仿宋_GB2312" w:hAnsi="Calibri" w:eastAsia="仿宋_GB2312" w:cs="Arial Black"/>
                <w:kern w:val="0"/>
                <w:sz w:val="28"/>
                <w:szCs w:val="28"/>
              </w:rPr>
              <w:t>……………</w:t>
            </w:r>
          </w:p>
        </w:tc>
        <w:tc>
          <w:tcPr>
            <w:tcW w:w="2404" w:type="dxa"/>
            <w:tcBorders>
              <w:bottom w:val="single" w:color="auto" w:sz="4" w:space="0"/>
            </w:tcBorders>
          </w:tcPr>
          <w:p>
            <w:pPr>
              <w:spacing w:line="560" w:lineRule="exact"/>
              <w:jc w:val="center"/>
              <w:rPr>
                <w:rFonts w:ascii="仿宋_GB2312" w:hAnsi="Calibri" w:eastAsia="仿宋_GB2312" w:cs="Arial Black"/>
                <w:kern w:val="0"/>
                <w:sz w:val="28"/>
                <w:szCs w:val="28"/>
              </w:rPr>
            </w:pPr>
          </w:p>
        </w:tc>
        <w:tc>
          <w:tcPr>
            <w:tcW w:w="2622" w:type="dxa"/>
            <w:tcBorders>
              <w:bottom w:val="single" w:color="auto" w:sz="4" w:space="0"/>
            </w:tcBorders>
          </w:tcPr>
          <w:p>
            <w:pPr>
              <w:spacing w:line="560" w:lineRule="exact"/>
              <w:jc w:val="center"/>
              <w:rPr>
                <w:rFonts w:ascii="仿宋_GB2312" w:hAnsi="Calibri" w:eastAsia="仿宋_GB2312" w:cs="Arial Blac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2、经费形式分为财政拨款、财政性资金基本保证、财政性资金定额或定项补助、财政性资金零补助四类。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438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438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5408" behindDoc="0" locked="0" layoutInCell="1" allowOverlap="1">
                <wp:simplePos x="0" y="0"/>
                <wp:positionH relativeFrom="column">
                  <wp:posOffset>-1028065</wp:posOffset>
                </wp:positionH>
                <wp:positionV relativeFrom="paragraph">
                  <wp:posOffset>-2637155</wp:posOffset>
                </wp:positionV>
                <wp:extent cx="7793355" cy="3341370"/>
                <wp:effectExtent l="6350" t="6350" r="10795" b="24130"/>
                <wp:wrapNone/>
                <wp:docPr id="3" name="文本框 1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12700" cap="flat" cmpd="sng">
                          <a:solidFill>
                            <a:srgbClr val="A6A6A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2020年部门决算情况说明</w:t>
                            </w:r>
                          </w:p>
                          <w:p>
                            <w:pPr>
                              <w:widowControl/>
                              <w:jc w:val="center"/>
                            </w:pPr>
                          </w:p>
                          <w:p/>
                        </w:txbxContent>
                      </wps:txbx>
                      <wps:bodyPr anchor="ctr" upright="1"/>
                    </wps:wsp>
                  </a:graphicData>
                </a:graphic>
              </wp:anchor>
            </w:drawing>
          </mc:Choice>
          <mc:Fallback>
            <w:pict>
              <v:shape id="文本框 15" o:spid="_x0000_s1026" o:spt="202" type="#_x0000_t202" style="position:absolute;left:0pt;margin-left:-80.95pt;margin-top:-207.65pt;height:263.1pt;width:613.65pt;z-index:251665408;v-text-anchor:middle;mso-width-relative:page;mso-height-relative:page;" fillcolor="#7F7F7F"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&#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LwXDtHdAAAADgEAAA8AAAAAAAAAAQAgAAAAIgAAAGRy&#10;cy9kb3ducmV2LnhtbFBLAQIUABQAAAAIAIdO4kD5CsWFOQIAAI8EAAAOAAAAAAAAAAEAIAAAACwB&#10;AABkcnMvZTJvRG9jLnhtbFBLBQYAAAAABgAGAFkBAADXBQAAAAA=&#10;">
                <v:fill type="pattern" on="t" color2="#FFFFFF" o:title="5%" focussize="0,0" r:id="rId16"/>
                <v:stroke weight="1pt" color="#A6A6A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2020年部门决算情况说明</w:t>
                      </w:r>
                    </w:p>
                    <w:p>
                      <w:pPr>
                        <w:widowControl/>
                        <w:jc w:val="cente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hint="default"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166.32</w:t>
      </w:r>
      <w:r>
        <w:rPr>
          <w:rFonts w:hint="eastAsia" w:ascii="仿宋_GB2312" w:hAnsi="Times New Roman" w:eastAsia="仿宋_GB2312" w:cs="Wingdings"/>
          <w:sz w:val="32"/>
          <w:szCs w:val="32"/>
        </w:rPr>
        <w:t>万元。与2019年度决算相比，收支各增加</w:t>
      </w:r>
      <w:r>
        <w:rPr>
          <w:rFonts w:hint="eastAsia" w:ascii="仿宋_GB2312" w:hAnsi="Times New Roman" w:eastAsia="仿宋_GB2312" w:cs="Wingdings"/>
          <w:sz w:val="32"/>
          <w:szCs w:val="32"/>
          <w:lang w:val="en-US" w:eastAsia="zh-CN"/>
        </w:rPr>
        <w:t>20.48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24.56</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单位调入人员一名和上级拨付基层科普行动奖补资金款</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今年统计的是收支总计数，</w:t>
      </w:r>
      <w:r>
        <w:rPr>
          <w:rFonts w:hint="eastAsia" w:ascii="仿宋_GB2312" w:hAnsi="Times New Roman" w:eastAsia="仿宋_GB2312" w:cs="Wingdings"/>
          <w:sz w:val="32"/>
          <w:szCs w:val="32"/>
          <w:lang w:val="en-US" w:eastAsia="zh-CN"/>
        </w:rPr>
        <w:t>2019年统计的是收支单计数。</w:t>
      </w:r>
    </w:p>
    <w:p>
      <w:pPr>
        <w:adjustRightInd w:val="0"/>
        <w:snapToGrid w:val="0"/>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0288" behindDoc="1" locked="0" layoutInCell="1" allowOverlap="1">
            <wp:simplePos x="0" y="0"/>
            <wp:positionH relativeFrom="column">
              <wp:posOffset>744220</wp:posOffset>
            </wp:positionH>
            <wp:positionV relativeFrom="paragraph">
              <wp:posOffset>62230</wp:posOffset>
            </wp:positionV>
            <wp:extent cx="4157980" cy="2273300"/>
            <wp:effectExtent l="0" t="0" r="1397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ind w:firstLine="640" w:firstLineChars="200"/>
        <w:rPr>
          <w:rFonts w:ascii="仿宋_GB2312" w:hAnsi="Times New Roman" w:eastAsia="仿宋_GB2312" w:cs="Wingdings"/>
          <w:sz w:val="32"/>
          <w:szCs w:val="32"/>
        </w:rPr>
      </w:pPr>
    </w:p>
    <w:p>
      <w:pPr>
        <w:tabs>
          <w:tab w:val="left" w:pos="5800"/>
        </w:tabs>
        <w:adjustRightInd w:val="0"/>
        <w:snapToGrid w:val="0"/>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ind w:firstLine="640" w:firstLineChars="200"/>
        <w:rPr>
          <w:rFonts w:ascii="仿宋_GB2312" w:hAnsi="Times New Roman" w:eastAsia="仿宋_GB2312" w:cs="Wingdings"/>
          <w:sz w:val="32"/>
          <w:szCs w:val="32"/>
        </w:rPr>
      </w:pPr>
    </w:p>
    <w:p>
      <w:pPr>
        <w:tabs>
          <w:tab w:val="left" w:pos="2820"/>
        </w:tabs>
        <w:adjustRightInd w:val="0"/>
        <w:snapToGrid w:val="0"/>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ind w:firstLine="640" w:firstLineChars="200"/>
        <w:outlineLvl w:val="1"/>
        <w:rPr>
          <w:rFonts w:ascii="黑体" w:hAnsi="Calibri" w:eastAsia="黑体" w:cs="Times New Roman"/>
          <w:sz w:val="32"/>
          <w:szCs w:val="32"/>
        </w:rPr>
      </w:pPr>
    </w:p>
    <w:p>
      <w:pPr>
        <w:keepNext/>
        <w:keepLines/>
        <w:snapToGrid w:val="0"/>
        <w:ind w:firstLine="640" w:firstLineChars="200"/>
        <w:outlineLvl w:val="1"/>
        <w:rPr>
          <w:rFonts w:ascii="黑体" w:hAnsi="Calibri" w:eastAsia="黑体" w:cs="Times New Roman"/>
          <w:sz w:val="32"/>
          <w:szCs w:val="32"/>
        </w:rPr>
      </w:pPr>
    </w:p>
    <w:p>
      <w:pPr>
        <w:keepNext/>
        <w:keepLines/>
        <w:snapToGrid w:val="0"/>
        <w:ind w:firstLine="640" w:firstLineChars="200"/>
        <w:outlineLvl w:val="1"/>
        <w:rPr>
          <w:rFonts w:ascii="黑体" w:hAnsi="Calibri" w:eastAsia="黑体" w:cs="Times New Roman"/>
          <w:sz w:val="32"/>
          <w:szCs w:val="32"/>
        </w:rPr>
      </w:pPr>
    </w:p>
    <w:p>
      <w:pPr>
        <w:keepNext/>
        <w:keepLines/>
        <w:snapToGrid w:val="0"/>
        <w:ind w:firstLine="640" w:firstLineChars="200"/>
        <w:outlineLvl w:val="1"/>
        <w:rPr>
          <w:rFonts w:ascii="黑体" w:hAnsi="Calibri" w:eastAsia="黑体" w:cs="Times New Roman"/>
          <w:sz w:val="32"/>
          <w:szCs w:val="32"/>
        </w:rPr>
      </w:pPr>
    </w:p>
    <w:p>
      <w:pPr>
        <w:keepNext/>
        <w:keepLines/>
        <w:snapToGrid w:val="0"/>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本部门2020年度本年收入合计</w:t>
      </w:r>
      <w:r>
        <w:rPr>
          <w:rFonts w:hint="eastAsia" w:ascii="仿宋_GB2312" w:hAnsi="Times New Roman" w:eastAsia="仿宋_GB2312" w:cs="Wingdings"/>
          <w:sz w:val="32"/>
          <w:szCs w:val="32"/>
          <w:lang w:val="en-US" w:eastAsia="zh-CN"/>
        </w:rPr>
        <w:t>82.93</w:t>
      </w:r>
      <w:r>
        <w:rPr>
          <w:rFonts w:hint="eastAsia" w:ascii="仿宋_GB2312" w:hAnsi="Times New Roman" w:eastAsia="仿宋_GB2312" w:cs="Wingdings"/>
          <w:sz w:val="32"/>
          <w:szCs w:val="32"/>
        </w:rPr>
        <w:t>万元，其中：财政拨</w:t>
      </w:r>
    </w:p>
    <w:p>
      <w:pPr>
        <w:adjustRightInd w:val="0"/>
        <w:snapToGrid w:val="0"/>
        <w:spacing w:line="600" w:lineRule="exact"/>
        <w:ind w:firstLine="640" w:firstLineChars="200"/>
        <w:jc w:val="left"/>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款收入</w:t>
      </w:r>
      <w:r>
        <w:rPr>
          <w:rFonts w:hint="eastAsia" w:ascii="仿宋_GB2312" w:hAnsi="Times New Roman" w:eastAsia="仿宋_GB2312" w:cs="Wingdings"/>
          <w:sz w:val="32"/>
          <w:szCs w:val="32"/>
          <w:lang w:val="en-US" w:eastAsia="zh-CN"/>
        </w:rPr>
        <w:t>82.93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100</w:t>
      </w:r>
      <w:r>
        <w:rPr>
          <w:rFonts w:hint="eastAsia" w:ascii="仿宋_GB2312" w:hAnsi="Times New Roman" w:eastAsia="仿宋_GB2312" w:cs="Wingdings"/>
          <w:sz w:val="32"/>
          <w:szCs w:val="32"/>
        </w:rPr>
        <w:t>%；事业收入</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%；经营收入</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%；其他收入</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%。如图所示</w:t>
      </w:r>
      <w:r>
        <w:rPr>
          <w:rFonts w:hint="eastAsia" w:ascii="仿宋_GB2312" w:hAnsi="Times New Roman" w:eastAsia="仿宋_GB2312" w:cs="Wingdings"/>
          <w:sz w:val="32"/>
          <w:szCs w:val="32"/>
          <w:lang w:eastAsia="zh-CN"/>
        </w:rPr>
        <w:t>：</w:t>
      </w:r>
    </w:p>
    <w:p>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eastAsia="仿宋_GB2312" w:cs="DengXian-Regular"/>
          <w:sz w:val="32"/>
          <w:szCs w:val="32"/>
          <w:lang w:eastAsia="zh-CN"/>
        </w:rPr>
        <w:drawing>
          <wp:anchor distT="0" distB="0" distL="114300" distR="114300" simplePos="0" relativeHeight="251667456" behindDoc="0" locked="0" layoutInCell="1" allowOverlap="1">
            <wp:simplePos x="0" y="0"/>
            <wp:positionH relativeFrom="column">
              <wp:posOffset>546735</wp:posOffset>
            </wp:positionH>
            <wp:positionV relativeFrom="paragraph">
              <wp:posOffset>193040</wp:posOffset>
            </wp:positionV>
            <wp:extent cx="5090160" cy="3590290"/>
            <wp:effectExtent l="4445" t="4445" r="10795" b="5715"/>
            <wp:wrapTopAndBottom/>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仿宋_GB2312" w:hAnsi="Times New Roman" w:eastAsia="仿宋_GB2312" w:cs="Wingdings"/>
          <w:sz w:val="32"/>
          <w:szCs w:val="32"/>
          <w:lang w:val="en-US" w:eastAsia="zh-CN"/>
        </w:rPr>
        <w:t xml:space="preserve">                 </w:t>
      </w:r>
      <w:r>
        <w:rPr>
          <w:rFonts w:hint="eastAsia" w:ascii="仿宋_GB2312" w:eastAsia="仿宋_GB2312" w:cs="DengXian-Regular"/>
          <w:sz w:val="32"/>
          <w:szCs w:val="32"/>
          <w:lang w:val="en-US" w:eastAsia="zh-CN"/>
        </w:rPr>
        <w:t xml:space="preserve"> </w:t>
      </w:r>
      <w:r>
        <w:rPr>
          <w:rFonts w:hint="eastAsia" w:asciiTheme="minorHAnsi" w:eastAsiaTheme="minorEastAsia"/>
          <w:sz w:val="32"/>
          <w:szCs w:val="32"/>
          <w:lang w:val="en-US" w:eastAsia="zh-CN"/>
        </w:rPr>
        <w:t>图1：收入决算构成情况</w:t>
      </w:r>
    </w:p>
    <w:p>
      <w:pPr>
        <w:snapToGrid w:val="0"/>
        <w:ind w:firstLine="640" w:firstLineChars="200"/>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83.39</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72.36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86.77</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11.03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13.22</w:t>
      </w:r>
      <w:r>
        <w:rPr>
          <w:rFonts w:hint="eastAsia" w:ascii="仿宋_GB2312" w:hAnsi="Times New Roman" w:eastAsia="仿宋_GB2312" w:cs="Wingdings"/>
          <w:sz w:val="32"/>
          <w:szCs w:val="32"/>
        </w:rPr>
        <w:t>%；经营支出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%。如图所示：</w:t>
      </w: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ind w:firstLine="640" w:firstLineChars="200"/>
        <w:rPr>
          <w:rFonts w:ascii="仿宋_GB2312" w:hAnsi="Times New Roman" w:eastAsia="仿宋_GB2312" w:cs="Wingdings"/>
          <w:sz w:val="32"/>
          <w:szCs w:val="32"/>
        </w:rPr>
      </w:pPr>
    </w:p>
    <w:p>
      <w:pPr>
        <w:adjustRightInd w:val="0"/>
        <w:snapToGrid w:val="0"/>
        <w:ind w:firstLine="1920" w:firstLineChars="600"/>
        <w:rPr>
          <w:rFonts w:ascii="仿宋_GB2312" w:hAnsi="Times New Roman" w:eastAsia="仿宋_GB2312" w:cs="Wingdings"/>
          <w:sz w:val="32"/>
          <w:szCs w:val="32"/>
        </w:rPr>
      </w:pPr>
    </w:p>
    <w:p>
      <w:pPr>
        <w:keepNext/>
        <w:keepLines/>
        <w:snapToGrid w:val="0"/>
        <w:spacing w:line="600" w:lineRule="exact"/>
        <w:ind w:firstLine="640" w:firstLineChars="200"/>
        <w:outlineLvl w:val="1"/>
        <w:rPr>
          <w:rFonts w:hint="eastAsia" w:ascii="黑体" w:hAnsi="Calibri" w:eastAsia="黑体" w:cs="Times New Roman"/>
          <w:sz w:val="32"/>
          <w:szCs w:val="32"/>
        </w:rPr>
      </w:pPr>
    </w:p>
    <w:p>
      <w:pPr>
        <w:keepNext/>
        <w:keepLines/>
        <w:snapToGrid w:val="0"/>
        <w:spacing w:line="600" w:lineRule="exact"/>
        <w:ind w:firstLine="640" w:firstLineChars="200"/>
        <w:outlineLvl w:val="1"/>
        <w:rPr>
          <w:rFonts w:hint="eastAsia" w:ascii="黑体" w:hAnsi="Calibri" w:eastAsia="黑体" w:cs="Times New Roman"/>
          <w:sz w:val="32"/>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1560195</wp:posOffset>
                </wp:positionH>
                <wp:positionV relativeFrom="paragraph">
                  <wp:posOffset>4652010</wp:posOffset>
                </wp:positionV>
                <wp:extent cx="3401695" cy="372745"/>
                <wp:effectExtent l="0" t="0" r="8255" b="8255"/>
                <wp:wrapNone/>
                <wp:docPr id="155" name="文本框 32"/>
                <wp:cNvGraphicFramePr/>
                <a:graphic xmlns:a="http://schemas.openxmlformats.org/drawingml/2006/main">
                  <a:graphicData uri="http://schemas.microsoft.com/office/word/2010/wordprocessingShape">
                    <wps:wsp>
                      <wps:cNvSpPr txBox="1"/>
                      <wps:spPr>
                        <a:xfrm>
                          <a:off x="2341880" y="10003790"/>
                          <a:ext cx="3401695" cy="372745"/>
                        </a:xfrm>
                        <a:prstGeom prst="rect">
                          <a:avLst/>
                        </a:prstGeom>
                        <a:solidFill>
                          <a:srgbClr val="FFFFFF"/>
                        </a:solidFill>
                        <a:ln w="6350">
                          <a:noFill/>
                        </a:ln>
                        <a:effectLst/>
                      </wps:spPr>
                      <wps:txbx>
                        <w:txbxContent>
                          <w:p>
                            <w:pPr>
                              <w:adjustRightInd w:val="0"/>
                              <w:snapToGrid w:val="0"/>
                              <w:spacing w:after="160"/>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图</w:t>
                            </w:r>
                            <w:r>
                              <w:rPr>
                                <w:rFonts w:hint="eastAsia" w:ascii="楷体_GB2312" w:hAnsi="楷体_GB2312" w:eastAsia="楷体_GB2312" w:cs="楷体_GB2312"/>
                                <w:sz w:val="32"/>
                                <w:szCs w:val="32"/>
                                <w:lang w:val="en-US" w:eastAsia="zh-CN"/>
                              </w:rPr>
                              <w:t>2</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支出</w:t>
                            </w:r>
                            <w:r>
                              <w:rPr>
                                <w:rFonts w:hint="eastAsia" w:ascii="楷体_GB2312" w:hAnsi="楷体_GB2312" w:eastAsia="楷体_GB2312" w:cs="楷体_GB2312"/>
                                <w:sz w:val="32"/>
                                <w:szCs w:val="32"/>
                              </w:rPr>
                              <w:t>构成情况</w:t>
                            </w:r>
                          </w:p>
                          <w:p>
                            <w:pPr>
                              <w:spacing w:after="160"/>
                              <w:rPr>
                                <w:rFonts w:ascii="楷体_GB2312" w:hAnsi="楷体_GB2312" w:eastAsia="楷体_GB2312" w:cs="楷体_GB2312"/>
                                <w:sz w:val="18"/>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22.85pt;margin-top:366.3pt;height:29.35pt;width:267.85pt;z-index:251663360;mso-width-relative:page;mso-height-relative:page;" fillcolor="#FFFFFF" filled="t" stroked="f" coordsize="21600,21600" o:gfxdata="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G9S5M/XAAAACwEAAA8AAAAAAAAAAQAgAAAAIgAAAGRycy9kb3ducmV2LnhtbFBLAQIUABQA&#10;AAAIAIdO4kBbBAtNYwIAAK0EAAAOAAAAAAAAAAEAIAAAACYBAABkcnMvZTJvRG9jLnhtbFBLBQYA&#10;AAAABgAGAFkBAAD7BQAAAAA=&#10;">
                <v:fill on="t" focussize="0,0"/>
                <v:stroke on="f" weight="0.5pt"/>
                <v:imagedata o:title=""/>
                <o:lock v:ext="edit" aspectratio="f"/>
                <v:textbox>
                  <w:txbxContent>
                    <w:p>
                      <w:pPr>
                        <w:adjustRightInd w:val="0"/>
                        <w:snapToGrid w:val="0"/>
                        <w:spacing w:after="160"/>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图</w:t>
                      </w:r>
                      <w:r>
                        <w:rPr>
                          <w:rFonts w:hint="eastAsia" w:ascii="楷体_GB2312" w:hAnsi="楷体_GB2312" w:eastAsia="楷体_GB2312" w:cs="楷体_GB2312"/>
                          <w:sz w:val="32"/>
                          <w:szCs w:val="32"/>
                          <w:lang w:val="en-US" w:eastAsia="zh-CN"/>
                        </w:rPr>
                        <w:t>2</w:t>
                      </w: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lang w:eastAsia="zh-CN"/>
                        </w:rPr>
                        <w:t>支出</w:t>
                      </w:r>
                      <w:r>
                        <w:rPr>
                          <w:rFonts w:hint="eastAsia" w:ascii="楷体_GB2312" w:hAnsi="楷体_GB2312" w:eastAsia="楷体_GB2312" w:cs="楷体_GB2312"/>
                          <w:sz w:val="32"/>
                          <w:szCs w:val="32"/>
                        </w:rPr>
                        <w:t>构成情况</w:t>
                      </w:r>
                    </w:p>
                    <w:p>
                      <w:pPr>
                        <w:spacing w:after="160"/>
                        <w:rPr>
                          <w:rFonts w:ascii="楷体_GB2312" w:hAnsi="楷体_GB2312" w:eastAsia="楷体_GB2312" w:cs="楷体_GB2312"/>
                          <w:sz w:val="18"/>
                          <w:szCs w:val="22"/>
                        </w:rPr>
                      </w:pPr>
                    </w:p>
                  </w:txbxContent>
                </v:textbox>
              </v:shape>
            </w:pict>
          </mc:Fallback>
        </mc:AlternateContent>
      </w:r>
      <w:r>
        <w:rPr>
          <w:rFonts w:hint="eastAsia" w:ascii="仿宋_GB2312" w:eastAsia="仿宋_GB2312" w:cs="DengXian-Regular"/>
          <w:sz w:val="32"/>
          <w:szCs w:val="32"/>
          <w:lang w:eastAsia="zh-CN"/>
        </w:rPr>
        <w:drawing>
          <wp:anchor distT="0" distB="0" distL="114300" distR="114300" simplePos="0" relativeHeight="251668480" behindDoc="0" locked="0" layoutInCell="1" allowOverlap="1">
            <wp:simplePos x="0" y="0"/>
            <wp:positionH relativeFrom="column">
              <wp:posOffset>251460</wp:posOffset>
            </wp:positionH>
            <wp:positionV relativeFrom="paragraph">
              <wp:posOffset>63500</wp:posOffset>
            </wp:positionV>
            <wp:extent cx="5222240" cy="4276725"/>
            <wp:effectExtent l="4445" t="4445" r="12065" b="5080"/>
            <wp:wrapTopAndBottom/>
            <wp:docPr id="43" name="图表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keepNext/>
        <w:keepLines/>
        <w:snapToGrid w:val="0"/>
        <w:spacing w:line="600" w:lineRule="exact"/>
        <w:ind w:firstLine="640" w:firstLineChars="200"/>
        <w:outlineLvl w:val="1"/>
        <w:rPr>
          <w:rFonts w:hint="eastAsia"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hint="eastAsia"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本部门2020年度财政拨款收支均为一般公共预算财政拨款，其中本年收入</w:t>
      </w:r>
      <w:r>
        <w:rPr>
          <w:rFonts w:hint="eastAsia" w:ascii="仿宋_GB2312" w:hAnsi="Times New Roman" w:eastAsia="仿宋_GB2312" w:cs="Wingdings"/>
          <w:sz w:val="32"/>
          <w:szCs w:val="32"/>
          <w:lang w:val="en-US" w:eastAsia="zh-CN"/>
        </w:rPr>
        <w:t>82.93</w:t>
      </w:r>
      <w:r>
        <w:rPr>
          <w:rFonts w:hint="eastAsia" w:ascii="仿宋_GB2312" w:hAnsi="Times New Roman" w:eastAsia="仿宋_GB2312" w:cs="Wingdings"/>
          <w:sz w:val="32"/>
          <w:szCs w:val="32"/>
        </w:rPr>
        <w:t>万元,比2019年度增加</w:t>
      </w:r>
      <w:r>
        <w:rPr>
          <w:rFonts w:hint="eastAsia" w:ascii="仿宋_GB2312" w:hAnsi="Times New Roman" w:eastAsia="仿宋_GB2312" w:cs="Wingdings"/>
          <w:sz w:val="32"/>
          <w:szCs w:val="32"/>
          <w:lang w:val="en-US" w:eastAsia="zh-CN"/>
        </w:rPr>
        <w:t>20.48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24.69</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单位调入人员一名和增加上级拨付基层科普行动奖补资金款</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83.39</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20.94</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25.11</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eastAsia="zh-CN"/>
        </w:rPr>
        <w:t>单位调入人员一名和增加上级拨付基层科普行动奖补资金款</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rPr>
      </w:pPr>
    </w:p>
    <w:p>
      <w:pPr>
        <w:snapToGrid w:val="0"/>
        <w:spacing w:line="600" w:lineRule="exact"/>
        <w:ind w:firstLine="640" w:firstLineChars="200"/>
        <w:rPr>
          <w:rFonts w:hint="eastAsia" w:ascii="楷体_GB2312" w:hAnsi="Times New Roman" w:eastAsia="楷体_GB2312" w:cs="Mongolian Baiti"/>
          <w:b/>
          <w:bCs/>
          <w:sz w:val="32"/>
          <w:szCs w:val="32"/>
        </w:rPr>
      </w:pPr>
      <w:r>
        <w:rPr>
          <w:rFonts w:hint="eastAsia" w:ascii="仿宋_GB2312" w:eastAsia="仿宋_GB2312" w:cs="DengXian-Regular"/>
          <w:sz w:val="32"/>
          <w:szCs w:val="32"/>
          <w:lang w:eastAsia="zh-CN"/>
        </w:rPr>
        <w:drawing>
          <wp:anchor distT="0" distB="0" distL="114300" distR="114300" simplePos="0" relativeHeight="251669504" behindDoc="0" locked="0" layoutInCell="1" allowOverlap="1">
            <wp:simplePos x="0" y="0"/>
            <wp:positionH relativeFrom="column">
              <wp:posOffset>184785</wp:posOffset>
            </wp:positionH>
            <wp:positionV relativeFrom="paragraph">
              <wp:posOffset>358140</wp:posOffset>
            </wp:positionV>
            <wp:extent cx="5080000" cy="3810000"/>
            <wp:effectExtent l="4445" t="4445" r="20955" b="14605"/>
            <wp:wrapTopAndBottom/>
            <wp:docPr id="41" name="图表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adjustRightInd w:val="0"/>
        <w:snapToGrid w:val="0"/>
        <w:spacing w:line="580" w:lineRule="exact"/>
        <w:jc w:val="center"/>
        <w:rPr>
          <w:rFonts w:hint="eastAsia" w:ascii="仿宋_GB2312" w:hAnsi="Times New Roman" w:eastAsia="仿宋_GB2312" w:cs="DengXian-Regular"/>
          <w:sz w:val="32"/>
          <w:szCs w:val="32"/>
          <w:highlight w:val="yellow"/>
          <w:lang w:val="en-US" w:eastAsia="zh-CN"/>
        </w:rPr>
      </w:pPr>
      <w:r>
        <w:rPr>
          <w:rFonts w:hint="eastAsia" w:asciiTheme="minorHAnsi" w:eastAsiaTheme="minorEastAsia"/>
          <w:sz w:val="32"/>
          <w:szCs w:val="32"/>
          <w:lang w:val="en-US" w:eastAsia="zh-CN"/>
        </w:rPr>
        <w:t>图3：</w:t>
      </w:r>
      <w:r>
        <w:rPr>
          <w:rFonts w:hint="eastAsia" w:ascii="宋体" w:hAnsi="宋体" w:eastAsia="宋体" w:cs="宋体"/>
          <w:sz w:val="32"/>
          <w:szCs w:val="32"/>
          <w:lang w:eastAsia="zh-CN"/>
        </w:rPr>
        <w:t>财政收支与</w:t>
      </w:r>
      <w:r>
        <w:rPr>
          <w:rFonts w:hint="eastAsia" w:ascii="宋体" w:hAnsi="宋体" w:eastAsia="宋体" w:cs="宋体"/>
          <w:sz w:val="32"/>
          <w:szCs w:val="32"/>
          <w:lang w:val="en-US" w:eastAsia="zh-CN"/>
        </w:rPr>
        <w:t>2019年度决算对比</w:t>
      </w:r>
      <w:r>
        <w:rPr>
          <w:rFonts w:hint="eastAsia" w:asciiTheme="minorHAnsi" w:eastAsiaTheme="minorEastAsia"/>
          <w:sz w:val="32"/>
          <w:szCs w:val="32"/>
          <w:lang w:val="en-US" w:eastAsia="zh-CN"/>
        </w:rPr>
        <w:t>构成图</w:t>
      </w:r>
    </w:p>
    <w:p>
      <w:pPr>
        <w:adjustRightInd w:val="0"/>
        <w:snapToGrid w:val="0"/>
        <w:ind w:firstLine="640" w:firstLineChars="200"/>
        <w:rPr>
          <w:rFonts w:ascii="仿宋_GB2312" w:hAnsi="Times New Roman" w:eastAsia="仿宋_GB2312" w:cs="Wingding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本部门2020年度一般公共预算财政拨款收入</w:t>
      </w:r>
      <w:r>
        <w:rPr>
          <w:rFonts w:hint="eastAsia" w:ascii="仿宋_GB2312" w:hAnsi="Times New Roman" w:eastAsia="仿宋_GB2312" w:cs="Wingdings"/>
          <w:sz w:val="32"/>
          <w:szCs w:val="32"/>
          <w:lang w:val="en-US" w:eastAsia="zh-CN"/>
        </w:rPr>
        <w:t>82.93</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100.3</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0.29</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DengXian-Regular"/>
          <w:sz w:val="32"/>
          <w:szCs w:val="32"/>
          <w:lang w:eastAsia="zh-CN"/>
        </w:rPr>
        <w:t>当年科普活动增加，科普费用增加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83.39</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100.9</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0.75</w:t>
      </w:r>
      <w:r>
        <w:rPr>
          <w:rFonts w:hint="eastAsia" w:ascii="仿宋_GB2312" w:hAnsi="Times New Roman" w:eastAsia="仿宋_GB2312" w:cs="Wingdings"/>
          <w:sz w:val="32"/>
          <w:szCs w:val="32"/>
        </w:rPr>
        <w:t>万元，决算数大于预算数主要原因是主要是</w:t>
      </w:r>
      <w:r>
        <w:rPr>
          <w:rFonts w:hint="eastAsia" w:ascii="仿宋_GB2312" w:hAnsi="Times New Roman" w:eastAsia="仿宋_GB2312" w:cs="DengXian-Regular"/>
          <w:sz w:val="32"/>
          <w:szCs w:val="32"/>
          <w:lang w:eastAsia="zh-CN"/>
        </w:rPr>
        <w:t>当年因疫情费用增加，科普活动增加，科普费用增加</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如图所示：</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adjustRightInd w:val="0"/>
        <w:snapToGrid w:val="0"/>
        <w:ind w:firstLine="420" w:firstLineChars="200"/>
        <w:rPr>
          <w:rFonts w:ascii="仿宋_GB2312" w:hAnsi="Times New Roman" w:eastAsia="仿宋_GB2312" w:cs="Wingdings"/>
          <w:sz w:val="32"/>
          <w:szCs w:val="32"/>
          <w:highlight w:val="yellow"/>
        </w:rPr>
      </w:pPr>
      <w:r>
        <w:drawing>
          <wp:inline distT="0" distB="0" distL="114300" distR="114300">
            <wp:extent cx="4572000" cy="3486150"/>
            <wp:effectExtent l="4445" t="4445" r="14605" b="14605"/>
            <wp:docPr id="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adjustRightInd w:val="0"/>
        <w:snapToGrid w:val="0"/>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DengXian-Regular"/>
          <w:sz w:val="32"/>
          <w:szCs w:val="32"/>
          <w:lang w:val="en-US" w:eastAsia="zh-CN"/>
        </w:rPr>
        <w:t xml:space="preserve">     </w:t>
      </w: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83.39</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一般公共服务（类）支出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%，；公共安全类（类）支出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%；教育（类）支出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%；科学技术（类）支出</w:t>
      </w:r>
      <w:r>
        <w:rPr>
          <w:rFonts w:hint="eastAsia" w:ascii="仿宋_GB2312" w:hAnsi="Times New Roman" w:eastAsia="仿宋_GB2312" w:cs="Wingdings"/>
          <w:sz w:val="32"/>
          <w:szCs w:val="32"/>
          <w:lang w:val="en-US" w:eastAsia="zh-CN"/>
        </w:rPr>
        <w:t>70.51</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84.55</w:t>
      </w:r>
      <w:r>
        <w:rPr>
          <w:rFonts w:hint="eastAsia" w:ascii="仿宋_GB2312" w:hAnsi="Times New Roman" w:eastAsia="仿宋_GB2312" w:cs="Wingdings"/>
          <w:sz w:val="32"/>
          <w:szCs w:val="32"/>
        </w:rPr>
        <w:t>%；社会保障和就业（类）支出</w:t>
      </w:r>
      <w:r>
        <w:rPr>
          <w:rFonts w:hint="eastAsia" w:ascii="仿宋_GB2312" w:hAnsi="Times New Roman" w:eastAsia="仿宋_GB2312" w:cs="Wingdings"/>
          <w:sz w:val="32"/>
          <w:szCs w:val="32"/>
          <w:lang w:val="en-US" w:eastAsia="zh-CN"/>
        </w:rPr>
        <w:t>11.77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14.11</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lang w:eastAsia="zh-CN"/>
        </w:rPr>
        <w:t>卫生健康支出</w:t>
      </w:r>
      <w:r>
        <w:rPr>
          <w:rFonts w:hint="eastAsia" w:ascii="仿宋_GB2312" w:hAnsi="Times New Roman" w:eastAsia="仿宋_GB2312" w:cs="DengXian-Regular"/>
          <w:sz w:val="32"/>
          <w:szCs w:val="32"/>
          <w:lang w:val="en-US" w:eastAsia="zh-CN"/>
        </w:rPr>
        <w:t>1.10万元，占1.33%</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r>
        <w:rPr>
          <w:rFonts w:hint="eastAsia" w:ascii="仿宋_GB2312" w:hAnsi="Times New Roman" w:eastAsia="仿宋_GB2312" w:cs="Wingdings"/>
          <w:sz w:val="32"/>
          <w:szCs w:val="32"/>
        </w:rPr>
        <w:t>。</w:t>
      </w:r>
    </w:p>
    <w:p>
      <w:pPr>
        <w:adjustRightInd w:val="0"/>
        <w:snapToGrid w:val="0"/>
        <w:rPr>
          <w:rFonts w:ascii="楷体_GB2312" w:hAnsi="Times New Roman" w:eastAsia="楷体_GB2312" w:cs="Mongolian Baiti"/>
          <w:b/>
          <w:bCs/>
          <w:sz w:val="32"/>
          <w:szCs w:val="32"/>
        </w:rPr>
      </w:pPr>
    </w:p>
    <w:p>
      <w:pPr>
        <w:adjustRightInd w:val="0"/>
        <w:snapToGrid w:val="0"/>
        <w:rPr>
          <w:rFonts w:ascii="楷体_GB2312" w:hAnsi="Times New Roman" w:eastAsia="楷体_GB2312" w:cs="Mongolian Baiti"/>
          <w:b/>
          <w:bCs/>
          <w:sz w:val="32"/>
          <w:szCs w:val="32"/>
        </w:rPr>
      </w:pPr>
      <w:r>
        <w:rPr>
          <w:rFonts w:hint="eastAsia" w:ascii="楷体_GB2312" w:eastAsia="楷体_GB2312" w:cs="DengXian-Bold"/>
          <w:b/>
          <w:bCs/>
          <w:sz w:val="32"/>
          <w:szCs w:val="32"/>
          <w:lang w:eastAsia="zh-CN"/>
        </w:rPr>
        <w:drawing>
          <wp:anchor distT="0" distB="0" distL="114300" distR="114300" simplePos="0" relativeHeight="251670528" behindDoc="0" locked="0" layoutInCell="1" allowOverlap="1">
            <wp:simplePos x="0" y="0"/>
            <wp:positionH relativeFrom="column">
              <wp:posOffset>184785</wp:posOffset>
            </wp:positionH>
            <wp:positionV relativeFrom="paragraph">
              <wp:posOffset>104140</wp:posOffset>
            </wp:positionV>
            <wp:extent cx="5080000" cy="3810000"/>
            <wp:effectExtent l="4445" t="4445" r="20955" b="14605"/>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pPr>
        <w:adjustRightInd w:val="0"/>
        <w:snapToGrid w:val="0"/>
        <w:rPr>
          <w:rFonts w:hint="default" w:ascii="楷体_GB2312" w:hAnsi="Times New Roman" w:eastAsia="楷体_GB2312" w:cs="Mongolian Baiti"/>
          <w:b/>
          <w:bCs/>
          <w:sz w:val="32"/>
          <w:szCs w:val="32"/>
          <w:lang w:val="en-US" w:eastAsia="zh-CN"/>
        </w:rPr>
      </w:pPr>
      <w:r>
        <w:rPr>
          <w:rFonts w:hint="eastAsia" w:ascii="楷体_GB2312" w:hAnsi="Times New Roman" w:eastAsia="楷体_GB2312" w:cs="Mongolian Baiti"/>
          <w:b/>
          <w:bCs/>
          <w:sz w:val="32"/>
          <w:szCs w:val="32"/>
          <w:lang w:val="en-US" w:eastAsia="zh-CN"/>
        </w:rPr>
        <w:t xml:space="preserve">          </w:t>
      </w:r>
      <w:r>
        <w:rPr>
          <w:rFonts w:hint="eastAsia" w:ascii="仿宋_GB2312" w:hAnsi="Times New Roman" w:eastAsia="仿宋_GB2312" w:cs="DengXian-Regular"/>
          <w:sz w:val="32"/>
          <w:szCs w:val="32"/>
          <w:lang w:val="en-US" w:eastAsia="zh-CN"/>
        </w:rPr>
        <w:t>图5：</w:t>
      </w:r>
      <w:r>
        <w:rPr>
          <w:rFonts w:hint="eastAsia" w:ascii="仿宋_GB2312" w:hAnsi="Times New Roman" w:eastAsia="仿宋_GB2312" w:cs="DengXian-Regular"/>
          <w:sz w:val="28"/>
          <w:szCs w:val="28"/>
        </w:rPr>
        <w:t>财政拨款支出决算结构（按功能分类）</w:t>
      </w:r>
    </w:p>
    <w:p>
      <w:pPr>
        <w:adjustRightInd w:val="0"/>
        <w:snapToGrid w:val="0"/>
        <w:jc w:val="center"/>
        <w:rPr>
          <w:rFonts w:ascii="楷体_GB2312" w:hAnsi="Times New Roman" w:eastAsia="楷体_GB2312" w:cs="Mongolian Baiti"/>
          <w:b/>
          <w:bCs/>
          <w:sz w:val="32"/>
          <w:szCs w:val="32"/>
        </w:rPr>
      </w:pPr>
    </w:p>
    <w:p>
      <w:p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72.36</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61.98</w:t>
      </w:r>
      <w:r>
        <w:rPr>
          <w:rFonts w:hint="eastAsia" w:ascii="仿宋_GB2312" w:hAnsi="Times New Roman"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Wingdings"/>
          <w:sz w:val="32"/>
          <w:szCs w:val="32"/>
          <w:lang w:val="en-US" w:eastAsia="zh-CN"/>
        </w:rPr>
        <w:t>10.38</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w:t>
      </w:r>
      <w:r>
        <w:rPr>
          <w:rFonts w:hint="eastAsia" w:ascii="仿宋_GB2312" w:hAnsi="Times New Roman" w:eastAsia="仿宋_GB2312" w:cs="DengXian-Regular"/>
          <w:sz w:val="32"/>
          <w:szCs w:val="32"/>
          <w:lang w:eastAsia="zh-CN"/>
        </w:rPr>
        <w:t>没有变化</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lang w:eastAsia="zh-CN"/>
        </w:rPr>
        <w:t>本部门本年度无相关收入和支出，与年初预算持平，与</w:t>
      </w:r>
      <w:r>
        <w:rPr>
          <w:rFonts w:hint="eastAsia" w:ascii="仿宋_GB2312" w:eastAsia="仿宋_GB2312" w:cs="DengXian-Regular"/>
          <w:sz w:val="32"/>
          <w:szCs w:val="32"/>
          <w:lang w:val="en-US" w:eastAsia="zh-CN"/>
        </w:rPr>
        <w:t>2019年决算支出持平</w:t>
      </w:r>
      <w:r>
        <w:rPr>
          <w:rFonts w:hint="eastAsia" w:ascii="仿宋_GB2312" w:eastAsia="仿宋_GB2312" w:cs="DengXian-Regular"/>
          <w:sz w:val="32"/>
          <w:szCs w:val="32"/>
          <w:lang w:eastAsia="zh-CN"/>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%,较预算</w:t>
      </w:r>
      <w:r>
        <w:rPr>
          <w:rFonts w:hint="eastAsia" w:ascii="仿宋_GB2312" w:hAnsi="Times New Roman" w:eastAsia="仿宋_GB2312" w:cs="Wingdings"/>
          <w:sz w:val="32"/>
          <w:szCs w:val="32"/>
          <w:lang w:eastAsia="zh-CN"/>
        </w:rPr>
        <w:t>没有变化</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本部门本年度无相关收入和支出，与年初预算持平。</w:t>
      </w:r>
      <w:r>
        <w:rPr>
          <w:rFonts w:hint="eastAsia" w:ascii="仿宋_GB2312" w:hAnsi="Times New Roman" w:eastAsia="仿宋_GB2312" w:cs="Wingdings"/>
          <w:sz w:val="32"/>
          <w:szCs w:val="32"/>
        </w:rPr>
        <w:t>较2019年度</w:t>
      </w:r>
      <w:r>
        <w:rPr>
          <w:rFonts w:hint="eastAsia" w:ascii="仿宋_GB2312" w:hAnsi="Times New Roman" w:eastAsia="仿宋_GB2312" w:cs="Wingdings"/>
          <w:sz w:val="32"/>
          <w:szCs w:val="32"/>
          <w:lang w:eastAsia="zh-CN"/>
        </w:rPr>
        <w:t>决算没有变化</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本部门本年度无相关收入和支出，与</w:t>
      </w:r>
      <w:r>
        <w:rPr>
          <w:rFonts w:hint="eastAsia" w:ascii="仿宋_GB2312" w:eastAsia="仿宋_GB2312" w:cs="DengXian-Regular"/>
          <w:sz w:val="32"/>
          <w:szCs w:val="32"/>
          <w:lang w:val="en-US" w:eastAsia="zh-CN"/>
        </w:rPr>
        <w:t>2019年决算支出持平</w:t>
      </w:r>
      <w:r>
        <w:rPr>
          <w:rFonts w:hint="eastAsia" w:ascii="仿宋_GB2312" w:eastAsia="仿宋_GB2312" w:cs="DengXian-Regular"/>
          <w:sz w:val="32"/>
          <w:szCs w:val="32"/>
          <w:lang w:eastAsia="zh-CN"/>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人/无本单位组织的出国（境）团组。因公出国（境）费支出较预算</w:t>
      </w:r>
      <w:r>
        <w:rPr>
          <w:rFonts w:hint="eastAsia" w:ascii="仿宋_GB2312" w:hAnsi="Times New Roman" w:eastAsia="仿宋_GB2312" w:cs="Wingdings"/>
          <w:sz w:val="32"/>
          <w:szCs w:val="32"/>
          <w:lang w:eastAsia="zh-CN"/>
        </w:rPr>
        <w:t>没有变化</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本部门本年度无相关收入和支出，与年初预算持平</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eastAsia="zh-CN"/>
        </w:rPr>
        <w:t>没有变化</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本部门未发生‘因公出国费’经费支出，与年初预算持平，与</w:t>
      </w:r>
      <w:r>
        <w:rPr>
          <w:rFonts w:hint="eastAsia" w:ascii="仿宋_GB2312" w:eastAsia="仿宋_GB2312" w:cs="DengXian-Regular"/>
          <w:sz w:val="32"/>
          <w:szCs w:val="32"/>
          <w:lang w:val="en-US" w:eastAsia="zh-CN"/>
        </w:rPr>
        <w:t>2019年决算支出持平</w:t>
      </w:r>
      <w:r>
        <w:rPr>
          <w:rFonts w:hint="eastAsia" w:ascii="仿宋_GB2312" w:eastAsia="仿宋_GB2312" w:cs="DengXian-Regular"/>
          <w:sz w:val="32"/>
          <w:szCs w:val="32"/>
          <w:lang w:eastAsia="zh-CN"/>
        </w:rPr>
        <w:t>。</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主要是</w:t>
      </w:r>
      <w:r>
        <w:rPr>
          <w:rFonts w:hint="eastAsia" w:ascii="仿宋_GB2312" w:eastAsia="仿宋_GB2312" w:cs="DengXian-Regular"/>
          <w:sz w:val="32"/>
          <w:szCs w:val="32"/>
          <w:lang w:eastAsia="zh-CN"/>
        </w:rPr>
        <w:t>本部门未发生‘公务用车运行维护费’经费支出，与年初预算持平</w:t>
      </w:r>
      <w:r>
        <w:rPr>
          <w:rFonts w:hint="eastAsia" w:ascii="仿宋_GB2312" w:hAnsi="Times New Roman" w:eastAsia="仿宋_GB2312" w:cs="Wingdings"/>
          <w:sz w:val="32"/>
          <w:szCs w:val="32"/>
        </w:rPr>
        <w:t>；较上年减少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未发生‘公务用车运行维护费’经费支出，与年初预算持平，与</w:t>
      </w:r>
      <w:r>
        <w:rPr>
          <w:rFonts w:hint="eastAsia" w:ascii="仿宋_GB2312" w:eastAsia="仿宋_GB2312" w:cs="DengXian-Regular"/>
          <w:sz w:val="32"/>
          <w:szCs w:val="32"/>
          <w:lang w:val="en-US" w:eastAsia="zh-CN"/>
        </w:rPr>
        <w:t>2019年决算支出持平</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万元。公务用车购置费支出较预算</w:t>
      </w:r>
      <w:r>
        <w:rPr>
          <w:rFonts w:hint="eastAsia" w:ascii="仿宋_GB2312" w:hAnsi="Times New Roman" w:eastAsia="仿宋_GB2312" w:cs="Wingdings"/>
          <w:sz w:val="32"/>
          <w:szCs w:val="32"/>
          <w:lang w:eastAsia="zh-CN"/>
        </w:rPr>
        <w:t>没有变化</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本部门未发生‘公务用车购置’经费支出，与年初预算持平；</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eastAsia="zh-CN"/>
        </w:rPr>
        <w:t>没有变化</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本部门未发生‘公务用车购置’经费支出，与</w:t>
      </w:r>
      <w:r>
        <w:rPr>
          <w:rFonts w:hint="eastAsia" w:ascii="仿宋_GB2312" w:eastAsia="仿宋_GB2312" w:cs="DengXian-Regular"/>
          <w:sz w:val="32"/>
          <w:szCs w:val="32"/>
          <w:lang w:val="en-US" w:eastAsia="zh-CN"/>
        </w:rPr>
        <w:t>2019年决算支出持平</w:t>
      </w:r>
      <w:r>
        <w:rPr>
          <w:rFonts w:hint="eastAsia" w:ascii="仿宋_GB2312" w:eastAsia="仿宋_GB2312" w:cs="DengXian-Regular"/>
          <w:sz w:val="32"/>
          <w:szCs w:val="32"/>
          <w:lang w:eastAsia="zh-CN"/>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万元。公车运行维护费支出较预算</w:t>
      </w:r>
      <w:r>
        <w:rPr>
          <w:rFonts w:hint="eastAsia" w:ascii="仿宋_GB2312" w:hAnsi="Times New Roman" w:eastAsia="仿宋_GB2312" w:cs="Wingdings"/>
          <w:sz w:val="32"/>
          <w:szCs w:val="32"/>
          <w:lang w:eastAsia="zh-CN"/>
        </w:rPr>
        <w:t>没有变化</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本部门未发生‘公务用车运行维护费’经费支出，与年初预算持平</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eastAsia="zh-CN"/>
        </w:rPr>
        <w:t>没有变化</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本部门未发生‘公务用车运行维护费’经费支出，与</w:t>
      </w:r>
      <w:r>
        <w:rPr>
          <w:rFonts w:hint="eastAsia" w:ascii="仿宋_GB2312" w:eastAsia="仿宋_GB2312" w:cs="DengXian-Regular"/>
          <w:sz w:val="32"/>
          <w:szCs w:val="32"/>
          <w:lang w:val="en-US" w:eastAsia="zh-CN"/>
        </w:rPr>
        <w:t>2019年决算支出持平</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人次。公务接待费支出较预算减少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本部门未发生‘公务接待费’经费支出，与年初预算持平</w:t>
      </w:r>
      <w:r>
        <w:rPr>
          <w:rFonts w:hint="eastAsia" w:ascii="仿宋_GB2312" w:hAnsi="Times New Roman" w:eastAsia="仿宋_GB2312" w:cs="Wingdings"/>
          <w:sz w:val="32"/>
          <w:szCs w:val="32"/>
        </w:rPr>
        <w:t>；较上年度减少</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本部门未发生‘公务接待费’经费支出，与年初预算持平，与</w:t>
      </w:r>
      <w:r>
        <w:rPr>
          <w:rFonts w:hint="eastAsia" w:ascii="仿宋_GB2312" w:eastAsia="仿宋_GB2312" w:cs="DengXian-Regular"/>
          <w:sz w:val="32"/>
          <w:szCs w:val="32"/>
          <w:lang w:val="en-US" w:eastAsia="zh-CN"/>
        </w:rPr>
        <w:t>2019年决算支出持平</w:t>
      </w:r>
      <w:r>
        <w:rPr>
          <w:rFonts w:hint="eastAsia" w:ascii="仿宋_GB2312" w:hAnsi="Times New Roman" w:eastAsia="仿宋_GB2312" w:cs="Wingdings"/>
          <w:sz w:val="32"/>
          <w:szCs w:val="32"/>
        </w:rPr>
        <w:t>。</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根据预算绩效管理要求，本部门组织对2020年度项目支出全面开展绩效自评，其中，一般公共预算一级项目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；政府性基金预算一级项目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adjustRightInd w:val="0"/>
        <w:snapToGrid w:val="0"/>
        <w:spacing w:line="600" w:lineRule="exact"/>
        <w:ind w:firstLine="640" w:firstLineChars="200"/>
        <w:rPr>
          <w:rFonts w:hint="eastAsia" w:ascii="仿宋_GB2312" w:eastAsia="仿宋_GB2312" w:cs="DengXian-Regular"/>
          <w:sz w:val="32"/>
          <w:szCs w:val="32"/>
          <w:lang w:eastAsia="zh-CN"/>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科学技术普及</w:t>
      </w:r>
      <w:r>
        <w:rPr>
          <w:rFonts w:hint="eastAsia" w:ascii="仿宋_GB2312" w:hAnsi="仿宋_GB2312" w:eastAsia="仿宋_GB2312" w:cs="仿宋_GB2312"/>
          <w:sz w:val="32"/>
          <w:szCs w:val="32"/>
        </w:rPr>
        <w:t>”一级项目开展了部门评价，涉及一般公共预算支出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万元。其中，对等项目分别委托第三方机构(或部内评审机构)开展绩效评价。从评价情况来看，</w:t>
      </w:r>
      <w:r>
        <w:rPr>
          <w:rFonts w:hint="eastAsia" w:ascii="仿宋_GB2312" w:eastAsia="仿宋_GB2312" w:cs="DengXian-Regular"/>
          <w:sz w:val="32"/>
          <w:szCs w:val="32"/>
        </w:rPr>
        <w:t>全面规范绩效预算编制、严格预算执行管理、推进绩效评价工作、推进预决算信息公开等方面考核结果</w:t>
      </w:r>
      <w:r>
        <w:rPr>
          <w:rFonts w:hint="eastAsia" w:ascii="仿宋_GB2312" w:eastAsia="仿宋_GB2312" w:cs="DengXian-Regular"/>
          <w:sz w:val="32"/>
          <w:szCs w:val="32"/>
          <w:lang w:eastAsia="zh-CN"/>
        </w:rPr>
        <w:t>均</w:t>
      </w:r>
      <w:r>
        <w:rPr>
          <w:rFonts w:hint="eastAsia" w:ascii="仿宋_GB2312" w:eastAsia="仿宋_GB2312" w:cs="DengXian-Regular"/>
          <w:sz w:val="32"/>
          <w:szCs w:val="32"/>
        </w:rPr>
        <w:t>为</w:t>
      </w:r>
      <w:r>
        <w:rPr>
          <w:rFonts w:hint="eastAsia" w:ascii="仿宋_GB2312" w:eastAsia="仿宋_GB2312" w:cs="DengXian-Regular"/>
          <w:sz w:val="32"/>
          <w:szCs w:val="32"/>
          <w:lang w:eastAsia="zh-CN"/>
        </w:rPr>
        <w:t>良好。</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科学技术普及</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个项目绩效自评结果。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）科普活动全民科学素质老科协</w:t>
      </w:r>
      <w:r>
        <w:rPr>
          <w:rFonts w:hint="eastAsia" w:ascii="仿宋_GB2312" w:hAnsi="仿宋_GB2312" w:eastAsia="仿宋_GB2312" w:cs="仿宋_GB2312"/>
          <w:sz w:val="32"/>
          <w:szCs w:val="32"/>
        </w:rPr>
        <w:t>项目自评综述：</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根据年</w:t>
      </w:r>
      <w:r>
        <w:rPr>
          <w:rFonts w:hint="eastAsia" w:ascii="仿宋_GB2312" w:hAnsi="仿宋_GB2312" w:eastAsia="仿宋_GB2312" w:cs="仿宋_GB2312"/>
          <w:sz w:val="32"/>
          <w:szCs w:val="32"/>
          <w:lang w:eastAsia="zh-CN"/>
        </w:rPr>
        <w:t>初设定的绩效目标，科普活动项目绩效自评得分为</w:t>
      </w:r>
      <w:r>
        <w:rPr>
          <w:rFonts w:hint="eastAsia" w:ascii="仿宋_GB2312" w:hAnsi="仿宋_GB2312" w:eastAsia="仿宋_GB2312" w:cs="仿宋_GB2312"/>
          <w:sz w:val="32"/>
          <w:szCs w:val="32"/>
          <w:lang w:val="en-US" w:eastAsia="zh-CN"/>
        </w:rPr>
        <w:t>80</w:t>
      </w:r>
      <w:r>
        <w:rPr>
          <w:rFonts w:hint="eastAsia" w:ascii="仿宋_GB2312" w:hAnsi="仿宋_GB2312" w:eastAsia="仿宋_GB2312" w:cs="仿宋_GB2312"/>
          <w:sz w:val="32"/>
          <w:szCs w:val="32"/>
          <w:lang w:eastAsia="zh-CN"/>
        </w:rPr>
        <w:t>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万元，执行数为</w:t>
      </w:r>
      <w:r>
        <w:rPr>
          <w:rFonts w:hint="eastAsia" w:ascii="仿宋_GB2312" w:hAnsi="仿宋_GB2312" w:eastAsia="仿宋_GB2312" w:cs="仿宋_GB2312"/>
          <w:sz w:val="32"/>
          <w:szCs w:val="32"/>
          <w:lang w:val="en-US" w:eastAsia="zh-CN"/>
        </w:rPr>
        <w:t>4.8</w:t>
      </w:r>
      <w:r>
        <w:rPr>
          <w:rFonts w:hint="eastAsia" w:ascii="仿宋_GB2312" w:hAnsi="仿宋_GB2312" w:eastAsia="仿宋_GB2312" w:cs="仿宋_GB2312"/>
          <w:sz w:val="32"/>
          <w:szCs w:val="32"/>
          <w:lang w:eastAsia="zh-CN"/>
        </w:rPr>
        <w:t>万元，完成预算的</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lang w:eastAsia="zh-CN"/>
        </w:rPr>
        <w:t>。项目绩效目标完成情况：一是严格按照实施方案的要求开展项目各项工作，保证项目的顺利实施；</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二是加强项目实施过程中的检查监督；三是对已完成的项目及时回头看，对发现的问题及时进行整改。发现的主要问题及原因：</w:t>
      </w:r>
      <w:r>
        <w:rPr>
          <w:rFonts w:hint="eastAsia" w:ascii="仿宋_GB2312" w:hAnsi="仿宋_GB2312" w:eastAsia="仿宋_GB2312" w:cs="仿宋_GB2312"/>
          <w:sz w:val="32"/>
          <w:szCs w:val="32"/>
          <w:lang w:val="en-US" w:eastAsia="zh-CN"/>
        </w:rPr>
        <w:t>基层科普建设还很薄弱；县级学会组织建设差距很大，难以承担第三方平台的能力；县级科普专项经费与上级要求差距较大，科普能力还存在着较大差距。</w:t>
      </w:r>
      <w:r>
        <w:rPr>
          <w:rFonts w:hint="eastAsia" w:ascii="仿宋_GB2312" w:hAnsi="仿宋_GB2312" w:eastAsia="仿宋_GB2312" w:cs="仿宋_GB2312"/>
          <w:sz w:val="32"/>
          <w:szCs w:val="32"/>
          <w:lang w:eastAsia="zh-CN"/>
        </w:rPr>
        <w:t>下一步改进措施：</w:t>
      </w:r>
      <w:r>
        <w:rPr>
          <w:rFonts w:hint="eastAsia" w:ascii="仿宋_GB2312" w:hAnsi="仿宋_GB2312" w:eastAsia="仿宋_GB2312" w:cs="仿宋_GB2312"/>
          <w:sz w:val="32"/>
          <w:szCs w:val="32"/>
          <w:lang w:val="en-US" w:eastAsia="zh-CN"/>
        </w:rPr>
        <w:t>积极协调联系全民科学素质教育工作成员单位，广泛开展形式多样，内容丰富的科普活动；加大全县科普基础设施的建设力度，建立科普网站和APP科普公众号，推进科普e站建设，推进科技创新能力。</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科普活动全民科学素质老科协项目绩效自评综述：采用比较法，通过查阅自评资料和对广大居民的调查，对比财政支出所产生的实际效果与预定的目标，分析目标的完成情况，从而评价财政支出绩效。公众评判法，通过问询广大居民、邮箱投递意见和建议等对财政支出和我们</w:t>
      </w:r>
      <w:bookmarkStart w:id="0" w:name="_GoBack"/>
      <w:bookmarkEnd w:id="0"/>
      <w:r>
        <w:rPr>
          <w:rFonts w:hint="eastAsia" w:ascii="仿宋_GB2312" w:hAnsi="仿宋_GB2312" w:eastAsia="仿宋_GB2312" w:cs="仿宋_GB2312"/>
          <w:sz w:val="32"/>
          <w:szCs w:val="32"/>
          <w:lang w:eastAsia="zh-CN"/>
        </w:rPr>
        <w:t>实施的效果进行评判，评价绩效目标实现程度。</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后附项目支出绩效自评表。</w:t>
      </w:r>
    </w:p>
    <w:p>
      <w:pPr>
        <w:numPr>
          <w:ilvl w:val="0"/>
          <w:numId w:val="0"/>
        </w:numPr>
        <w:adjustRightInd w:val="0"/>
        <w:snapToGrid w:val="0"/>
        <w:spacing w:line="600" w:lineRule="exact"/>
        <w:ind w:left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val="en-US" w:eastAsia="zh-CN"/>
        </w:rPr>
        <w:t>(三）</w:t>
      </w:r>
      <w:r>
        <w:rPr>
          <w:rFonts w:hint="eastAsia" w:ascii="楷体_GB2312" w:hAnsi="楷体_GB2312" w:eastAsia="楷体_GB2312" w:cs="楷体_GB2312"/>
          <w:b/>
          <w:bCs/>
          <w:sz w:val="32"/>
          <w:szCs w:val="32"/>
        </w:rPr>
        <w:t>财政评价项目绩效评价结果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财政评价项目绩效评价结果分值为</w:t>
      </w:r>
      <w:r>
        <w:rPr>
          <w:rFonts w:hint="eastAsia" w:ascii="仿宋_GB2312" w:hAnsi="仿宋_GB2312" w:eastAsia="仿宋_GB2312" w:cs="仿宋_GB2312"/>
          <w:sz w:val="32"/>
          <w:szCs w:val="32"/>
          <w:lang w:val="en-US" w:eastAsia="zh-CN"/>
        </w:rPr>
        <w:t>80分</w:t>
      </w:r>
      <w:r>
        <w:rPr>
          <w:rFonts w:hint="eastAsia" w:ascii="仿宋_GB2312" w:hAnsi="仿宋_GB2312" w:eastAsia="仿宋_GB2312" w:cs="仿宋_GB2312"/>
          <w:sz w:val="32"/>
          <w:szCs w:val="32"/>
          <w:lang w:eastAsia="zh-CN"/>
        </w:rPr>
        <w:t>。</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本部门2020年度机关运行经费支出</w:t>
      </w:r>
      <w:r>
        <w:rPr>
          <w:rFonts w:hint="eastAsia" w:ascii="仿宋_GB2312" w:hAnsi="仿宋_GB2312" w:eastAsia="仿宋_GB2312" w:cs="仿宋_GB2312"/>
          <w:sz w:val="32"/>
          <w:szCs w:val="32"/>
          <w:lang w:val="en-US" w:eastAsia="zh-CN"/>
        </w:rPr>
        <w:t>10.38</w:t>
      </w:r>
      <w:r>
        <w:rPr>
          <w:rFonts w:hint="eastAsia" w:ascii="仿宋_GB2312" w:hAnsi="仿宋_GB2312" w:eastAsia="仿宋_GB2312" w:cs="仿宋_GB2312"/>
          <w:sz w:val="32"/>
          <w:szCs w:val="32"/>
        </w:rPr>
        <w:t>万元，比2019年度增加</w:t>
      </w:r>
      <w:r>
        <w:rPr>
          <w:rFonts w:hint="eastAsia" w:ascii="仿宋_GB2312" w:hAnsi="仿宋_GB2312" w:eastAsia="仿宋_GB2312" w:cs="仿宋_GB2312"/>
          <w:sz w:val="32"/>
          <w:szCs w:val="32"/>
          <w:lang w:val="en-US" w:eastAsia="zh-CN"/>
        </w:rPr>
        <w:t>5.56</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51.33</w:t>
      </w:r>
      <w:r>
        <w:rPr>
          <w:rFonts w:hint="eastAsia" w:ascii="仿宋_GB2312" w:hAnsi="仿宋_GB2312" w:eastAsia="仿宋_GB2312" w:cs="仿宋_GB2312"/>
          <w:sz w:val="32"/>
          <w:szCs w:val="32"/>
        </w:rPr>
        <w:t>x%。主要原因是</w:t>
      </w:r>
      <w:r>
        <w:rPr>
          <w:rFonts w:hint="eastAsia" w:ascii="仿宋_GB2312" w:hAnsi="仿宋_GB2312" w:eastAsia="仿宋_GB2312" w:cs="仿宋_GB2312"/>
          <w:sz w:val="32"/>
          <w:szCs w:val="32"/>
          <w:lang w:eastAsia="zh-CN"/>
        </w:rPr>
        <w:t>去年错把公用经费填成了机关运行经费，另外本年因为疫情支出加大</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八、政府采购情况</w:t>
      </w:r>
    </w:p>
    <w:p>
      <w:pPr>
        <w:snapToGrid w:val="0"/>
        <w:spacing w:line="600" w:lineRule="exact"/>
        <w:ind w:firstLine="640" w:firstLineChars="200"/>
        <w:jc w:val="left"/>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较</w:t>
      </w:r>
      <w:r>
        <w:rPr>
          <w:rFonts w:hint="eastAsia" w:ascii="仿宋_GB2312" w:hAnsi="仿宋_GB2312" w:eastAsia="仿宋_GB2312" w:cs="仿宋_GB2312"/>
          <w:sz w:val="32"/>
          <w:szCs w:val="32"/>
        </w:rPr>
        <w:t>上年</w:t>
      </w:r>
      <w:r>
        <w:rPr>
          <w:rFonts w:hint="eastAsia" w:ascii="仿宋_GB2312" w:hAnsi="仿宋_GB2312" w:eastAsia="仿宋_GB2312" w:cs="仿宋_GB2312"/>
          <w:sz w:val="32"/>
          <w:szCs w:val="32"/>
          <w:lang w:eastAsia="zh-CN"/>
        </w:rPr>
        <w:t>无变化</w:t>
      </w:r>
      <w:r>
        <w:rPr>
          <w:rFonts w:hint="eastAsia" w:ascii="仿宋_GB2312" w:hAnsi="仿宋_GB2312" w:eastAsia="仿宋_GB2312" w:cs="仿宋_GB2312"/>
          <w:sz w:val="32"/>
          <w:szCs w:val="32"/>
        </w:rPr>
        <w:t>，主要是</w:t>
      </w:r>
      <w:r>
        <w:rPr>
          <w:rFonts w:hint="eastAsia" w:ascii="仿宋_GB2312" w:hAnsi="仿宋_GB2312" w:eastAsia="仿宋_GB2312" w:cs="仿宋_GB2312"/>
          <w:sz w:val="32"/>
          <w:szCs w:val="32"/>
          <w:lang w:eastAsia="zh-CN"/>
        </w:rPr>
        <w:t>本部门没有公务用车</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辆，其他用车主要是</w:t>
      </w:r>
      <w:r>
        <w:rPr>
          <w:rFonts w:hint="eastAsia" w:ascii="仿宋_GB2312" w:hAnsi="仿宋_GB2312" w:eastAsia="仿宋_GB2312" w:cs="仿宋_GB2312"/>
          <w:sz w:val="32"/>
          <w:szCs w:val="32"/>
          <w:lang w:eastAsia="zh-CN"/>
        </w:rPr>
        <w:t>本部门没有公务用车</w:t>
      </w:r>
      <w:r>
        <w:rPr>
          <w:rFonts w:hint="eastAsia" w:ascii="仿宋_GB2312" w:hAnsi="仿宋_GB2312" w:eastAsia="仿宋_GB2312" w:cs="仿宋_GB2312"/>
          <w:sz w:val="32"/>
          <w:szCs w:val="32"/>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较</w:t>
      </w:r>
      <w:r>
        <w:rPr>
          <w:rFonts w:hint="eastAsia" w:ascii="仿宋_GB2312" w:hAnsi="仿宋_GB2312" w:eastAsia="仿宋_GB2312" w:cs="仿宋_GB2312"/>
          <w:sz w:val="32"/>
          <w:szCs w:val="32"/>
        </w:rPr>
        <w:t>上年</w:t>
      </w:r>
      <w:r>
        <w:rPr>
          <w:rFonts w:hint="eastAsia" w:ascii="仿宋_GB2312" w:hAnsi="仿宋_GB2312" w:eastAsia="仿宋_GB2312" w:cs="仿宋_GB2312"/>
          <w:sz w:val="32"/>
          <w:szCs w:val="32"/>
          <w:lang w:eastAsia="zh-CN"/>
        </w:rPr>
        <w:t>无变化</w:t>
      </w:r>
      <w:r>
        <w:rPr>
          <w:rFonts w:hint="eastAsia" w:ascii="仿宋_GB2312" w:hAnsi="仿宋_GB2312" w:eastAsia="仿宋_GB2312" w:cs="仿宋_GB2312"/>
          <w:sz w:val="32"/>
          <w:szCs w:val="32"/>
        </w:rPr>
        <w:t>，主要是</w:t>
      </w:r>
      <w:r>
        <w:rPr>
          <w:rFonts w:hint="eastAsia" w:ascii="仿宋_GB2312" w:hAnsi="仿宋_GB2312" w:eastAsia="仿宋_GB2312" w:cs="仿宋_GB2312"/>
          <w:sz w:val="32"/>
          <w:szCs w:val="32"/>
          <w:lang w:eastAsia="zh-CN"/>
        </w:rPr>
        <w:t>本部门没有公务用车</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较</w:t>
      </w:r>
      <w:r>
        <w:rPr>
          <w:rFonts w:hint="eastAsia" w:ascii="仿宋_GB2312" w:hAnsi="仿宋_GB2312" w:eastAsia="仿宋_GB2312" w:cs="仿宋_GB2312"/>
          <w:sz w:val="32"/>
          <w:szCs w:val="32"/>
        </w:rPr>
        <w:t>上年</w:t>
      </w:r>
      <w:r>
        <w:rPr>
          <w:rFonts w:hint="eastAsia" w:ascii="仿宋_GB2312" w:hAnsi="仿宋_GB2312" w:eastAsia="仿宋_GB2312" w:cs="仿宋_GB2312"/>
          <w:sz w:val="32"/>
          <w:szCs w:val="32"/>
          <w:lang w:eastAsia="zh-CN"/>
        </w:rPr>
        <w:t>无变化</w:t>
      </w:r>
      <w:r>
        <w:rPr>
          <w:rFonts w:hint="eastAsia" w:ascii="仿宋_GB2312" w:hAnsi="仿宋_GB2312" w:eastAsia="仿宋_GB2312" w:cs="仿宋_GB2312"/>
          <w:sz w:val="32"/>
          <w:szCs w:val="32"/>
        </w:rPr>
        <w:t>，主要是</w:t>
      </w:r>
      <w:r>
        <w:rPr>
          <w:rFonts w:hint="eastAsia" w:ascii="仿宋_GB2312" w:hAnsi="仿宋_GB2312" w:eastAsia="仿宋_GB2312" w:cs="仿宋_GB2312"/>
          <w:sz w:val="32"/>
          <w:szCs w:val="32"/>
          <w:lang w:eastAsia="zh-CN"/>
        </w:rPr>
        <w:t>本部门没有公务用车</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十、其他需要说明的情况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仿宋_GB2312" w:eastAsia="仿宋_GB2312" w:cs="仿宋_GB2312"/>
          <w:sz w:val="32"/>
          <w:szCs w:val="32"/>
        </w:rPr>
        <w:t>1.</w:t>
      </w: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w:t>
      </w:r>
      <w:r>
        <w:rPr>
          <w:rFonts w:hint="eastAsia" w:ascii="仿宋_GB2312" w:eastAsia="仿宋_GB2312" w:cs="DengXian-Regular"/>
          <w:sz w:val="32"/>
          <w:szCs w:val="32"/>
          <w:lang w:eastAsia="zh-CN"/>
        </w:rPr>
        <w:t>一般公共预算财政拨款“三公”经费支出决算表</w:t>
      </w:r>
      <w:r>
        <w:rPr>
          <w:rFonts w:hint="eastAsia" w:ascii="仿宋_GB2312" w:eastAsia="仿宋_GB2312" w:cs="DengXian-Regular"/>
          <w:sz w:val="32"/>
          <w:szCs w:val="32"/>
          <w:lang w:val="en-US" w:eastAsia="zh-CN"/>
        </w:rPr>
        <w:t>、政府性基金预算财政拨款收入支出决算表、国有资本经营预算财政拨款支出决算表、政府采购情况表</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公开表</w:t>
      </w:r>
      <w:r>
        <w:rPr>
          <w:rFonts w:hint="eastAsia" w:ascii="仿宋_GB2312" w:eastAsia="仿宋_GB2312" w:cs="DengXian-Regular"/>
          <w:sz w:val="32"/>
          <w:szCs w:val="32"/>
          <w:lang w:val="en-US" w:eastAsia="zh-CN"/>
        </w:rPr>
        <w:t>7、公开表8、公开表9</w:t>
      </w:r>
      <w:r>
        <w:rPr>
          <w:rFonts w:hint="eastAsia" w:ascii="仿宋_GB2312" w:eastAsia="仿宋_GB2312" w:cs="DengXian-Regular"/>
          <w:sz w:val="32"/>
          <w:szCs w:val="32"/>
        </w:rPr>
        <w:t>表以空表列示。</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3360" behindDoc="0" locked="0" layoutInCell="1" allowOverlap="1">
                <wp:simplePos x="0" y="0"/>
                <wp:positionH relativeFrom="column">
                  <wp:posOffset>-1040130</wp:posOffset>
                </wp:positionH>
                <wp:positionV relativeFrom="paragraph">
                  <wp:posOffset>26035</wp:posOffset>
                </wp:positionV>
                <wp:extent cx="7793355" cy="3341370"/>
                <wp:effectExtent l="4445" t="4445" r="12700" b="6985"/>
                <wp:wrapNone/>
                <wp:docPr id="2"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6350" cap="flat" cmpd="sng">
                          <a:solidFill>
                            <a:srgbClr val="7F7F7F"/>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upright="1"/>
                    </wps:wsp>
                  </a:graphicData>
                </a:graphic>
              </wp:anchor>
            </w:drawing>
          </mc:Choice>
          <mc:Fallback>
            <w:pict>
              <v:shape id="文本框 5" o:spid="_x0000_s1026" o:spt="202" type="#_x0000_t202" style="position:absolute;left:0pt;margin-left:-81.9pt;margin-top:2.05pt;height:263.1pt;width:613.65pt;z-index:251663360;v-text-anchor:middle;mso-width-relative:page;mso-height-relative:page;" fillcolor="#7F7F7F"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Jdu0e2AAAAAsBAAAPAAAAAAAAAAEAIAAAACIAAABkcnMvZG93bnJldi54&#10;bWxQSwECFAAUAAAACACHTuJAM8mQVzMCAACNBAAADgAAAAAAAAABACAAAAAnAQAAZHJzL2Uyb0Rv&#10;Yy54bWxQSwUGAAAAAAYABgBZAQAAzAUAAAAA&#10;">
                <v:fill type="pattern" on="t" color2="#FFFFFF" o:title="5%" focussize="0,0" r:id="rId16"/>
                <v:stroke weight="0.5pt" color="#7F7F7F"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hint="eastAsia" w:ascii="仿宋_GB2312" w:hAnsi="宋体" w:eastAsia="仿宋_GB2312" w:cs="Times New Roman"/>
          <w:b/>
          <w:bCs/>
          <w:color w:val="000000"/>
          <w:kern w:val="0"/>
          <w:sz w:val="32"/>
          <w:szCs w:val="32"/>
        </w:rPr>
      </w:pPr>
    </w:p>
    <w:p>
      <w:pPr>
        <w:widowControl/>
        <w:spacing w:line="600" w:lineRule="exact"/>
        <w:ind w:firstLine="643" w:firstLineChars="200"/>
        <w:rPr>
          <w:rFonts w:hint="eastAsia" w:ascii="仿宋_GB2312" w:hAnsi="宋体" w:eastAsia="仿宋_GB2312" w:cs="Times New Roman"/>
          <w:b/>
          <w:bCs/>
          <w:color w:val="000000"/>
          <w:kern w:val="0"/>
          <w:sz w:val="32"/>
          <w:szCs w:val="32"/>
        </w:rPr>
      </w:pPr>
    </w:p>
    <w:p>
      <w:pPr>
        <w:widowControl/>
        <w:spacing w:line="600" w:lineRule="exact"/>
        <w:ind w:firstLine="643" w:firstLineChars="200"/>
        <w:rPr>
          <w:rFonts w:hint="eastAsia" w:ascii="仿宋_GB2312" w:hAnsi="宋体" w:eastAsia="仿宋_GB2312" w:cs="Times New Roman"/>
          <w:b/>
          <w:bCs/>
          <w:color w:val="000000"/>
          <w:kern w:val="0"/>
          <w:sz w:val="32"/>
          <w:szCs w:val="32"/>
        </w:rPr>
      </w:pP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6432" behindDoc="0" locked="0" layoutInCell="1" allowOverlap="1">
                <wp:simplePos x="0" y="0"/>
                <wp:positionH relativeFrom="column">
                  <wp:posOffset>-1027430</wp:posOffset>
                </wp:positionH>
                <wp:positionV relativeFrom="paragraph">
                  <wp:posOffset>1151255</wp:posOffset>
                </wp:positionV>
                <wp:extent cx="7793355" cy="3341370"/>
                <wp:effectExtent l="6350" t="6350" r="10795" b="24130"/>
                <wp:wrapNone/>
                <wp:docPr id="8"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7F7F7F"/>
                          </a:fgClr>
                          <a:bgClr>
                            <a:srgbClr val="FFFFFF"/>
                          </a:bgClr>
                        </a:pattFill>
                        <a:ln w="12700" cap="flat" cmpd="sng">
                          <a:solidFill>
                            <a:srgbClr val="A6A6A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2020年度部门决算报表</w:t>
                            </w:r>
                          </w:p>
                          <w:p/>
                        </w:txbxContent>
                      </wps:txbx>
                      <wps:bodyPr anchor="ctr" upright="1"/>
                    </wps:wsp>
                  </a:graphicData>
                </a:graphic>
              </wp:anchor>
            </w:drawing>
          </mc:Choice>
          <mc:Fallback>
            <w:pict>
              <v:shape id="文本框 4" o:spid="_x0000_s1026" o:spt="202" type="#_x0000_t202" style="position:absolute;left:0pt;margin-left:-80.9pt;margin-top:90.65pt;height:263.1pt;width:613.65pt;z-index:251666432;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ADYQbj3AAAAA0BAAAPAAAAAAAAAAEAIAAAACIAAABkcnMv&#10;ZG93bnJldi54bWxQSwECFAAUAAAACACHTuJApq5LMzgCAACOBAAADgAAAAAAAAABACAAAAArAQAA&#10;ZHJzL2Uyb0RvYy54bWxQSwUGAAAAAAYABgBZAQAA1QUAAAAA&#10;">
                <v:fill type="pattern" on="t" color2="#FFFFFF" o:title="5%" focussize="0,0" r:id="rId16"/>
                <v:stroke weight="1pt" color="#A6A6A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2020年度部门决算报表</w:t>
                      </w:r>
                    </w:p>
                    <w:p/>
                  </w:txbxContent>
                </v:textbox>
              </v:shape>
            </w:pict>
          </mc:Fallback>
        </mc:AlternateContent>
      </w:r>
    </w:p>
    <w:tbl>
      <w:tblPr>
        <w:tblStyle w:val="6"/>
        <w:tblpPr w:leftFromText="180" w:rightFromText="180" w:vertAnchor="text" w:horzAnchor="page" w:tblpXSpec="center" w:tblpY="31"/>
        <w:tblOverlap w:val="never"/>
        <w:tblW w:w="9434" w:type="dxa"/>
        <w:jc w:val="center"/>
        <w:tblLayout w:type="fixed"/>
        <w:tblCellMar>
          <w:top w:w="0" w:type="dxa"/>
          <w:left w:w="0" w:type="dxa"/>
          <w:bottom w:w="0" w:type="dxa"/>
          <w:right w:w="0" w:type="dxa"/>
        </w:tblCellMar>
      </w:tblPr>
      <w:tblGrid>
        <w:gridCol w:w="3207"/>
        <w:gridCol w:w="724"/>
        <w:gridCol w:w="686"/>
        <w:gridCol w:w="3443"/>
        <w:gridCol w:w="536"/>
        <w:gridCol w:w="838"/>
      </w:tblGrid>
      <w:tr>
        <w:tblPrEx>
          <w:tblCellMar>
            <w:top w:w="0" w:type="dxa"/>
            <w:left w:w="0" w:type="dxa"/>
            <w:bottom w:w="0" w:type="dxa"/>
            <w:right w:w="0" w:type="dxa"/>
          </w:tblCellMar>
        </w:tblPrEx>
        <w:trPr>
          <w:trHeight w:val="499" w:hRule="atLeast"/>
          <w:jc w:val="center"/>
        </w:trPr>
        <w:tc>
          <w:tcPr>
            <w:tcW w:w="9434"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tblPrEx>
          <w:tblCellMar>
            <w:top w:w="0" w:type="dxa"/>
            <w:left w:w="0" w:type="dxa"/>
            <w:bottom w:w="0" w:type="dxa"/>
            <w:right w:w="0" w:type="dxa"/>
          </w:tblCellMar>
        </w:tblPrEx>
        <w:trPr>
          <w:trHeight w:val="209" w:hRule="atLeast"/>
          <w:jc w:val="center"/>
        </w:trPr>
        <w:tc>
          <w:tcPr>
            <w:tcW w:w="3207"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724"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684"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4816" w:type="dxa"/>
            <w:gridSpan w:val="3"/>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公开01表</w:t>
            </w:r>
          </w:p>
        </w:tc>
      </w:tr>
      <w:tr>
        <w:tblPrEx>
          <w:tblCellMar>
            <w:top w:w="0" w:type="dxa"/>
            <w:left w:w="0" w:type="dxa"/>
            <w:bottom w:w="0" w:type="dxa"/>
            <w:right w:w="0" w:type="dxa"/>
          </w:tblCellMar>
        </w:tblPrEx>
        <w:trPr>
          <w:trHeight w:val="430" w:hRule="atLeast"/>
          <w:jc w:val="center"/>
        </w:trPr>
        <w:tc>
          <w:tcPr>
            <w:tcW w:w="3207" w:type="dxa"/>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left"/>
              <w:textAlignment w:val="bottom"/>
              <w:rPr>
                <w:rFonts w:hint="eastAsia" w:ascii="宋体" w:hAnsi="宋体" w:eastAsia="宋体" w:cs="宋体"/>
                <w:color w:val="000000"/>
                <w:sz w:val="18"/>
                <w:szCs w:val="18"/>
                <w:lang w:eastAsia="zh-CN"/>
              </w:rPr>
            </w:pPr>
            <w:r>
              <w:rPr>
                <w:rFonts w:hint="eastAsia" w:ascii="宋体" w:hAnsi="宋体" w:eastAsia="宋体" w:cs="宋体"/>
                <w:color w:val="000000"/>
                <w:kern w:val="0"/>
                <w:sz w:val="18"/>
                <w:szCs w:val="18"/>
              </w:rPr>
              <w:t>部门：</w:t>
            </w:r>
            <w:r>
              <w:rPr>
                <w:rFonts w:hint="eastAsia" w:ascii="宋体" w:hAnsi="宋体" w:eastAsia="宋体" w:cs="宋体"/>
                <w:color w:val="000000"/>
                <w:kern w:val="0"/>
                <w:sz w:val="18"/>
                <w:szCs w:val="18"/>
                <w:lang w:eastAsia="zh-CN"/>
              </w:rPr>
              <w:t>无极县科学技术协会</w:t>
            </w:r>
          </w:p>
        </w:tc>
        <w:tc>
          <w:tcPr>
            <w:tcW w:w="724"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684"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4816" w:type="dxa"/>
            <w:gridSpan w:val="3"/>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290" w:hRule="atLeast"/>
          <w:jc w:val="center"/>
        </w:trPr>
        <w:tc>
          <w:tcPr>
            <w:tcW w:w="461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收入</w:t>
            </w:r>
          </w:p>
        </w:tc>
        <w:tc>
          <w:tcPr>
            <w:tcW w:w="4816"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支出</w:t>
            </w:r>
          </w:p>
        </w:tc>
      </w:tr>
      <w:tr>
        <w:tblPrEx>
          <w:tblCellMar>
            <w:top w:w="0" w:type="dxa"/>
            <w:left w:w="0" w:type="dxa"/>
            <w:bottom w:w="0" w:type="dxa"/>
            <w:right w:w="0" w:type="dxa"/>
          </w:tblCellMar>
        </w:tblPrEx>
        <w:trPr>
          <w:trHeight w:val="37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金额</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行次</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金额</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rPr>
              <w:t>82.93</w:t>
            </w: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一、一般公共服务支出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二、外交支出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185"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三、上级补助收入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三、国防支出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四、事业收入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四、公共安全支出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五、经营收入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五、教育支出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六、附属单位上缴收入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六、科学技术支出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rPr>
              <w:t>70.51</w:t>
            </w: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七、其他收入</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七、文化旅游体育与传媒支出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八、社会保障和就业支出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rPr>
              <w:t>11.77</w:t>
            </w: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九、卫生健康支出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rPr>
              <w:t>1.10</w:t>
            </w: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十、节能环保支出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11</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十一、城乡社区支出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12</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十二、农林水支出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十三、交通运输支出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十四、资源勘探信息等支出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十五、商业服务业等支出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十六、金融支出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17</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十七、援助其他地区支出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18</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十八、自然资源海洋气象等支出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十九、住房保障支出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二十、粮油物资储备支出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二十一、灾害防治及应急管理支出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二十二、其他支出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二十四、债务付息支出</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本年收入合计</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rPr>
              <w:t>82.93</w:t>
            </w: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本年支出合计</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rPr>
              <w:t>83.39</w:t>
            </w: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用事业基金弥补收支差额</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25</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结余分配</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年初结转和结余</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rPr>
              <w:t>0.46</w:t>
            </w: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年末结转和结余</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27</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32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28</w:t>
            </w:r>
          </w:p>
        </w:tc>
        <w:tc>
          <w:tcPr>
            <w:tcW w:w="6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rPr>
              <w:t>83.39</w:t>
            </w:r>
            <w:r>
              <w:rPr>
                <w:rFonts w:hint="eastAsia" w:ascii="宋体" w:hAnsi="宋体" w:eastAsia="宋体" w:cs="宋体"/>
                <w:color w:val="000000"/>
                <w:kern w:val="0"/>
                <w:sz w:val="18"/>
                <w:szCs w:val="18"/>
              </w:rPr>
              <w:t>　</w:t>
            </w:r>
          </w:p>
        </w:tc>
        <w:tc>
          <w:tcPr>
            <w:tcW w:w="34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5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val="en-US" w:eastAsia="zh-CN"/>
              </w:rPr>
              <w:t>83.39</w:t>
            </w: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7" w:hRule="atLeast"/>
          <w:jc w:val="center"/>
        </w:trPr>
        <w:tc>
          <w:tcPr>
            <w:tcW w:w="9434"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kern w:val="0"/>
                <w:sz w:val="18"/>
                <w:szCs w:val="18"/>
              </w:rPr>
            </w:pPr>
            <w:r>
              <w:rPr>
                <w:rFonts w:hint="eastAsia" w:ascii="宋体" w:hAnsi="宋体" w:eastAsia="宋体" w:cs="宋体"/>
                <w:color w:val="000000"/>
                <w:kern w:val="0"/>
                <w:sz w:val="18"/>
                <w:szCs w:val="18"/>
              </w:rPr>
              <w:t>注：本表反映部门本年度的总收支和年末结转结余情况。</w:t>
            </w:r>
          </w:p>
          <w:p>
            <w:pPr>
              <w:widowControl/>
              <w:jc w:val="left"/>
              <w:textAlignment w:val="center"/>
              <w:rPr>
                <w:rFonts w:ascii="宋体" w:hAnsi="宋体" w:eastAsia="宋体" w:cs="宋体"/>
                <w:color w:val="000000"/>
                <w:kern w:val="0"/>
                <w:sz w:val="18"/>
                <w:szCs w:val="18"/>
              </w:rPr>
            </w:pPr>
          </w:p>
        </w:tc>
      </w:tr>
    </w:tbl>
    <w:tbl>
      <w:tblPr>
        <w:tblStyle w:val="6"/>
        <w:tblW w:w="9686" w:type="dxa"/>
        <w:jc w:val="center"/>
        <w:tblLayout w:type="autofit"/>
        <w:tblCellMar>
          <w:top w:w="0" w:type="dxa"/>
          <w:left w:w="0" w:type="dxa"/>
          <w:bottom w:w="0" w:type="dxa"/>
          <w:right w:w="0" w:type="dxa"/>
        </w:tblCellMar>
      </w:tblPr>
      <w:tblGrid>
        <w:gridCol w:w="757"/>
        <w:gridCol w:w="43"/>
        <w:gridCol w:w="43"/>
        <w:gridCol w:w="4267"/>
        <w:gridCol w:w="1001"/>
        <w:gridCol w:w="895"/>
        <w:gridCol w:w="536"/>
        <w:gridCol w:w="536"/>
        <w:gridCol w:w="536"/>
        <w:gridCol w:w="536"/>
        <w:gridCol w:w="536"/>
      </w:tblGrid>
      <w:tr>
        <w:tblPrEx>
          <w:tblCellMar>
            <w:top w:w="0" w:type="dxa"/>
            <w:left w:w="0" w:type="dxa"/>
            <w:bottom w:w="0" w:type="dxa"/>
            <w:right w:w="0" w:type="dxa"/>
          </w:tblCellMar>
        </w:tblPrEx>
        <w:trPr>
          <w:trHeight w:val="670" w:hRule="atLeast"/>
          <w:jc w:val="center"/>
        </w:trPr>
        <w:tc>
          <w:tcPr>
            <w:tcW w:w="9686"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rPr>
              <w:t>收入决算表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20"/>
                <w:szCs w:val="20"/>
                <w:lang w:eastAsia="zh-CN"/>
              </w:rPr>
            </w:pPr>
            <w:r>
              <w:rPr>
                <w:rFonts w:hint="eastAsia" w:ascii="Arial" w:hAnsi="Arial" w:cs="Arial"/>
                <w:color w:val="000000"/>
                <w:sz w:val="20"/>
                <w:szCs w:val="20"/>
                <w:lang w:eastAsia="zh-CN"/>
              </w:rPr>
              <w:t>科协</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w:t>
            </w:r>
          </w:p>
        </w:tc>
        <w:tc>
          <w:tcPr>
            <w:tcW w:w="108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本年收入合计</w:t>
            </w:r>
          </w:p>
        </w:tc>
        <w:tc>
          <w:tcPr>
            <w:tcW w:w="91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财政拨款收入</w:t>
            </w:r>
          </w:p>
        </w:tc>
        <w:tc>
          <w:tcPr>
            <w:tcW w:w="6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上级补助收入</w:t>
            </w:r>
          </w:p>
        </w:tc>
        <w:tc>
          <w:tcPr>
            <w:tcW w:w="6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事业收入</w:t>
            </w:r>
          </w:p>
        </w:tc>
        <w:tc>
          <w:tcPr>
            <w:tcW w:w="6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经营收入</w:t>
            </w:r>
          </w:p>
        </w:tc>
        <w:tc>
          <w:tcPr>
            <w:tcW w:w="6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附属单位上缴收入</w:t>
            </w:r>
          </w:p>
        </w:tc>
        <w:tc>
          <w:tcPr>
            <w:tcW w:w="6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其他收入</w:t>
            </w:r>
          </w:p>
        </w:tc>
      </w:tr>
      <w:tr>
        <w:tblPrEx>
          <w:tblCellMar>
            <w:top w:w="0" w:type="dxa"/>
            <w:left w:w="0" w:type="dxa"/>
            <w:bottom w:w="0" w:type="dxa"/>
            <w:right w:w="0" w:type="dxa"/>
          </w:tblCellMar>
        </w:tblPrEx>
        <w:trPr>
          <w:trHeight w:val="380" w:hRule="atLeast"/>
          <w:jc w:val="center"/>
        </w:trPr>
        <w:tc>
          <w:tcPr>
            <w:tcW w:w="98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0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9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6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r>
      <w:tr>
        <w:tblPrEx>
          <w:tblCellMar>
            <w:top w:w="0" w:type="dxa"/>
            <w:left w:w="0" w:type="dxa"/>
            <w:bottom w:w="0" w:type="dxa"/>
            <w:right w:w="0" w:type="dxa"/>
          </w:tblCellMar>
        </w:tblPrEx>
        <w:trPr>
          <w:trHeight w:val="380" w:hRule="atLeast"/>
          <w:jc w:val="center"/>
        </w:trPr>
        <w:tc>
          <w:tcPr>
            <w:tcW w:w="98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8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8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val="0"/>
                <w:bCs/>
                <w:color w:val="000000"/>
                <w:sz w:val="22"/>
                <w:lang w:val="en-US" w:eastAsia="zh-CN"/>
              </w:rPr>
            </w:pPr>
            <w:r>
              <w:rPr>
                <w:rFonts w:hint="eastAsia" w:ascii="宋体" w:hAnsi="宋体" w:eastAsia="宋体" w:cs="宋体"/>
                <w:b w:val="0"/>
                <w:bCs/>
                <w:color w:val="000000"/>
                <w:sz w:val="22"/>
                <w:lang w:val="en-US" w:eastAsia="zh-CN"/>
              </w:rPr>
              <w:t>82.93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val="0"/>
                <w:bCs/>
                <w:color w:val="000000"/>
                <w:kern w:val="2"/>
                <w:sz w:val="22"/>
                <w:szCs w:val="24"/>
                <w:lang w:val="en-US" w:eastAsia="zh-CN" w:bidi="ar-SA"/>
              </w:rPr>
            </w:pPr>
            <w:r>
              <w:rPr>
                <w:rFonts w:hint="eastAsia" w:ascii="宋体" w:hAnsi="宋体" w:eastAsia="宋体" w:cs="宋体"/>
                <w:b w:val="0"/>
                <w:bCs/>
                <w:color w:val="000000"/>
                <w:sz w:val="22"/>
                <w:lang w:val="en-US" w:eastAsia="zh-CN"/>
              </w:rPr>
              <w:t>82.93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4"/>
                <w:lang w:val="en-US" w:eastAsia="zh-CN" w:bidi="ar-SA"/>
              </w:rPr>
            </w:pPr>
            <w:r>
              <w:rPr>
                <w:rFonts w:hint="eastAsia" w:ascii="宋体" w:hAnsi="宋体" w:eastAsia="宋体" w:cs="宋体"/>
                <w:b w:val="0"/>
                <w:bCs w:val="0"/>
                <w:color w:val="000000"/>
                <w:sz w:val="22"/>
                <w:lang w:val="en-US" w:eastAsia="zh-CN"/>
              </w:rPr>
              <w:t>206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2"/>
                <w:lang w:val="en-US" w:eastAsia="zh-CN" w:bidi="ar-SA"/>
              </w:rPr>
            </w:pPr>
            <w:r>
              <w:rPr>
                <w:rFonts w:hint="eastAsia" w:ascii="宋体" w:hAnsi="宋体" w:eastAsia="宋体" w:cs="宋体"/>
                <w:b w:val="0"/>
                <w:bCs w:val="0"/>
                <w:color w:val="000000"/>
                <w:sz w:val="22"/>
                <w:szCs w:val="22"/>
                <w:lang w:eastAsia="zh-CN"/>
              </w:rPr>
              <w:t>科学技术支出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70.05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70.05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4"/>
                <w:lang w:val="en-US" w:eastAsia="zh-CN" w:bidi="ar-SA"/>
              </w:rPr>
            </w:pPr>
            <w:r>
              <w:rPr>
                <w:rFonts w:hint="eastAsia" w:ascii="宋体" w:hAnsi="宋体" w:eastAsia="宋体" w:cs="宋体"/>
                <w:b w:val="0"/>
                <w:bCs w:val="0"/>
                <w:color w:val="000000"/>
                <w:sz w:val="22"/>
                <w:lang w:val="en-US" w:eastAsia="zh-CN"/>
              </w:rPr>
              <w:t>20607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2"/>
                <w:lang w:val="en-US" w:eastAsia="zh-CN" w:bidi="ar-SA"/>
              </w:rPr>
            </w:pPr>
            <w:r>
              <w:rPr>
                <w:rFonts w:hint="eastAsia" w:ascii="宋体" w:hAnsi="宋体" w:eastAsia="宋体" w:cs="宋体"/>
                <w:b w:val="0"/>
                <w:bCs w:val="0"/>
                <w:color w:val="000000"/>
                <w:sz w:val="22"/>
                <w:szCs w:val="22"/>
                <w:lang w:eastAsia="zh-CN"/>
              </w:rPr>
              <w:t>科学技术普及</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70.05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70.05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2060701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机构运行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59.05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59.05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2060702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科普活动</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4"/>
                <w:lang w:val="en-US" w:eastAsia="zh-CN" w:bidi="ar-SA"/>
              </w:rPr>
            </w:pPr>
            <w:r>
              <w:rPr>
                <w:rFonts w:hint="eastAsia" w:ascii="宋体" w:hAnsi="宋体" w:eastAsia="宋体" w:cs="宋体"/>
                <w:b w:val="0"/>
                <w:bCs w:val="0"/>
                <w:color w:val="000000"/>
                <w:sz w:val="22"/>
                <w:lang w:val="en-US" w:eastAsia="zh-CN"/>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2"/>
                <w:lang w:val="en-US" w:eastAsia="zh-CN" w:bidi="ar-SA"/>
              </w:rPr>
            </w:pPr>
            <w:r>
              <w:rPr>
                <w:rFonts w:hint="eastAsia" w:ascii="宋体" w:hAnsi="宋体" w:eastAsia="宋体" w:cs="宋体"/>
                <w:b w:val="0"/>
                <w:bCs w:val="0"/>
                <w:color w:val="000000"/>
                <w:sz w:val="22"/>
                <w:szCs w:val="22"/>
                <w:lang w:eastAsia="zh-CN"/>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11.77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4"/>
                <w:lang w:val="en-US" w:eastAsia="zh-CN" w:bidi="ar-SA"/>
              </w:rPr>
            </w:pPr>
            <w:r>
              <w:rPr>
                <w:rFonts w:hint="eastAsia" w:ascii="宋体" w:hAnsi="宋体" w:eastAsia="宋体" w:cs="宋体"/>
                <w:b w:val="0"/>
                <w:bCs w:val="0"/>
                <w:color w:val="000000"/>
                <w:sz w:val="22"/>
                <w:lang w:val="en-US" w:eastAsia="zh-CN"/>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2"/>
                <w:lang w:val="en-US" w:eastAsia="zh-CN" w:bidi="ar-SA"/>
              </w:rPr>
            </w:pPr>
            <w:r>
              <w:rPr>
                <w:rFonts w:hint="eastAsia" w:ascii="宋体" w:hAnsi="宋体" w:eastAsia="宋体" w:cs="宋体"/>
                <w:b w:val="0"/>
                <w:bCs w:val="0"/>
                <w:color w:val="000000"/>
                <w:sz w:val="22"/>
                <w:szCs w:val="22"/>
                <w:lang w:eastAsia="zh-CN"/>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11.73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11.73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归口管理的行政单位离退休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9.74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9.74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4"/>
                <w:lang w:val="en-US" w:eastAsia="zh-CN" w:bidi="ar-SA"/>
              </w:rPr>
            </w:pPr>
            <w:r>
              <w:rPr>
                <w:rFonts w:hint="eastAsia" w:ascii="宋体" w:hAnsi="宋体" w:eastAsia="宋体" w:cs="宋体"/>
                <w:b w:val="0"/>
                <w:bCs w:val="0"/>
                <w:color w:val="000000"/>
                <w:sz w:val="22"/>
                <w:lang w:val="en-US" w:eastAsia="zh-CN"/>
              </w:rPr>
              <w:t>20827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2"/>
                <w:lang w:val="en-US" w:eastAsia="zh-CN" w:bidi="ar-SA"/>
              </w:rPr>
            </w:pPr>
            <w:r>
              <w:rPr>
                <w:rFonts w:hint="eastAsia" w:ascii="宋体" w:hAnsi="宋体" w:eastAsia="宋体" w:cs="宋体"/>
                <w:b w:val="0"/>
                <w:bCs w:val="0"/>
                <w:color w:val="000000"/>
                <w:sz w:val="22"/>
                <w:szCs w:val="22"/>
                <w:lang w:eastAsia="zh-CN"/>
              </w:rPr>
              <w:t>财政对其他社会保险基金补助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0.04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0.04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2082702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财政对工伤保险基金补助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0.04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0.04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4"/>
                <w:lang w:val="en-US" w:eastAsia="zh-CN" w:bidi="ar-SA"/>
              </w:rPr>
            </w:pPr>
            <w:r>
              <w:rPr>
                <w:rFonts w:hint="eastAsia" w:ascii="宋体" w:hAnsi="宋体" w:eastAsia="宋体" w:cs="宋体"/>
                <w:b w:val="0"/>
                <w:bCs w:val="0"/>
                <w:color w:val="000000"/>
                <w:sz w:val="22"/>
                <w:lang w:val="en-US" w:eastAsia="zh-CN"/>
              </w:rPr>
              <w:t>210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2"/>
                <w:lang w:val="en-US" w:eastAsia="zh-CN" w:bidi="ar-SA"/>
              </w:rPr>
            </w:pPr>
            <w:r>
              <w:rPr>
                <w:rFonts w:hint="eastAsia" w:ascii="宋体" w:hAnsi="宋体" w:eastAsia="宋体" w:cs="宋体"/>
                <w:b w:val="0"/>
                <w:bCs w:val="0"/>
                <w:color w:val="000000"/>
                <w:sz w:val="22"/>
                <w:szCs w:val="22"/>
                <w:lang w:eastAsia="zh-CN"/>
              </w:rPr>
              <w:t>卫生健康支出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4"/>
                <w:lang w:val="en-US" w:eastAsia="zh-CN" w:bidi="ar-SA"/>
              </w:rPr>
            </w:pPr>
            <w:r>
              <w:rPr>
                <w:rFonts w:hint="eastAsia" w:ascii="宋体" w:hAnsi="宋体" w:eastAsia="宋体" w:cs="宋体"/>
                <w:b w:val="0"/>
                <w:bCs w:val="0"/>
                <w:color w:val="000000"/>
                <w:sz w:val="22"/>
                <w:lang w:val="en-US" w:eastAsia="zh-CN"/>
              </w:rPr>
              <w:t>21011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2"/>
                <w:szCs w:val="22"/>
                <w:lang w:val="en-US" w:eastAsia="zh-CN" w:bidi="ar-SA"/>
              </w:rPr>
            </w:pPr>
            <w:r>
              <w:rPr>
                <w:rFonts w:hint="eastAsia" w:ascii="宋体" w:hAnsi="宋体" w:eastAsia="宋体" w:cs="宋体"/>
                <w:b w:val="0"/>
                <w:bCs w:val="0"/>
                <w:color w:val="000000"/>
                <w:sz w:val="22"/>
                <w:szCs w:val="22"/>
                <w:lang w:eastAsia="zh-CN"/>
              </w:rPr>
              <w:t>行政事业单位医疗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2101101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szCs w:val="22"/>
                <w:lang w:eastAsia="zh-CN"/>
              </w:rPr>
              <w:t>行政单位医疗</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4"/>
                <w:lang w:val="en-US" w:eastAsia="zh-CN" w:bidi="ar-SA"/>
              </w:rPr>
            </w:pPr>
            <w:r>
              <w:rPr>
                <w:rFonts w:hint="eastAsia" w:ascii="宋体" w:hAnsi="宋体" w:eastAsia="宋体" w:cs="宋体"/>
                <w:color w:val="000000"/>
                <w:sz w:val="22"/>
                <w:lang w:val="en-US" w:eastAsia="zh-CN"/>
              </w:rPr>
              <w:t>1.1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628"/>
        <w:gridCol w:w="1395"/>
        <w:gridCol w:w="1110"/>
        <w:gridCol w:w="1170"/>
        <w:gridCol w:w="1065"/>
        <w:gridCol w:w="960"/>
        <w:gridCol w:w="1247"/>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6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3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1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1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9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247"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628"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18"/>
                <w:szCs w:val="18"/>
                <w:lang w:eastAsia="zh-CN"/>
              </w:rPr>
            </w:pPr>
            <w:r>
              <w:rPr>
                <w:rFonts w:hint="eastAsia" w:ascii="Arial" w:hAnsi="Arial" w:cs="Arial"/>
                <w:color w:val="000000"/>
                <w:sz w:val="18"/>
                <w:szCs w:val="18"/>
                <w:lang w:eastAsia="zh-CN"/>
              </w:rPr>
              <w:t>科协</w:t>
            </w:r>
          </w:p>
        </w:tc>
        <w:tc>
          <w:tcPr>
            <w:tcW w:w="13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1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1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0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2207"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23" w:hRule="atLeast"/>
          <w:jc w:val="center"/>
        </w:trPr>
        <w:tc>
          <w:tcPr>
            <w:tcW w:w="273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项目</w:t>
            </w:r>
          </w:p>
        </w:tc>
        <w:tc>
          <w:tcPr>
            <w:tcW w:w="139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本年支出合计</w:t>
            </w:r>
          </w:p>
        </w:tc>
        <w:tc>
          <w:tcPr>
            <w:tcW w:w="111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基本支出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项目支出</w:t>
            </w:r>
          </w:p>
        </w:tc>
        <w:tc>
          <w:tcPr>
            <w:tcW w:w="10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上缴上级支出</w:t>
            </w:r>
          </w:p>
        </w:tc>
        <w:tc>
          <w:tcPr>
            <w:tcW w:w="9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经营支出</w:t>
            </w:r>
          </w:p>
        </w:tc>
        <w:tc>
          <w:tcPr>
            <w:tcW w:w="124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功能分类科目编码</w:t>
            </w:r>
          </w:p>
        </w:tc>
        <w:tc>
          <w:tcPr>
            <w:tcW w:w="162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科目名称</w:t>
            </w:r>
          </w:p>
        </w:tc>
        <w:tc>
          <w:tcPr>
            <w:tcW w:w="13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62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8"/>
                <w:szCs w:val="18"/>
              </w:rPr>
            </w:pPr>
          </w:p>
        </w:tc>
        <w:tc>
          <w:tcPr>
            <w:tcW w:w="13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12"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62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8"/>
                <w:szCs w:val="18"/>
              </w:rPr>
            </w:pPr>
          </w:p>
        </w:tc>
        <w:tc>
          <w:tcPr>
            <w:tcW w:w="13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9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24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27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13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11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9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124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r>
      <w:tr>
        <w:tblPrEx>
          <w:tblCellMar>
            <w:top w:w="0" w:type="dxa"/>
            <w:left w:w="0" w:type="dxa"/>
            <w:bottom w:w="0" w:type="dxa"/>
            <w:right w:w="0" w:type="dxa"/>
          </w:tblCellMar>
        </w:tblPrEx>
        <w:trPr>
          <w:trHeight w:val="323" w:hRule="atLeast"/>
          <w:jc w:val="center"/>
        </w:trPr>
        <w:tc>
          <w:tcPr>
            <w:tcW w:w="273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合计</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val="0"/>
                <w:bCs/>
                <w:color w:val="000000"/>
                <w:sz w:val="20"/>
                <w:szCs w:val="20"/>
                <w:lang w:val="en-US" w:eastAsia="zh-CN"/>
              </w:rPr>
            </w:pPr>
            <w:r>
              <w:rPr>
                <w:rFonts w:hint="eastAsia" w:ascii="宋体" w:hAnsi="宋体" w:eastAsia="宋体" w:cs="宋体"/>
                <w:b w:val="0"/>
                <w:bCs/>
                <w:color w:val="000000"/>
                <w:sz w:val="20"/>
                <w:szCs w:val="20"/>
                <w:lang w:val="en-US" w:eastAsia="zh-CN"/>
              </w:rPr>
              <w:t>83.39</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val="0"/>
                <w:bCs/>
                <w:color w:val="000000"/>
                <w:sz w:val="20"/>
                <w:szCs w:val="20"/>
                <w:lang w:val="en-US" w:eastAsia="zh-CN"/>
              </w:rPr>
            </w:pPr>
            <w:r>
              <w:rPr>
                <w:rFonts w:hint="eastAsia" w:ascii="宋体" w:hAnsi="宋体" w:eastAsia="宋体" w:cs="宋体"/>
                <w:b w:val="0"/>
                <w:bCs/>
                <w:color w:val="000000"/>
                <w:sz w:val="20"/>
                <w:szCs w:val="20"/>
                <w:lang w:val="en-US" w:eastAsia="zh-CN"/>
              </w:rPr>
              <w:t>72.36</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val="0"/>
                <w:bCs/>
                <w:color w:val="000000"/>
                <w:sz w:val="20"/>
                <w:szCs w:val="20"/>
                <w:lang w:val="en-US" w:eastAsia="zh-CN"/>
              </w:rPr>
            </w:pPr>
            <w:r>
              <w:rPr>
                <w:rFonts w:hint="eastAsia" w:ascii="宋体" w:hAnsi="宋体" w:eastAsia="宋体" w:cs="宋体"/>
                <w:b w:val="0"/>
                <w:bCs/>
                <w:color w:val="000000"/>
                <w:sz w:val="20"/>
                <w:szCs w:val="20"/>
                <w:lang w:val="en-US" w:eastAsia="zh-CN"/>
              </w:rPr>
              <w:t>11.03</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206</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科学技术支出</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70.51</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59.48</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11.03</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20607</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科学技术普及</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70.51</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59.48</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11.03</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2060701</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机构运行</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59.48</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59.48</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2060702</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科普活动</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11.03</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11.03</w:t>
            </w: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208</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社会保障和就业支出</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11.77</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11.77</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20805</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行政事业单位离退休</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11.73</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11.73</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2080501</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归口管理的行政单位离退休</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9.74</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9.74</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2080505</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机关事业单位基本养老保险缴费支出</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20827</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财政对其他社会保险基金补助</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0.04</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0.04</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2082702</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财政对工伤保险基金补助</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0.04</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0.04</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210</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卫生健康支出</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val="en-US" w:eastAsia="zh-CN"/>
              </w:rPr>
              <w:t>21011</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行政事业单位医疗</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eastAsia="宋体" w:cs="宋体"/>
                <w:color w:val="000000"/>
                <w:sz w:val="20"/>
                <w:szCs w:val="20"/>
                <w:lang w:val="en-US" w:eastAsia="zh-CN"/>
              </w:rPr>
              <w:t>2101101</w:t>
            </w:r>
          </w:p>
        </w:tc>
        <w:tc>
          <w:tcPr>
            <w:tcW w:w="16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20"/>
                <w:szCs w:val="20"/>
                <w:lang w:val="en-US" w:eastAsia="zh-CN" w:bidi="ar-SA"/>
              </w:rPr>
            </w:pPr>
            <w:r>
              <w:rPr>
                <w:rFonts w:hint="eastAsia" w:ascii="宋体" w:hAnsi="宋体" w:eastAsia="宋体" w:cs="宋体"/>
                <w:b w:val="0"/>
                <w:bCs w:val="0"/>
                <w:color w:val="000000"/>
                <w:sz w:val="20"/>
                <w:szCs w:val="20"/>
                <w:lang w:eastAsia="zh-CN"/>
              </w:rPr>
              <w:t>行政单位医疗</w:t>
            </w:r>
          </w:p>
        </w:tc>
        <w:tc>
          <w:tcPr>
            <w:tcW w:w="13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w:t>
            </w:r>
          </w:p>
        </w:tc>
        <w:tc>
          <w:tcPr>
            <w:tcW w:w="11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w:t>
            </w: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10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124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注：本表反映部门本年度各项支出情况。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1859"/>
        <w:gridCol w:w="470"/>
      </w:tblGrid>
      <w:tr>
        <w:tblPrEx>
          <w:tblCellMar>
            <w:top w:w="0" w:type="dxa"/>
            <w:left w:w="0" w:type="dxa"/>
            <w:bottom w:w="0" w:type="dxa"/>
            <w:right w:w="0" w:type="dxa"/>
          </w:tblCellMar>
        </w:tblPrEx>
        <w:trPr>
          <w:gridAfter w:val="1"/>
          <w:wAfter w:w="470" w:type="dxa"/>
          <w:trHeight w:val="406" w:hRule="atLeast"/>
          <w:jc w:val="center"/>
        </w:trPr>
        <w:tc>
          <w:tcPr>
            <w:tcW w:w="9520" w:type="dxa"/>
            <w:gridSpan w:val="7"/>
            <w:tcBorders>
              <w:top w:val="nil"/>
              <w:left w:val="nil"/>
              <w:bottom w:val="nil"/>
              <w:right w:val="nil"/>
            </w:tcBorders>
            <w:shd w:val="clear" w:color="auto" w:fill="auto"/>
            <w:noWrap/>
            <w:tcMar>
              <w:top w:w="15" w:type="dxa"/>
              <w:left w:w="15" w:type="dxa"/>
              <w:right w:w="15" w:type="dxa"/>
            </w:tcMar>
            <w:vAlign w:val="bottom"/>
          </w:tcPr>
          <w:p>
            <w:pPr>
              <w:spacing w:line="32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noWrap/>
            <w:tcMar>
              <w:top w:w="15" w:type="dxa"/>
              <w:left w:w="15" w:type="dxa"/>
              <w:right w:w="15" w:type="dxa"/>
            </w:tcMar>
            <w:vAlign w:val="center"/>
          </w:tcPr>
          <w:tbl>
            <w:tblPr>
              <w:tblStyle w:val="6"/>
              <w:tblW w:w="9736" w:type="dxa"/>
              <w:tblInd w:w="0" w:type="dxa"/>
              <w:tblLayout w:type="fixed"/>
              <w:tblCellMar>
                <w:top w:w="0" w:type="dxa"/>
                <w:left w:w="108" w:type="dxa"/>
                <w:bottom w:w="0" w:type="dxa"/>
                <w:right w:w="108" w:type="dxa"/>
              </w:tblCellMar>
            </w:tblPr>
            <w:tblGrid>
              <w:gridCol w:w="2317"/>
              <w:gridCol w:w="465"/>
              <w:gridCol w:w="748"/>
              <w:gridCol w:w="2456"/>
              <w:gridCol w:w="446"/>
              <w:gridCol w:w="498"/>
              <w:gridCol w:w="851"/>
              <w:gridCol w:w="850"/>
              <w:gridCol w:w="853"/>
              <w:gridCol w:w="252"/>
            </w:tblGrid>
            <w:tr>
              <w:tblPrEx>
                <w:tblCellMar>
                  <w:top w:w="0" w:type="dxa"/>
                  <w:left w:w="108" w:type="dxa"/>
                  <w:bottom w:w="0" w:type="dxa"/>
                  <w:right w:w="108" w:type="dxa"/>
                </w:tblCellMar>
              </w:tblPrEx>
              <w:trPr>
                <w:gridAfter w:val="1"/>
                <w:wAfter w:w="252" w:type="dxa"/>
                <w:trHeight w:val="90" w:hRule="atLeast"/>
              </w:trPr>
              <w:tc>
                <w:tcPr>
                  <w:tcW w:w="2317" w:type="dxa"/>
                  <w:tcBorders>
                    <w:top w:val="nil"/>
                    <w:left w:val="nil"/>
                    <w:bottom w:val="nil"/>
                    <w:right w:val="nil"/>
                  </w:tcBorders>
                  <w:shd w:val="clear" w:color="auto" w:fill="auto"/>
                  <w:vAlign w:val="bottom"/>
                </w:tcPr>
                <w:p>
                  <w:pPr>
                    <w:widowControl/>
                    <w:spacing w:line="240" w:lineRule="exact"/>
                    <w:jc w:val="left"/>
                    <w:rPr>
                      <w:rFonts w:ascii="宋体" w:hAnsi="宋体" w:eastAsia="宋体" w:cs="宋体"/>
                      <w:kern w:val="0"/>
                      <w:sz w:val="15"/>
                      <w:szCs w:val="15"/>
                    </w:rPr>
                  </w:pPr>
                </w:p>
              </w:tc>
              <w:tc>
                <w:tcPr>
                  <w:tcW w:w="465"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748"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245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4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98"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2554" w:type="dxa"/>
                  <w:gridSpan w:val="3"/>
                  <w:tcBorders>
                    <w:top w:val="nil"/>
                    <w:left w:val="nil"/>
                    <w:bottom w:val="nil"/>
                    <w:right w:val="nil"/>
                  </w:tcBorders>
                  <w:shd w:val="clear" w:color="auto" w:fill="auto"/>
                  <w:vAlign w:val="bottom"/>
                </w:tcPr>
                <w:p>
                  <w:pPr>
                    <w:widowControl/>
                    <w:spacing w:line="240" w:lineRule="exact"/>
                    <w:ind w:right="300"/>
                    <w:jc w:val="right"/>
                    <w:rPr>
                      <w:rFonts w:ascii="宋体" w:hAnsi="宋体" w:eastAsia="宋体" w:cs="Arial"/>
                      <w:color w:val="000000"/>
                      <w:kern w:val="0"/>
                      <w:sz w:val="15"/>
                      <w:szCs w:val="15"/>
                    </w:rPr>
                  </w:pPr>
                  <w:r>
                    <w:rPr>
                      <w:rFonts w:hint="eastAsia" w:ascii="宋体" w:hAnsi="宋体" w:eastAsia="宋体" w:cs="Arial"/>
                      <w:color w:val="000000"/>
                      <w:kern w:val="0"/>
                      <w:sz w:val="15"/>
                      <w:szCs w:val="15"/>
                    </w:rPr>
                    <w:t>公开04表</w:t>
                  </w:r>
                </w:p>
              </w:tc>
            </w:tr>
            <w:tr>
              <w:tblPrEx>
                <w:tblCellMar>
                  <w:top w:w="0" w:type="dxa"/>
                  <w:left w:w="108" w:type="dxa"/>
                  <w:bottom w:w="0" w:type="dxa"/>
                  <w:right w:w="108" w:type="dxa"/>
                </w:tblCellMar>
              </w:tblPrEx>
              <w:trPr>
                <w:gridAfter w:val="1"/>
                <w:wAfter w:w="252" w:type="dxa"/>
                <w:trHeight w:val="90" w:hRule="atLeast"/>
              </w:trPr>
              <w:tc>
                <w:tcPr>
                  <w:tcW w:w="2317" w:type="dxa"/>
                  <w:tcBorders>
                    <w:top w:val="nil"/>
                    <w:left w:val="nil"/>
                    <w:bottom w:val="nil"/>
                    <w:right w:val="nil"/>
                  </w:tcBorders>
                  <w:shd w:val="clear" w:color="auto" w:fill="auto"/>
                  <w:vAlign w:val="bottom"/>
                </w:tcPr>
                <w:p>
                  <w:pPr>
                    <w:widowControl/>
                    <w:spacing w:line="240" w:lineRule="exact"/>
                    <w:jc w:val="left"/>
                    <w:rPr>
                      <w:rFonts w:hint="eastAsia" w:ascii="宋体" w:hAnsi="宋体" w:eastAsia="宋体" w:cs="Arial"/>
                      <w:color w:val="000000"/>
                      <w:kern w:val="0"/>
                      <w:sz w:val="15"/>
                      <w:szCs w:val="15"/>
                      <w:lang w:eastAsia="zh-CN"/>
                    </w:rPr>
                  </w:pPr>
                  <w:r>
                    <w:rPr>
                      <w:rFonts w:hint="eastAsia" w:ascii="宋体" w:hAnsi="宋体" w:eastAsia="宋体" w:cs="Arial"/>
                      <w:color w:val="000000"/>
                      <w:kern w:val="0"/>
                      <w:sz w:val="15"/>
                      <w:szCs w:val="15"/>
                    </w:rPr>
                    <w:t>部门：</w:t>
                  </w:r>
                  <w:r>
                    <w:rPr>
                      <w:rFonts w:hint="eastAsia" w:ascii="宋体" w:hAnsi="宋体" w:eastAsia="宋体" w:cs="Arial"/>
                      <w:color w:val="000000"/>
                      <w:kern w:val="0"/>
                      <w:sz w:val="15"/>
                      <w:szCs w:val="15"/>
                      <w:lang w:eastAsia="zh-CN"/>
                    </w:rPr>
                    <w:t>科协</w:t>
                  </w:r>
                </w:p>
              </w:tc>
              <w:tc>
                <w:tcPr>
                  <w:tcW w:w="465" w:type="dxa"/>
                  <w:tcBorders>
                    <w:top w:val="nil"/>
                    <w:left w:val="nil"/>
                    <w:bottom w:val="nil"/>
                    <w:right w:val="nil"/>
                  </w:tcBorders>
                  <w:shd w:val="clear" w:color="auto" w:fill="auto"/>
                  <w:vAlign w:val="bottom"/>
                </w:tcPr>
                <w:p>
                  <w:pPr>
                    <w:widowControl/>
                    <w:spacing w:line="240" w:lineRule="exact"/>
                    <w:jc w:val="left"/>
                    <w:rPr>
                      <w:rFonts w:ascii="宋体" w:hAnsi="宋体" w:eastAsia="宋体" w:cs="Arial"/>
                      <w:color w:val="000000"/>
                      <w:kern w:val="0"/>
                      <w:sz w:val="15"/>
                      <w:szCs w:val="15"/>
                    </w:rPr>
                  </w:pPr>
                </w:p>
              </w:tc>
              <w:tc>
                <w:tcPr>
                  <w:tcW w:w="748"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245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4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98"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851"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1703" w:type="dxa"/>
                  <w:gridSpan w:val="2"/>
                  <w:tcBorders>
                    <w:top w:val="nil"/>
                    <w:left w:val="nil"/>
                    <w:bottom w:val="nil"/>
                    <w:right w:val="nil"/>
                  </w:tcBorders>
                  <w:shd w:val="clear" w:color="auto" w:fill="auto"/>
                  <w:vAlign w:val="bottom"/>
                </w:tcPr>
                <w:p>
                  <w:pPr>
                    <w:widowControl/>
                    <w:spacing w:line="24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金额单位：万元</w:t>
                  </w:r>
                </w:p>
              </w:tc>
            </w:tr>
            <w:tr>
              <w:tblPrEx>
                <w:tblCellMar>
                  <w:top w:w="0" w:type="dxa"/>
                  <w:left w:w="108" w:type="dxa"/>
                  <w:bottom w:w="0" w:type="dxa"/>
                  <w:right w:w="108" w:type="dxa"/>
                </w:tblCellMar>
              </w:tblPrEx>
              <w:trPr>
                <w:gridAfter w:val="1"/>
                <w:wAfter w:w="252" w:type="dxa"/>
                <w:trHeight w:val="90" w:hRule="atLeast"/>
              </w:trPr>
              <w:tc>
                <w:tcPr>
                  <w:tcW w:w="35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收入</w:t>
                  </w:r>
                </w:p>
              </w:tc>
              <w:tc>
                <w:tcPr>
                  <w:tcW w:w="5954" w:type="dxa"/>
                  <w:gridSpan w:val="6"/>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支出</w:t>
                  </w:r>
                </w:p>
              </w:tc>
            </w:tr>
            <w:tr>
              <w:tblPrEx>
                <w:tblCellMar>
                  <w:top w:w="0" w:type="dxa"/>
                  <w:left w:w="108" w:type="dxa"/>
                  <w:bottom w:w="0" w:type="dxa"/>
                  <w:right w:w="108" w:type="dxa"/>
                </w:tblCellMar>
              </w:tblPrEx>
              <w:trPr>
                <w:gridAfter w:val="1"/>
                <w:wAfter w:w="252" w:type="dxa"/>
                <w:trHeight w:val="312" w:hRule="atLeast"/>
              </w:trPr>
              <w:tc>
                <w:tcPr>
                  <w:tcW w:w="231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65"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48"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金额</w:t>
                  </w:r>
                </w:p>
              </w:tc>
              <w:tc>
                <w:tcPr>
                  <w:tcW w:w="2456"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46"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498"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合计</w:t>
                  </w:r>
                </w:p>
              </w:tc>
              <w:tc>
                <w:tcPr>
                  <w:tcW w:w="851"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一般公共预算财政拨款</w:t>
                  </w:r>
                </w:p>
              </w:tc>
              <w:tc>
                <w:tcPr>
                  <w:tcW w:w="850"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政府性基金预算财政拨款</w:t>
                  </w:r>
                </w:p>
              </w:tc>
              <w:tc>
                <w:tcPr>
                  <w:tcW w:w="853"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国有资本经营预算财政拨款</w:t>
                  </w:r>
                </w:p>
              </w:tc>
            </w:tr>
            <w:tr>
              <w:tblPrEx>
                <w:tblCellMar>
                  <w:top w:w="0" w:type="dxa"/>
                  <w:left w:w="108" w:type="dxa"/>
                  <w:bottom w:w="0" w:type="dxa"/>
                  <w:right w:w="108" w:type="dxa"/>
                </w:tblCellMar>
              </w:tblPrEx>
              <w:trPr>
                <w:trHeight w:val="90" w:hRule="atLeast"/>
              </w:trPr>
              <w:tc>
                <w:tcPr>
                  <w:tcW w:w="2317" w:type="dxa"/>
                  <w:vMerge w:val="continue"/>
                  <w:tcBorders>
                    <w:top w:val="nil"/>
                    <w:left w:val="single" w:color="000000" w:sz="4" w:space="0"/>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465"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748"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2456"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446"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498"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851"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850"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853"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252" w:type="dxa"/>
                  <w:tcBorders>
                    <w:top w:val="nil"/>
                    <w:left w:val="nil"/>
                    <w:bottom w:val="nil"/>
                    <w:right w:val="nil"/>
                  </w:tcBorders>
                  <w:shd w:val="clear" w:color="auto" w:fill="auto"/>
                  <w:noWrap/>
                  <w:vAlign w:val="bottom"/>
                </w:tcPr>
                <w:p>
                  <w:pPr>
                    <w:widowControl/>
                    <w:jc w:val="center"/>
                    <w:rPr>
                      <w:rFonts w:ascii="宋体" w:hAnsi="宋体" w:eastAsia="宋体" w:cs="Arial"/>
                      <w:color w:val="000000"/>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82.93</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一、一般公共服务支出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33</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二、政府性基金预算财政拨款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二、外交支出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34</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三、国有资本经营财政拨款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三、国防支出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35</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四、公共安全支出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36</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五、教育支出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37</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六、科学技术支出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38</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70.51</w:t>
                  </w: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7</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七、文化旅游体育与传媒支出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39</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8</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八、社会保障和就业支出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40</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11.77</w:t>
                  </w: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九、卫生健康支出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41</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1.1</w:t>
                  </w: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10</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十、节能环保支出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42</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十一、城乡社区支出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43</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十二、农林水支出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44</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13</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十三、交通运输支出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45</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14</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十四、资源勘探工业信息等支出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46</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十五、商业服务业等支出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47</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16</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十六、金融支出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48</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17</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十七、援助其他地区支出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49</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18</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十八、自然资源海洋气象等支出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50</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19</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十九、住房保障支出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51</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20</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二十、粮油物资储备支出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52</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二十一、国有资本经营预算支出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53</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3"/>
                      <w:szCs w:val="13"/>
                    </w:rPr>
                    <w:t>二十二、灾害防治及应急管理支出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54</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23</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二十三、其他支出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55</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25</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二十五、债务付息支出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57</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26</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二十六、抗疫特别国债安排的支出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58</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本年收入合计</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27</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82.93</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本年支出合计</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59</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83.39</w:t>
                  </w: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年初财政拨款结转和结余</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28</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0.46</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年末财政拨款结转和结余</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60</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一般公共预算财政拨款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29</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宋体" w:hAnsi="宋体" w:eastAsia="宋体" w:cs="Arial"/>
                      <w:color w:val="000000"/>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61</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政府性基金预算财政拨款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30</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62</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国有资本经营预算财政拨款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63</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总计</w:t>
                  </w:r>
                </w:p>
              </w:tc>
              <w:tc>
                <w:tcPr>
                  <w:tcW w:w="465" w:type="dxa"/>
                  <w:tcBorders>
                    <w:top w:val="nil"/>
                    <w:left w:val="nil"/>
                    <w:bottom w:val="single" w:color="000000" w:sz="8"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83.39</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总计</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64</w:t>
                  </w:r>
                </w:p>
              </w:tc>
              <w:tc>
                <w:tcPr>
                  <w:tcW w:w="49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85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83.39</w:t>
                  </w:r>
                </w:p>
              </w:tc>
              <w:tc>
                <w:tcPr>
                  <w:tcW w:w="850"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853"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single" w:color="000000" w:sz="4" w:space="0"/>
                  </w:tcBorders>
                  <w:shd w:val="clear" w:color="auto" w:fill="auto"/>
                  <w:vAlign w:val="center"/>
                </w:tcPr>
                <w:p>
                  <w:pPr>
                    <w:widowControl/>
                    <w:spacing w:line="200" w:lineRule="exact"/>
                    <w:jc w:val="left"/>
                    <w:rPr>
                      <w:rFonts w:ascii="Times New Roman" w:hAnsi="Times New Roman" w:eastAsia="Times New Roman" w:cs="Times New Roman"/>
                      <w:kern w:val="0"/>
                      <w:sz w:val="15"/>
                      <w:szCs w:val="15"/>
                    </w:rPr>
                  </w:pPr>
                  <w:r>
                    <w:rPr>
                      <w:rFonts w:hint="eastAsia" w:ascii="宋体" w:hAnsi="宋体" w:eastAsia="宋体" w:cs="Arial"/>
                      <w:color w:val="000000"/>
                      <w:kern w:val="0"/>
                      <w:sz w:val="15"/>
                      <w:szCs w:val="15"/>
                    </w:rPr>
                    <w:t>注：本表反映部门本年度一般公共预算财政拨款、政府性基金预算财政拨款和国有资本经营预算财政拨款的总收支和年末结转结余情况。</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nil"/>
                  </w:tcBorders>
                  <w:shd w:val="clear" w:color="auto" w:fill="auto"/>
                  <w:vAlign w:val="center"/>
                </w:tcPr>
                <w:p>
                  <w:pPr>
                    <w:widowControl/>
                    <w:spacing w:line="240" w:lineRule="exact"/>
                    <w:jc w:val="left"/>
                    <w:rPr>
                      <w:rFonts w:ascii="宋体" w:hAnsi="宋体" w:eastAsia="宋体" w:cs="Arial"/>
                      <w:color w:val="000000"/>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bl>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46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18"/>
                <w:szCs w:val="18"/>
                <w:lang w:eastAsia="zh-CN"/>
              </w:rPr>
            </w:pPr>
            <w:r>
              <w:rPr>
                <w:rFonts w:hint="eastAsia" w:ascii="Arial" w:hAnsi="Arial" w:cs="Arial"/>
                <w:color w:val="000000"/>
                <w:sz w:val="18"/>
                <w:szCs w:val="18"/>
                <w:lang w:eastAsia="zh-CN"/>
              </w:rPr>
              <w:t>科协</w:t>
            </w: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18"/>
                <w:szCs w:val="18"/>
              </w:rPr>
            </w:pPr>
          </w:p>
        </w:tc>
        <w:tc>
          <w:tcPr>
            <w:tcW w:w="46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项目</w:t>
            </w:r>
          </w:p>
        </w:tc>
        <w:tc>
          <w:tcPr>
            <w:tcW w:w="6987"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基本支出</w:t>
            </w:r>
          </w:p>
        </w:tc>
        <w:tc>
          <w:tcPr>
            <w:tcW w:w="232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val="0"/>
                <w:bCs/>
                <w:color w:val="000000"/>
                <w:sz w:val="18"/>
                <w:szCs w:val="18"/>
                <w:lang w:val="en-US" w:eastAsia="zh-CN"/>
              </w:rPr>
            </w:pPr>
            <w:r>
              <w:rPr>
                <w:rFonts w:hint="eastAsia" w:ascii="宋体" w:hAnsi="宋体" w:eastAsia="宋体" w:cs="宋体"/>
                <w:b w:val="0"/>
                <w:bCs/>
                <w:color w:val="000000"/>
                <w:sz w:val="18"/>
                <w:szCs w:val="18"/>
                <w:lang w:val="en-US" w:eastAsia="zh-CN"/>
              </w:rPr>
              <w:t>83.39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val="0"/>
                <w:bCs/>
                <w:color w:val="000000"/>
                <w:sz w:val="18"/>
                <w:szCs w:val="18"/>
                <w:lang w:val="en-US" w:eastAsia="zh-CN"/>
              </w:rPr>
            </w:pPr>
            <w:r>
              <w:rPr>
                <w:rFonts w:hint="eastAsia" w:ascii="宋体" w:hAnsi="宋体" w:eastAsia="宋体" w:cs="宋体"/>
                <w:b w:val="0"/>
                <w:bCs/>
                <w:color w:val="000000"/>
                <w:sz w:val="18"/>
                <w:szCs w:val="18"/>
                <w:lang w:val="en-US" w:eastAsia="zh-CN"/>
              </w:rPr>
              <w:t>72.36</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val="0"/>
                <w:bCs/>
                <w:color w:val="000000"/>
                <w:sz w:val="18"/>
                <w:szCs w:val="18"/>
                <w:lang w:val="en-US" w:eastAsia="zh-CN"/>
              </w:rPr>
            </w:pPr>
            <w:r>
              <w:rPr>
                <w:rFonts w:hint="eastAsia" w:ascii="宋体" w:hAnsi="宋体" w:eastAsia="宋体" w:cs="宋体"/>
                <w:b w:val="0"/>
                <w:bCs/>
                <w:color w:val="000000"/>
                <w:sz w:val="18"/>
                <w:szCs w:val="18"/>
                <w:lang w:val="en-US" w:eastAsia="zh-CN"/>
              </w:rPr>
              <w:t>11.03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206</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科学技术支出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70.51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59.48</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11.03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20607</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科学技术普及</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70.51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59.48</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11.03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2060701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机构运行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59.48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59.48</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2060702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科普活动</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11.03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11.03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社会保障和就业支出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11.77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11.77</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20805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行政事业单位离退休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11.73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11.73</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2080501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归口管理的行政单位离退休</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9.74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9.74</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2080505</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机关事业单位基本养老保险缴费支出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2</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20827</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财政对其他社会保险基金补助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0.04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0.04</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2082702</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财政对工伤保险基金补助</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0.04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0.04</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210</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卫生健康支出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21011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行政事业单位医疗</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val="en-US" w:eastAsia="zh-CN"/>
              </w:rPr>
              <w:t>2101101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b w:val="0"/>
                <w:bCs w:val="0"/>
                <w:color w:val="000000"/>
                <w:kern w:val="2"/>
                <w:sz w:val="18"/>
                <w:szCs w:val="18"/>
                <w:lang w:val="en-US" w:eastAsia="zh-CN" w:bidi="ar-SA"/>
              </w:rPr>
            </w:pPr>
            <w:r>
              <w:rPr>
                <w:rFonts w:hint="eastAsia" w:ascii="宋体" w:hAnsi="宋体" w:eastAsia="宋体" w:cs="宋体"/>
                <w:b w:val="0"/>
                <w:bCs w:val="0"/>
                <w:color w:val="000000"/>
                <w:sz w:val="18"/>
                <w:szCs w:val="18"/>
                <w:lang w:eastAsia="zh-CN"/>
              </w:rPr>
              <w:t>行政单位医疗</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18"/>
                <w:szCs w:val="18"/>
                <w:lang w:val="en-US" w:eastAsia="zh-CN" w:bidi="ar-SA"/>
              </w:rPr>
            </w:pPr>
            <w:r>
              <w:rPr>
                <w:rFonts w:hint="eastAsia" w:ascii="宋体" w:hAnsi="宋体" w:eastAsia="宋体" w:cs="宋体"/>
                <w:color w:val="000000"/>
                <w:sz w:val="18"/>
                <w:szCs w:val="18"/>
                <w:lang w:val="en-US" w:eastAsia="zh-CN"/>
              </w:rPr>
              <w:t>1.1</w:t>
            </w:r>
          </w:p>
        </w:tc>
        <w:tc>
          <w:tcPr>
            <w:tcW w:w="232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0" w:type="auto"/>
            <w:gridSpan w:val="3"/>
            <w:vAlign w:val="center"/>
          </w:tcPr>
          <w:p>
            <w:pPr>
              <w:jc w:val="left"/>
              <w:rPr>
                <w:rFonts w:hint="eastAsia" w:ascii="宋体" w:hAnsi="宋体" w:eastAsia="宋体" w:cs="宋体"/>
                <w:b/>
                <w:bCs/>
                <w:color w:val="000000"/>
                <w:kern w:val="2"/>
                <w:sz w:val="22"/>
                <w:szCs w:val="24"/>
                <w:lang w:val="en-US" w:eastAsia="zh-CN" w:bidi="ar-SA"/>
              </w:rPr>
            </w:pPr>
          </w:p>
        </w:tc>
        <w:tc>
          <w:tcPr>
            <w:tcW w:w="0" w:type="auto"/>
            <w:vAlign w:val="center"/>
          </w:tcPr>
          <w:p>
            <w:pPr>
              <w:jc w:val="left"/>
              <w:rPr>
                <w:rFonts w:hint="eastAsia" w:ascii="宋体" w:hAnsi="宋体" w:eastAsia="宋体" w:cs="宋体"/>
                <w:b/>
                <w:bCs/>
                <w:color w:val="000000"/>
                <w:kern w:val="2"/>
                <w:sz w:val="15"/>
                <w:szCs w:val="15"/>
                <w:lang w:val="en-US" w:eastAsia="zh-CN" w:bidi="ar-SA"/>
              </w:rPr>
            </w:pPr>
          </w:p>
        </w:tc>
        <w:tc>
          <w:tcPr>
            <w:tcW w:w="0" w:type="auto"/>
            <w:vAlign w:val="center"/>
          </w:tcPr>
          <w:p>
            <w:pPr>
              <w:jc w:val="right"/>
              <w:rPr>
                <w:rFonts w:hint="default" w:ascii="宋体" w:hAnsi="宋体" w:eastAsia="宋体" w:cs="宋体"/>
                <w:color w:val="000000"/>
                <w:kern w:val="2"/>
                <w:sz w:val="18"/>
                <w:szCs w:val="18"/>
                <w:lang w:val="en-US" w:eastAsia="zh-CN" w:bidi="ar-SA"/>
              </w:rPr>
            </w:pPr>
          </w:p>
        </w:tc>
        <w:tc>
          <w:tcPr>
            <w:tcW w:w="0" w:type="auto"/>
            <w:vAlign w:val="center"/>
          </w:tcPr>
          <w:p>
            <w:pPr>
              <w:jc w:val="right"/>
              <w:rPr>
                <w:rFonts w:hint="default" w:ascii="宋体" w:hAnsi="宋体" w:eastAsia="宋体" w:cs="宋体"/>
                <w:color w:val="000000"/>
                <w:kern w:val="2"/>
                <w:sz w:val="18"/>
                <w:szCs w:val="18"/>
                <w:lang w:val="en-US" w:eastAsia="zh-CN" w:bidi="ar-SA"/>
              </w:rPr>
            </w:pPr>
          </w:p>
        </w:tc>
        <w:tc>
          <w:tcPr>
            <w:tcW w:w="0" w:type="auto"/>
            <w:gridSpan w:val="2"/>
            <w:vAlign w:val="center"/>
          </w:tcPr>
          <w:p>
            <w:pPr>
              <w:jc w:val="right"/>
              <w:rPr>
                <w:rFonts w:ascii="宋体" w:hAnsi="宋体" w:eastAsia="宋体" w:cs="宋体"/>
                <w:color w:val="000000"/>
                <w:kern w:val="2"/>
                <w:sz w:val="18"/>
                <w:szCs w:val="18"/>
                <w:lang w:val="en-US" w:eastAsia="zh-CN" w:bidi="ar-SA"/>
              </w:rPr>
            </w:pPr>
          </w:p>
        </w:tc>
      </w:tr>
      <w:tr>
        <w:tblPrEx>
          <w:tblCellMar>
            <w:top w:w="0" w:type="dxa"/>
            <w:left w:w="0" w:type="dxa"/>
            <w:bottom w:w="0" w:type="dxa"/>
            <w:right w:w="0" w:type="dxa"/>
          </w:tblCellMar>
        </w:tblPrEx>
        <w:trPr>
          <w:trHeight w:val="308" w:hRule="atLeast"/>
          <w:jc w:val="center"/>
        </w:trPr>
        <w:tc>
          <w:tcPr>
            <w:tcW w:w="0" w:type="auto"/>
            <w:gridSpan w:val="3"/>
            <w:vAlign w:val="center"/>
          </w:tcPr>
          <w:p>
            <w:pPr>
              <w:jc w:val="left"/>
              <w:rPr>
                <w:rFonts w:hint="eastAsia" w:ascii="宋体" w:hAnsi="宋体" w:eastAsia="宋体" w:cs="宋体"/>
                <w:color w:val="000000"/>
                <w:kern w:val="2"/>
                <w:sz w:val="22"/>
                <w:szCs w:val="24"/>
                <w:lang w:val="en-US" w:eastAsia="zh-CN" w:bidi="ar-SA"/>
              </w:rPr>
            </w:pPr>
          </w:p>
        </w:tc>
        <w:tc>
          <w:tcPr>
            <w:tcW w:w="0" w:type="auto"/>
            <w:vAlign w:val="center"/>
          </w:tcPr>
          <w:p>
            <w:pPr>
              <w:jc w:val="left"/>
              <w:rPr>
                <w:rFonts w:hint="eastAsia" w:ascii="宋体" w:hAnsi="宋体" w:eastAsia="宋体" w:cs="宋体"/>
                <w:color w:val="000000"/>
                <w:kern w:val="2"/>
                <w:sz w:val="15"/>
                <w:szCs w:val="15"/>
                <w:lang w:val="en-US" w:eastAsia="zh-CN" w:bidi="ar-SA"/>
              </w:rPr>
            </w:pPr>
          </w:p>
        </w:tc>
        <w:tc>
          <w:tcPr>
            <w:tcW w:w="0" w:type="auto"/>
            <w:vAlign w:val="center"/>
          </w:tcPr>
          <w:p>
            <w:pPr>
              <w:jc w:val="right"/>
              <w:rPr>
                <w:rFonts w:hint="default" w:ascii="宋体" w:hAnsi="宋体" w:eastAsia="宋体" w:cs="宋体"/>
                <w:color w:val="000000"/>
                <w:kern w:val="2"/>
                <w:sz w:val="18"/>
                <w:szCs w:val="18"/>
                <w:lang w:val="en-US" w:eastAsia="zh-CN" w:bidi="ar-SA"/>
              </w:rPr>
            </w:pPr>
          </w:p>
        </w:tc>
        <w:tc>
          <w:tcPr>
            <w:tcW w:w="0" w:type="auto"/>
            <w:vAlign w:val="center"/>
          </w:tcPr>
          <w:p>
            <w:pPr>
              <w:jc w:val="right"/>
              <w:rPr>
                <w:rFonts w:hint="default" w:ascii="宋体" w:hAnsi="宋体" w:eastAsia="宋体" w:cs="宋体"/>
                <w:color w:val="000000"/>
                <w:kern w:val="2"/>
                <w:sz w:val="18"/>
                <w:szCs w:val="18"/>
                <w:lang w:val="en-US" w:eastAsia="zh-CN" w:bidi="ar-SA"/>
              </w:rPr>
            </w:pPr>
          </w:p>
        </w:tc>
        <w:tc>
          <w:tcPr>
            <w:tcW w:w="0" w:type="auto"/>
            <w:gridSpan w:val="2"/>
            <w:vAlign w:val="center"/>
          </w:tcPr>
          <w:p>
            <w:pPr>
              <w:jc w:val="right"/>
              <w:rPr>
                <w:rFonts w:ascii="宋体" w:hAnsi="宋体" w:eastAsia="宋体" w:cs="宋体"/>
                <w:color w:val="000000"/>
                <w:kern w:val="2"/>
                <w:sz w:val="18"/>
                <w:szCs w:val="18"/>
                <w:lang w:val="en-US" w:eastAsia="zh-CN" w:bidi="ar-SA"/>
              </w:rPr>
            </w:pPr>
          </w:p>
        </w:tc>
      </w:tr>
    </w:tbl>
    <w:p>
      <w:r>
        <w:br w:type="page"/>
      </w:r>
    </w:p>
    <w:p/>
    <w:p>
      <w:pPr>
        <w:widowControl/>
        <w:jc w:val="center"/>
        <w:textAlignment w:val="center"/>
        <w:rPr>
          <w:rFonts w:ascii="黑体" w:hAnsi="宋体" w:eastAsia="黑体" w:cs="黑体"/>
          <w:color w:val="000000"/>
          <w:kern w:val="0"/>
          <w:sz w:val="28"/>
          <w:szCs w:val="28"/>
        </w:rPr>
        <w:sectPr>
          <w:headerReference r:id="rId12" w:type="default"/>
          <w:footerReference r:id="rId13" w:type="default"/>
          <w:pgSz w:w="11906" w:h="16838"/>
          <w:pgMar w:top="2098" w:right="1531" w:bottom="1984" w:left="1531" w:header="851" w:footer="992" w:gutter="0"/>
          <w:cols w:space="425" w:num="1"/>
          <w:docGrid w:type="lines" w:linePitch="312" w:charSpace="0"/>
        </w:sectPr>
      </w:pPr>
    </w:p>
    <w:tbl>
      <w:tblPr>
        <w:tblStyle w:val="6"/>
        <w:tblW w:w="14076" w:type="dxa"/>
        <w:jc w:val="center"/>
        <w:tblLayout w:type="fixed"/>
        <w:tblCellMar>
          <w:top w:w="0" w:type="dxa"/>
          <w:left w:w="0" w:type="dxa"/>
          <w:bottom w:w="0" w:type="dxa"/>
          <w:right w:w="0" w:type="dxa"/>
        </w:tblCellMar>
      </w:tblPr>
      <w:tblGrid>
        <w:gridCol w:w="1251"/>
        <w:gridCol w:w="2477"/>
        <w:gridCol w:w="1317"/>
        <w:gridCol w:w="913"/>
        <w:gridCol w:w="2463"/>
        <w:gridCol w:w="966"/>
        <w:gridCol w:w="861"/>
        <w:gridCol w:w="3028"/>
        <w:gridCol w:w="800"/>
      </w:tblGrid>
      <w:tr>
        <w:tblPrEx>
          <w:tblCellMar>
            <w:top w:w="0" w:type="dxa"/>
            <w:left w:w="0" w:type="dxa"/>
            <w:bottom w:w="0" w:type="dxa"/>
            <w:right w:w="0" w:type="dxa"/>
          </w:tblCellMar>
        </w:tblPrEx>
        <w:trPr>
          <w:trHeight w:val="404" w:hRule="atLeast"/>
          <w:jc w:val="center"/>
        </w:trPr>
        <w:tc>
          <w:tcPr>
            <w:tcW w:w="14076" w:type="dxa"/>
            <w:gridSpan w:val="9"/>
            <w:tcBorders>
              <w:top w:val="nil"/>
              <w:left w:val="nil"/>
              <w:bottom w:val="nil"/>
              <w:right w:val="nil"/>
            </w:tcBorders>
            <w:shd w:val="clear" w:color="auto" w:fill="auto"/>
            <w:tcMar>
              <w:top w:w="15" w:type="dxa"/>
              <w:left w:w="15" w:type="dxa"/>
              <w:right w:w="15" w:type="dxa"/>
            </w:tcMar>
            <w:vAlign w:val="center"/>
          </w:tcPr>
          <w:p>
            <w:pPr>
              <w:widowControl/>
              <w:spacing w:line="420" w:lineRule="exact"/>
              <w:jc w:val="center"/>
              <w:textAlignment w:val="center"/>
              <w:rPr>
                <w:rFonts w:ascii="黑体" w:hAnsi="宋体" w:eastAsia="黑体" w:cs="黑体"/>
                <w:color w:val="000000"/>
                <w:sz w:val="32"/>
                <w:szCs w:val="32"/>
              </w:rPr>
            </w:pPr>
            <w:r>
              <w:rPr>
                <w:rFonts w:hint="eastAsia" w:ascii="黑体" w:hAnsi="宋体" w:eastAsia="黑体" w:cs="黑体"/>
                <w:color w:val="000000"/>
                <w:kern w:val="0"/>
                <w:sz w:val="28"/>
                <w:szCs w:val="28"/>
              </w:rPr>
              <w:t>一般公共预算财政拨款基本支出决算表</w:t>
            </w:r>
          </w:p>
        </w:tc>
      </w:tr>
      <w:tr>
        <w:tblPrEx>
          <w:tblCellMar>
            <w:top w:w="0" w:type="dxa"/>
            <w:left w:w="0" w:type="dxa"/>
            <w:bottom w:w="0" w:type="dxa"/>
            <w:right w:w="0" w:type="dxa"/>
          </w:tblCellMar>
        </w:tblPrEx>
        <w:trPr>
          <w:trHeight w:val="66" w:hRule="atLeast"/>
          <w:jc w:val="center"/>
        </w:trPr>
        <w:tc>
          <w:tcPr>
            <w:tcW w:w="1251"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6"/>
                <w:szCs w:val="16"/>
              </w:rPr>
            </w:pPr>
          </w:p>
        </w:tc>
        <w:tc>
          <w:tcPr>
            <w:tcW w:w="247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rPr>
              <w:t>公开06表</w:t>
            </w:r>
          </w:p>
        </w:tc>
      </w:tr>
      <w:tr>
        <w:tblPrEx>
          <w:tblCellMar>
            <w:top w:w="0" w:type="dxa"/>
            <w:left w:w="0" w:type="dxa"/>
            <w:bottom w:w="0" w:type="dxa"/>
            <w:right w:w="0" w:type="dxa"/>
          </w:tblCellMar>
        </w:tblPrEx>
        <w:trPr>
          <w:trHeight w:val="61" w:hRule="atLeast"/>
          <w:jc w:val="center"/>
        </w:trPr>
        <w:tc>
          <w:tcPr>
            <w:tcW w:w="1251" w:type="dxa"/>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lef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rPr>
              <w:t>部门：</w:t>
            </w:r>
          </w:p>
        </w:tc>
        <w:tc>
          <w:tcPr>
            <w:tcW w:w="247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hint="eastAsia" w:ascii="Arial" w:hAnsi="Arial" w:cs="Arial" w:eastAsiaTheme="minorEastAsia"/>
                <w:color w:val="000000"/>
                <w:sz w:val="16"/>
                <w:szCs w:val="16"/>
                <w:lang w:eastAsia="zh-CN"/>
              </w:rPr>
            </w:pPr>
            <w:r>
              <w:rPr>
                <w:rFonts w:hint="eastAsia" w:ascii="Arial" w:hAnsi="Arial" w:cs="Arial"/>
                <w:color w:val="000000"/>
                <w:sz w:val="16"/>
                <w:szCs w:val="16"/>
                <w:lang w:eastAsia="zh-CN"/>
              </w:rPr>
              <w:t>科协</w:t>
            </w:r>
          </w:p>
        </w:tc>
        <w:tc>
          <w:tcPr>
            <w:tcW w:w="1317"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rPr>
              <w:t>金额单位：万元</w:t>
            </w:r>
          </w:p>
        </w:tc>
      </w:tr>
      <w:tr>
        <w:tblPrEx>
          <w:tblCellMar>
            <w:top w:w="0" w:type="dxa"/>
            <w:left w:w="0" w:type="dxa"/>
            <w:bottom w:w="0" w:type="dxa"/>
            <w:right w:w="0" w:type="dxa"/>
          </w:tblCellMar>
        </w:tblPrEx>
        <w:trPr>
          <w:trHeight w:val="242" w:hRule="atLeast"/>
          <w:jc w:val="center"/>
        </w:trPr>
        <w:tc>
          <w:tcPr>
            <w:tcW w:w="50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人员经费</w:t>
            </w:r>
          </w:p>
        </w:tc>
        <w:tc>
          <w:tcPr>
            <w:tcW w:w="9031"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公用经费</w:t>
            </w:r>
          </w:p>
        </w:tc>
      </w:tr>
      <w:tr>
        <w:tblPrEx>
          <w:tblCellMar>
            <w:top w:w="0" w:type="dxa"/>
            <w:left w:w="0" w:type="dxa"/>
            <w:bottom w:w="0" w:type="dxa"/>
            <w:right w:w="0" w:type="dxa"/>
          </w:tblCellMar>
        </w:tblPrEx>
        <w:trPr>
          <w:trHeight w:val="240" w:hRule="atLeast"/>
          <w:jc w:val="center"/>
        </w:trPr>
        <w:tc>
          <w:tcPr>
            <w:tcW w:w="125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2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13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c>
          <w:tcPr>
            <w:tcW w:w="9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24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9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c>
          <w:tcPr>
            <w:tcW w:w="8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科目编码</w:t>
            </w:r>
          </w:p>
        </w:tc>
        <w:tc>
          <w:tcPr>
            <w:tcW w:w="302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科目名称</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rPr>
              <w:t>决算数</w:t>
            </w:r>
          </w:p>
        </w:tc>
      </w:tr>
      <w:tr>
        <w:tblPrEx>
          <w:tblCellMar>
            <w:top w:w="0" w:type="dxa"/>
            <w:left w:w="0" w:type="dxa"/>
            <w:bottom w:w="0" w:type="dxa"/>
            <w:right w:w="0" w:type="dxa"/>
          </w:tblCellMar>
        </w:tblPrEx>
        <w:trPr>
          <w:trHeight w:val="312" w:hRule="atLeast"/>
          <w:jc w:val="center"/>
        </w:trPr>
        <w:tc>
          <w:tcPr>
            <w:tcW w:w="125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8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3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工资福利支出</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52.24</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商品和服务支出</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10.38</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债务利息及费用支出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基本工资</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21.07</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办公费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2.73</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30701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国内债务付息</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津贴补贴</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17.24</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印刷费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30702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国外债务付息</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奖金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6.26</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咨询费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资本性支出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伙食补助费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手续费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房屋建筑物购建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绩效工资</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水费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办公设备购置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机关事业单位基本养老保险缴费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4.93</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电费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专用设备购置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职业年金缴费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邮电费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3.03</w:t>
            </w: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31005</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基础设施建设</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职工基本医疗保险缴费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2.61</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取暖费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大型修缮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公务员医疗补助缴费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30209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物业管理费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信息网络及软件购置更新</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其他社会保障缴费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0.13</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差旅费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物资储备</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住房公积金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因公出国（境）费用</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31009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土地补偿</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30114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医疗费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维修（护）费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安置补助</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30199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其他工资福利支出</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租赁费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地上附着物和青苗补偿</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对个人和家庭的补助</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9.74</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会议费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拆迁补偿</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离休费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培训费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公务用车购置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退休费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3.34</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公务接待费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31019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其他交通工具购置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退职（役）费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30218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专用材料费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31021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文物和陈列品购置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抚恤金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被装购置费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31022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无形资产购置</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30305</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生活补助</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专用燃料费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31099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其他资本性支出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救济费</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劳务费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医疗费补助</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委托业务费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赠与</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助学金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工会经费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国家赔偿费用支出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奖励金</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6.4</w:t>
            </w: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30229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福利费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5"/>
                <w:szCs w:val="15"/>
              </w:rPr>
              <w:t>对民间非营利组织和群众性自治组织补贴</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个人农业生产补贴</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30231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公务用车运行维护费</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39999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其他支出</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30399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其他对个人和家庭的补助</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30239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其他交通费用</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4.63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30240</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税金及附加费用</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30299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其他商品和服务支出</w:t>
            </w:r>
          </w:p>
        </w:tc>
        <w:tc>
          <w:tcPr>
            <w:tcW w:w="9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37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人员经费合计</w:t>
            </w:r>
          </w:p>
        </w:tc>
        <w:tc>
          <w:tcPr>
            <w:tcW w:w="13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61.98</w:t>
            </w:r>
          </w:p>
        </w:tc>
        <w:tc>
          <w:tcPr>
            <w:tcW w:w="823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公用经费合计</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val="en-US" w:eastAsia="zh-CN"/>
              </w:rPr>
              <w:t>10.38</w:t>
            </w:r>
          </w:p>
        </w:tc>
      </w:tr>
    </w:tbl>
    <w:p>
      <w:pPr>
        <w:widowControl/>
        <w:jc w:val="center"/>
        <w:textAlignment w:val="center"/>
        <w:sectPr>
          <w:pgSz w:w="16838" w:h="11906" w:orient="landscape"/>
          <w:pgMar w:top="1531" w:right="2098" w:bottom="1531" w:left="1984" w:header="851" w:footer="992" w:gutter="0"/>
          <w:cols w:space="425" w:num="1"/>
          <w:docGrid w:type="lines" w:linePitch="312" w:charSpace="0"/>
        </w:sectPr>
      </w:pP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sz w:val="28"/>
                <w:szCs w:val="28"/>
              </w:rPr>
              <w:br w:type="page"/>
            </w:r>
            <w:r>
              <w:rPr>
                <w:rFonts w:hint="eastAsia" w:ascii="黑体" w:hAnsi="宋体" w:eastAsia="黑体" w:cs="黑体"/>
                <w:color w:val="000000"/>
                <w:kern w:val="0"/>
                <w:sz w:val="28"/>
                <w:szCs w:val="28"/>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hint="eastAsia" w:ascii="Arial" w:hAnsi="Arial" w:cs="Arial" w:eastAsiaTheme="minorEastAsia"/>
                <w:color w:val="000000"/>
                <w:sz w:val="18"/>
                <w:szCs w:val="18"/>
                <w:lang w:eastAsia="zh-CN"/>
              </w:rPr>
            </w:pPr>
            <w:r>
              <w:rPr>
                <w:rFonts w:hint="eastAsia" w:ascii="Arial" w:hAnsi="Arial" w:cs="Arial"/>
                <w:color w:val="000000"/>
                <w:sz w:val="18"/>
                <w:szCs w:val="18"/>
                <w:lang w:eastAsia="zh-CN"/>
              </w:rPr>
              <w:t>科协</w:t>
            </w:r>
          </w:p>
        </w:tc>
        <w:tc>
          <w:tcPr>
            <w:tcW w:w="1565"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 w:val="20"/>
                <w:szCs w:val="21"/>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黑体" w:hAnsi="黑体" w:eastAsia="黑体" w:cs="宋体"/>
                <w:color w:val="000000"/>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r>
    </w:tbl>
    <w:p>
      <w:pPr>
        <w:rPr>
          <w:rFonts w:hint="eastAsia" w:ascii="宋体" w:hAnsi="宋体" w:eastAsia="宋体" w:cs="宋体"/>
          <w:sz w:val="20"/>
          <w:szCs w:val="20"/>
        </w:rPr>
      </w:pPr>
      <w:r>
        <w:rPr>
          <w:rFonts w:hint="eastAsia" w:ascii="宋体" w:hAnsi="宋体" w:eastAsia="宋体" w:cs="宋体"/>
          <w:sz w:val="20"/>
          <w:szCs w:val="20"/>
        </w:rPr>
        <w:t>注：</w:t>
      </w:r>
      <w:r>
        <w:rPr>
          <w:rFonts w:hint="eastAsia" w:ascii="宋体" w:hAnsi="宋体" w:eastAsia="宋体" w:cs="宋体"/>
          <w:sz w:val="20"/>
          <w:szCs w:val="20"/>
          <w:lang w:eastAsia="zh-CN"/>
        </w:rPr>
        <w:t>本单位本部门无相关收入情况，按要求空表列示。</w:t>
      </w:r>
    </w:p>
    <w:p>
      <w:r>
        <w:rPr>
          <w:rFonts w:hint="eastAsia" w:ascii="宋体" w:hAnsi="宋体" w:eastAsia="宋体" w:cs="宋体"/>
          <w:sz w:val="20"/>
          <w:szCs w:val="22"/>
        </w:rPr>
        <w:t>注：本表反映部门本年度“三公”经费支出预决算情况。其中：预算数为“三公”经费</w:t>
      </w:r>
      <w:r>
        <w:rPr>
          <w:rFonts w:hint="eastAsia" w:ascii="宋体" w:hAnsi="宋体" w:eastAsia="宋体" w:cs="宋体"/>
          <w:b/>
          <w:sz w:val="20"/>
          <w:szCs w:val="22"/>
        </w:rPr>
        <w:t>全年预算数</w:t>
      </w:r>
      <w:r>
        <w:rPr>
          <w:rFonts w:hint="eastAsia" w:ascii="宋体" w:hAnsi="宋体" w:eastAsia="宋体" w:cs="宋体"/>
          <w:sz w:val="20"/>
          <w:szCs w:val="22"/>
        </w:rPr>
        <w:t>，反映按规定程序调整后的预算数；决算数是包括当年一般公共预算财政拨款和以前年度结转资金安排的实际支出。</w:t>
      </w:r>
      <w:r>
        <w:rPr>
          <w:rFonts w:hint="eastAsia" w:ascii="仿宋_GB2312" w:hAnsi="仿宋_GB2312" w:eastAsia="仿宋_GB2312" w:cs="仿宋_GB2312"/>
          <w:sz w:val="20"/>
          <w:szCs w:val="22"/>
        </w:rPr>
        <w:tab/>
      </w:r>
      <w:r>
        <w:rPr>
          <w:sz w:val="20"/>
          <w:szCs w:val="22"/>
        </w:rPr>
        <w:tab/>
      </w:r>
      <w:r>
        <w:tab/>
      </w:r>
      <w:r>
        <w:tab/>
      </w:r>
      <w:r>
        <w:tab/>
      </w:r>
      <w:r>
        <w:tab/>
      </w:r>
      <w:r>
        <w:tab/>
      </w:r>
      <w:r>
        <w:tab/>
      </w:r>
      <w:r>
        <w:tab/>
      </w:r>
      <w:r>
        <w:tab/>
      </w:r>
      <w:r>
        <w:tab/>
      </w:r>
      <w:r>
        <w:br w:type="page"/>
      </w:r>
    </w:p>
    <w:tbl>
      <w:tblPr>
        <w:tblStyle w:val="6"/>
        <w:tblW w:w="9510" w:type="dxa"/>
        <w:jc w:val="center"/>
        <w:tblLayout w:type="autofit"/>
        <w:tblCellMar>
          <w:top w:w="0" w:type="dxa"/>
          <w:left w:w="0" w:type="dxa"/>
          <w:bottom w:w="0" w:type="dxa"/>
          <w:right w:w="0" w:type="dxa"/>
        </w:tblCellMar>
      </w:tblPr>
      <w:tblGrid>
        <w:gridCol w:w="966"/>
        <w:gridCol w:w="61"/>
        <w:gridCol w:w="61"/>
        <w:gridCol w:w="1407"/>
        <w:gridCol w:w="1169"/>
        <w:gridCol w:w="1169"/>
        <w:gridCol w:w="1169"/>
        <w:gridCol w:w="1169"/>
        <w:gridCol w:w="1169"/>
        <w:gridCol w:w="117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lef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hint="eastAsia" w:ascii="Arial" w:hAnsi="Arial" w:cs="Arial" w:eastAsiaTheme="minorEastAsia"/>
                <w:color w:val="000000"/>
                <w:sz w:val="18"/>
                <w:szCs w:val="18"/>
                <w:lang w:eastAsia="zh-CN"/>
              </w:rPr>
            </w:pPr>
            <w:r>
              <w:rPr>
                <w:rFonts w:hint="eastAsia" w:ascii="Arial" w:hAnsi="Arial" w:cs="Arial"/>
                <w:color w:val="000000"/>
                <w:sz w:val="18"/>
                <w:szCs w:val="18"/>
                <w:lang w:eastAsia="zh-CN"/>
              </w:rPr>
              <w:t>科协</w:t>
            </w: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tcBorders>
              <w:top w:val="nil"/>
              <w:left w:val="nil"/>
              <w:bottom w:val="nil"/>
              <w:right w:val="nil"/>
            </w:tcBorders>
            <w:shd w:val="clear" w:color="auto" w:fill="auto"/>
            <w:noWrap/>
            <w:tcMar>
              <w:top w:w="15" w:type="dxa"/>
              <w:left w:w="15" w:type="dxa"/>
              <w:right w:w="15" w:type="dxa"/>
            </w:tcMar>
            <w:vAlign w:val="bottom"/>
          </w:tcPr>
          <w:p>
            <w:pPr>
              <w:spacing w:line="240" w:lineRule="exact"/>
              <w:rPr>
                <w:rFonts w:ascii="Arial" w:hAnsi="Arial" w:cs="Arial"/>
                <w:color w:val="000000"/>
                <w:sz w:val="18"/>
                <w:szCs w:val="18"/>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2"/>
              </w:rPr>
            </w:pPr>
          </w:p>
        </w:tc>
      </w:tr>
    </w:tbl>
    <w:p>
      <w:pPr>
        <w:rPr>
          <w:rFonts w:hint="eastAsia" w:ascii="宋体" w:hAnsi="宋体" w:eastAsia="宋体" w:cs="宋体"/>
          <w:sz w:val="20"/>
          <w:szCs w:val="20"/>
        </w:rPr>
      </w:pPr>
      <w:r>
        <w:rPr>
          <w:rFonts w:hint="eastAsia" w:ascii="宋体" w:hAnsi="宋体" w:eastAsia="宋体" w:cs="宋体"/>
          <w:sz w:val="20"/>
          <w:szCs w:val="20"/>
        </w:rPr>
        <w:t>注：</w:t>
      </w:r>
      <w:r>
        <w:rPr>
          <w:rFonts w:hint="eastAsia" w:ascii="宋体" w:hAnsi="宋体" w:eastAsia="宋体" w:cs="宋体"/>
          <w:sz w:val="20"/>
          <w:szCs w:val="20"/>
          <w:lang w:eastAsia="zh-CN"/>
        </w:rPr>
        <w:t>本单位本部门无相关收入情况，按要求空表列示。</w:t>
      </w:r>
    </w:p>
    <w:p>
      <w:pPr>
        <w:rPr>
          <w:b/>
          <w:sz w:val="20"/>
          <w:szCs w:val="22"/>
          <w:highlight w:val="yellow"/>
        </w:rPr>
      </w:pPr>
      <w:r>
        <w:rPr>
          <w:rFonts w:hint="eastAsia" w:ascii="宋体" w:hAnsi="宋体" w:eastAsia="宋体" w:cs="宋体"/>
          <w:sz w:val="20"/>
          <w:szCs w:val="22"/>
        </w:rPr>
        <w:t>注：本表反映部门本年度政府性基金预算财政拨款收入、支出及结转结余情况。</w:t>
      </w:r>
      <w:r>
        <w:rPr>
          <w:b/>
          <w:sz w:val="20"/>
          <w:szCs w:val="22"/>
          <w:highlight w:val="yellow"/>
        </w:rPr>
        <w:br w:type="page"/>
      </w:r>
    </w:p>
    <w:tbl>
      <w:tblPr>
        <w:tblStyle w:val="6"/>
        <w:tblW w:w="9064" w:type="dxa"/>
        <w:tblInd w:w="0" w:type="dxa"/>
        <w:tblLayout w:type="autofit"/>
        <w:tblCellMar>
          <w:top w:w="0" w:type="dxa"/>
          <w:left w:w="0" w:type="dxa"/>
          <w:bottom w:w="0" w:type="dxa"/>
          <w:right w:w="0" w:type="dxa"/>
        </w:tblCellMar>
      </w:tblPr>
      <w:tblGrid>
        <w:gridCol w:w="630"/>
        <w:gridCol w:w="661"/>
        <w:gridCol w:w="177"/>
        <w:gridCol w:w="2780"/>
        <w:gridCol w:w="1138"/>
        <w:gridCol w:w="296"/>
        <w:gridCol w:w="1421"/>
        <w:gridCol w:w="1417"/>
        <w:gridCol w:w="544"/>
      </w:tblGrid>
      <w:tr>
        <w:tblPrEx>
          <w:tblCellMar>
            <w:top w:w="0" w:type="dxa"/>
            <w:left w:w="0" w:type="dxa"/>
            <w:bottom w:w="0" w:type="dxa"/>
            <w:right w:w="0" w:type="dxa"/>
          </w:tblCellMar>
        </w:tblPrEx>
        <w:trPr>
          <w:gridAfter w:val="1"/>
          <w:wAfter w:w="544" w:type="dxa"/>
          <w:trHeight w:val="824" w:hRule="atLeast"/>
        </w:trPr>
        <w:tc>
          <w:tcPr>
            <w:tcW w:w="8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rPr>
              <w:t>国有资本经营预算财政拨款支出决算表</w:t>
            </w:r>
          </w:p>
        </w:tc>
      </w:tr>
      <w:tr>
        <w:tblPrEx>
          <w:tblCellMar>
            <w:top w:w="0" w:type="dxa"/>
            <w:left w:w="0" w:type="dxa"/>
            <w:bottom w:w="0" w:type="dxa"/>
            <w:right w:w="0" w:type="dxa"/>
          </w:tblCellMar>
        </w:tblPrEx>
        <w:trPr>
          <w:trHeight w:val="250"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1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78" w:type="dxa"/>
            <w:gridSpan w:val="4"/>
            <w:vMerge w:val="restart"/>
            <w:tcBorders>
              <w:top w:val="nil"/>
              <w:left w:val="nil"/>
              <w:right w:val="nil"/>
            </w:tcBorders>
            <w:shd w:val="clear" w:color="auto" w:fill="auto"/>
            <w:noWrap/>
            <w:tcMar>
              <w:top w:w="15" w:type="dxa"/>
              <w:left w:w="15" w:type="dxa"/>
              <w:right w:w="15" w:type="dxa"/>
            </w:tcMar>
            <w:vAlign w:val="bottom"/>
          </w:tcPr>
          <w:p>
            <w:pPr>
              <w:widowControl/>
              <w:ind w:firstLine="1800" w:firstLineChars="90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p>
            <w:pPr>
              <w:ind w:right="400" w:firstLine="1300" w:firstLineChars="650"/>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50" w:hRule="atLeast"/>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61"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eastAsiaTheme="minorEastAsia"/>
                <w:color w:val="000000"/>
                <w:sz w:val="20"/>
                <w:szCs w:val="20"/>
                <w:lang w:eastAsia="zh-CN"/>
              </w:rPr>
            </w:pPr>
            <w:r>
              <w:rPr>
                <w:rFonts w:hint="eastAsia" w:ascii="Arial" w:hAnsi="Arial" w:cs="Arial"/>
                <w:color w:val="000000"/>
                <w:sz w:val="20"/>
                <w:szCs w:val="20"/>
                <w:lang w:eastAsia="zh-CN"/>
              </w:rPr>
              <w:t>科协</w:t>
            </w:r>
          </w:p>
        </w:tc>
        <w:tc>
          <w:tcPr>
            <w:tcW w:w="1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1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78" w:type="dxa"/>
            <w:gridSpan w:val="4"/>
            <w:vMerge w:val="continue"/>
            <w:tcBorders>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p>
        </w:tc>
      </w:tr>
      <w:tr>
        <w:tblPrEx>
          <w:tblCellMar>
            <w:top w:w="0" w:type="dxa"/>
            <w:left w:w="0" w:type="dxa"/>
            <w:bottom w:w="0" w:type="dxa"/>
            <w:right w:w="0" w:type="dxa"/>
          </w:tblCellMar>
        </w:tblPrEx>
        <w:trPr>
          <w:gridAfter w:val="1"/>
          <w:wAfter w:w="544" w:type="dxa"/>
          <w:trHeight w:val="302" w:hRule="atLeast"/>
        </w:trPr>
        <w:tc>
          <w:tcPr>
            <w:tcW w:w="424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w:t>
            </w:r>
          </w:p>
        </w:tc>
        <w:tc>
          <w:tcPr>
            <w:tcW w:w="4272" w:type="dxa"/>
            <w:gridSpan w:val="4"/>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本年支出</w:t>
            </w:r>
          </w:p>
        </w:tc>
      </w:tr>
      <w:tr>
        <w:tblPrEx>
          <w:tblCellMar>
            <w:top w:w="0" w:type="dxa"/>
            <w:left w:w="0" w:type="dxa"/>
            <w:bottom w:w="0" w:type="dxa"/>
            <w:right w:w="0" w:type="dxa"/>
          </w:tblCellMar>
        </w:tblPrEx>
        <w:trPr>
          <w:gridAfter w:val="1"/>
          <w:wAfter w:w="544" w:type="dxa"/>
          <w:trHeight w:val="604"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功能分类科目编码</w:t>
            </w:r>
          </w:p>
        </w:tc>
        <w:tc>
          <w:tcPr>
            <w:tcW w:w="295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科目名称</w:t>
            </w: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小计</w:t>
            </w: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基本支出</w:t>
            </w: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rPr>
              <w:t>项目支出</w:t>
            </w:r>
          </w:p>
        </w:tc>
      </w:tr>
      <w:tr>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宋体" w:hAnsi="宋体" w:eastAsia="宋体" w:cs="宋体"/>
          <w:lang w:eastAsia="zh-CN"/>
        </w:rPr>
      </w:pPr>
      <w:r>
        <w:rPr>
          <w:rFonts w:hint="eastAsia" w:ascii="宋体" w:hAnsi="宋体" w:eastAsia="宋体" w:cs="宋体"/>
        </w:rPr>
        <w:t>注：</w:t>
      </w:r>
      <w:r>
        <w:rPr>
          <w:rFonts w:hint="eastAsia" w:ascii="宋体" w:hAnsi="宋体" w:eastAsia="宋体" w:cs="宋体"/>
          <w:lang w:eastAsia="zh-CN"/>
        </w:rPr>
        <w:t>本单位本部门无相关收入情况，按要求空表列示。</w:t>
      </w:r>
    </w:p>
    <w:p>
      <w:pPr>
        <w:rPr>
          <w:rFonts w:hint="eastAsia" w:ascii="宋体" w:hAnsi="宋体" w:eastAsia="宋体" w:cs="宋体"/>
        </w:rPr>
      </w:pPr>
      <w:r>
        <w:rPr>
          <w:rFonts w:hint="eastAsia" w:ascii="宋体" w:hAnsi="宋体" w:eastAsia="宋体" w:cs="宋体"/>
        </w:rPr>
        <w:t>注：本表反映部门本年度国有资本经营预算财政拨款收入、支出及结转结余情况。</w:t>
      </w:r>
    </w:p>
    <w:p>
      <w:pPr>
        <w:rPr>
          <w:rFonts w:hint="eastAsia" w:ascii="宋体" w:hAnsi="宋体" w:eastAsia="宋体" w:cs="宋体"/>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tbl>
      <w:tblPr>
        <w:tblStyle w:val="6"/>
        <w:tblpPr w:leftFromText="180" w:rightFromText="180" w:vertAnchor="text" w:horzAnchor="page" w:tblpX="1585" w:tblpY="2734"/>
        <w:tblOverlap w:val="never"/>
        <w:tblW w:w="9080" w:type="dxa"/>
        <w:tblInd w:w="0" w:type="dxa"/>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trPr>
        <w:tc>
          <w:tcPr>
            <w:tcW w:w="9080" w:type="dxa"/>
            <w:gridSpan w:val="14"/>
            <w:tcBorders>
              <w:top w:val="nil"/>
              <w:left w:val="nil"/>
              <w:bottom w:val="nil"/>
              <w:right w:val="nil"/>
            </w:tcBorders>
            <w:noWrap w:val="0"/>
            <w:vAlign w:val="center"/>
          </w:tcPr>
          <w:p>
            <w:pPr>
              <w:widowControl/>
              <w:spacing w:line="320" w:lineRule="exact"/>
              <w:jc w:val="center"/>
              <w:rPr>
                <w:rFonts w:ascii="宋体" w:hAnsi="宋体" w:eastAsia="宋体" w:cs="宋体"/>
                <w:b/>
                <w:bCs/>
                <w:kern w:val="0"/>
                <w:sz w:val="32"/>
                <w:szCs w:val="32"/>
              </w:rPr>
            </w:pPr>
          </w:p>
        </w:tc>
      </w:tr>
      <w:tr>
        <w:tblPrEx>
          <w:tblCellMar>
            <w:top w:w="0" w:type="dxa"/>
            <w:left w:w="108" w:type="dxa"/>
            <w:bottom w:w="0" w:type="dxa"/>
            <w:right w:w="108" w:type="dxa"/>
          </w:tblCellMar>
        </w:tblPrEx>
        <w:trPr>
          <w:trHeight w:val="876" w:hRule="atLeast"/>
        </w:trPr>
        <w:tc>
          <w:tcPr>
            <w:tcW w:w="9080" w:type="dxa"/>
            <w:gridSpan w:val="14"/>
            <w:tcBorders>
              <w:top w:val="nil"/>
              <w:left w:val="nil"/>
              <w:bottom w:val="nil"/>
              <w:right w:val="nil"/>
            </w:tcBorders>
            <w:noWrap w:val="0"/>
            <w:vAlign w:val="top"/>
          </w:tcPr>
          <w:p>
            <w:pPr>
              <w:widowControl/>
              <w:jc w:val="center"/>
              <w:rPr>
                <w:rFonts w:hint="eastAsia" w:ascii="宋体" w:hAnsi="宋体" w:eastAsia="宋体" w:cs="宋体"/>
                <w:b/>
                <w:bCs/>
                <w:kern w:val="0"/>
                <w:sz w:val="32"/>
                <w:szCs w:val="32"/>
              </w:rPr>
            </w:pPr>
            <w:r>
              <w:rPr>
                <w:rFonts w:hint="eastAsia" w:ascii="宋体" w:hAnsi="宋体" w:eastAsia="宋体" w:cs="宋体"/>
                <w:b/>
                <w:bCs/>
                <w:kern w:val="0"/>
                <w:sz w:val="32"/>
                <w:szCs w:val="32"/>
              </w:rPr>
              <w:t>项目支出绩效自评表</w:t>
            </w:r>
          </w:p>
          <w:p>
            <w:pPr>
              <w:widowControl/>
              <w:jc w:val="center"/>
              <w:rPr>
                <w:rFonts w:ascii="宋体" w:hAnsi="宋体" w:eastAsia="宋体" w:cs="宋体"/>
                <w:kern w:val="0"/>
                <w:sz w:val="22"/>
                <w:szCs w:val="22"/>
              </w:rPr>
            </w:pPr>
            <w:r>
              <w:rPr>
                <w:rFonts w:hint="eastAsia" w:ascii="宋体" w:hAnsi="宋体" w:eastAsia="宋体" w:cs="宋体"/>
                <w:kern w:val="0"/>
                <w:sz w:val="22"/>
                <w:szCs w:val="22"/>
              </w:rPr>
              <w:t>（</w:t>
            </w:r>
            <w:r>
              <w:rPr>
                <w:rFonts w:hint="eastAsia" w:ascii="宋体" w:hAnsi="宋体" w:eastAsia="宋体" w:cs="宋体"/>
                <w:kern w:val="0"/>
                <w:sz w:val="22"/>
                <w:szCs w:val="22"/>
                <w:lang w:val="en-US" w:eastAsia="zh-CN"/>
              </w:rPr>
              <w:t>2020</w:t>
            </w:r>
            <w:r>
              <w:rPr>
                <w:rFonts w:hint="eastAsia" w:ascii="宋体" w:hAnsi="宋体" w:eastAsia="宋体" w:cs="宋体"/>
                <w:kern w:val="0"/>
                <w:sz w:val="22"/>
                <w:szCs w:val="22"/>
              </w:rPr>
              <w:t>年度）</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开展各项科普知识宣传普及活动</w:t>
            </w:r>
          </w:p>
        </w:tc>
      </w:tr>
      <w:tr>
        <w:tblPrEx>
          <w:tblCellMar>
            <w:top w:w="0" w:type="dxa"/>
            <w:left w:w="108" w:type="dxa"/>
            <w:bottom w:w="0" w:type="dxa"/>
            <w:right w:w="108" w:type="dxa"/>
          </w:tblCellMar>
        </w:tblPrEx>
        <w:trPr>
          <w:trHeight w:val="300" w:hRule="exact"/>
        </w:trPr>
        <w:tc>
          <w:tcPr>
            <w:tcW w:w="1568"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科协</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无极县科学技术协会</w:t>
            </w:r>
          </w:p>
        </w:tc>
      </w:tr>
      <w:tr>
        <w:tblPrEx>
          <w:tblCellMar>
            <w:top w:w="0" w:type="dxa"/>
            <w:left w:w="108" w:type="dxa"/>
            <w:bottom w:w="0" w:type="dxa"/>
            <w:right w:w="108" w:type="dxa"/>
          </w:tblCellMar>
        </w:tblPrEx>
        <w:trPr>
          <w:trHeight w:val="300" w:hRule="exact"/>
        </w:trPr>
        <w:tc>
          <w:tcPr>
            <w:tcW w:w="156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11.02</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11.02</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11.02</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95%</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95</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11.02</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11.02</w:t>
            </w: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11.02</w:t>
            </w: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95%</w:t>
            </w: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15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trPr>
        <w:tc>
          <w:tcPr>
            <w:tcW w:w="588"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62" w:hRule="exact"/>
        </w:trPr>
        <w:tc>
          <w:tcPr>
            <w:tcW w:w="588"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定期举办各种科普宣传活动，通过科学知识普及活动，提高广大人民的科学素质，确保科学知识普及面增长，惠及全民。</w:t>
            </w:r>
          </w:p>
        </w:tc>
        <w:tc>
          <w:tcPr>
            <w:tcW w:w="3402" w:type="dxa"/>
            <w:gridSpan w:val="7"/>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提高了广大居民的科学素质</w:t>
            </w:r>
          </w:p>
        </w:tc>
      </w:tr>
      <w:tr>
        <w:tblPrEx>
          <w:tblCellMar>
            <w:top w:w="0" w:type="dxa"/>
            <w:left w:w="108" w:type="dxa"/>
            <w:bottom w:w="0" w:type="dxa"/>
            <w:right w:w="108" w:type="dxa"/>
          </w:tblCellMar>
        </w:tblPrEx>
        <w:trPr>
          <w:trHeight w:val="533" w:hRule="exact"/>
        </w:trPr>
        <w:tc>
          <w:tcPr>
            <w:tcW w:w="588" w:type="dxa"/>
            <w:vMerge w:val="restart"/>
            <w:tcBorders>
              <w:top w:val="nil"/>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指标1：宣传品种</w:t>
            </w:r>
            <w:r>
              <w:rPr>
                <w:rFonts w:hint="eastAsia" w:ascii="宋体" w:hAnsi="宋体" w:eastAsia="宋体" w:cs="宋体"/>
                <w:color w:val="000000"/>
                <w:kern w:val="0"/>
                <w:sz w:val="18"/>
                <w:szCs w:val="18"/>
                <w:lang w:eastAsia="zh-CN"/>
              </w:rPr>
              <w:t>及</w:t>
            </w:r>
            <w:r>
              <w:rPr>
                <w:rFonts w:hint="eastAsia" w:ascii="宋体" w:hAnsi="宋体" w:eastAsia="宋体" w:cs="宋体"/>
                <w:color w:val="000000"/>
                <w:kern w:val="0"/>
                <w:sz w:val="18"/>
                <w:szCs w:val="18"/>
              </w:rPr>
              <w:t>数量</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增加宣传次数</w:t>
            </w:r>
          </w:p>
        </w:tc>
      </w:tr>
      <w:tr>
        <w:tblPrEx>
          <w:tblCellMar>
            <w:top w:w="0" w:type="dxa"/>
            <w:left w:w="108" w:type="dxa"/>
            <w:bottom w:w="0" w:type="dxa"/>
            <w:right w:w="108" w:type="dxa"/>
          </w:tblCellMar>
        </w:tblPrEx>
        <w:trPr>
          <w:trHeight w:val="405"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指标2：制作发放宣品的数量</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5000份</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3000份</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增加宣传次数</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增加宣传次数</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指标2：</w:t>
            </w:r>
            <w:r>
              <w:rPr>
                <w:rFonts w:hint="eastAsia" w:ascii="宋体" w:hAnsi="宋体" w:eastAsia="宋体" w:cs="宋体"/>
                <w:color w:val="000000"/>
                <w:kern w:val="0"/>
                <w:sz w:val="18"/>
                <w:szCs w:val="18"/>
                <w:lang w:eastAsia="zh-CN"/>
              </w:rPr>
              <w:t>宣传资料发放量</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5000份</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增加宣传品量</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lang w:eastAsia="zh-CN"/>
              </w:rPr>
              <w:t>根据群众需要</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增加宣传次数</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指标2：</w:t>
            </w:r>
            <w:r>
              <w:rPr>
                <w:rFonts w:hint="eastAsia" w:ascii="宋体" w:hAnsi="宋体" w:eastAsia="宋体" w:cs="宋体"/>
                <w:color w:val="000000"/>
                <w:kern w:val="0"/>
                <w:sz w:val="18"/>
                <w:szCs w:val="18"/>
                <w:lang w:eastAsia="zh-CN"/>
              </w:rPr>
              <w:t>根据群众需要</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增加宣传次数</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lang w:eastAsia="zh-CN"/>
              </w:rPr>
              <w:t>宣传品多样化</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4种</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增加宣传品量</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hint="eastAsia" w:ascii="宋体" w:hAnsi="宋体" w:eastAsia="宋体" w:cs="宋体"/>
                <w:color w:val="000000"/>
                <w:kern w:val="0"/>
                <w:sz w:val="18"/>
                <w:szCs w:val="18"/>
                <w:lang w:eastAsia="zh-CN"/>
              </w:rPr>
            </w:pPr>
            <w:r>
              <w:rPr>
                <w:rFonts w:hint="eastAsia" w:ascii="宋体" w:hAnsi="宋体" w:eastAsia="宋体" w:cs="宋体"/>
                <w:color w:val="000000"/>
                <w:kern w:val="0"/>
                <w:sz w:val="18"/>
                <w:szCs w:val="18"/>
              </w:rPr>
              <w:t>指标2：</w:t>
            </w:r>
            <w:r>
              <w:rPr>
                <w:rFonts w:hint="eastAsia" w:ascii="宋体" w:hAnsi="宋体" w:eastAsia="宋体" w:cs="宋体"/>
                <w:color w:val="000000"/>
                <w:kern w:val="0"/>
                <w:sz w:val="18"/>
                <w:szCs w:val="18"/>
                <w:lang w:eastAsia="zh-CN"/>
              </w:rPr>
              <w:t>宣传品经济化</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4种</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增加宣传品量</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增加宣传次数</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eastAsia="宋体" w:cs="宋体"/>
                <w:color w:val="000000"/>
                <w:kern w:val="0"/>
                <w:sz w:val="18"/>
                <w:szCs w:val="18"/>
                <w:lang w:eastAsia="zh-CN"/>
              </w:rPr>
              <w:t>宣传资料发放量</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5000份</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增加宣传品量</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增加宣传次数</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eastAsia="宋体" w:cs="宋体"/>
                <w:color w:val="000000"/>
                <w:kern w:val="0"/>
                <w:sz w:val="18"/>
                <w:szCs w:val="18"/>
                <w:lang w:eastAsia="zh-CN"/>
              </w:rPr>
              <w:t>根据群众需要</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增加宣传品量</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lang w:eastAsia="zh-CN"/>
              </w:rPr>
              <w:t>根据群众需要</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增加宣传次数</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eastAsia="宋体" w:cs="宋体"/>
                <w:color w:val="000000"/>
                <w:kern w:val="0"/>
                <w:sz w:val="18"/>
                <w:szCs w:val="18"/>
                <w:lang w:eastAsia="zh-CN"/>
              </w:rPr>
              <w:t>宣传资料发放量</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5000份</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增加宣传品量</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增加宣传次数</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增加宣传品量</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eastAsia="宋体" w:cs="宋体"/>
                <w:color w:val="000000"/>
                <w:kern w:val="0"/>
                <w:sz w:val="18"/>
                <w:szCs w:val="18"/>
                <w:lang w:eastAsia="zh-CN"/>
              </w:rPr>
              <w:t>根据群众需要</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8次</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6</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lang w:eastAsia="zh-CN"/>
              </w:rPr>
              <w:t>增加宣传品量</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指标1：群众对科普宣传活动的整体满意度</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70%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对科普宣传活动的满意度</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指标2：群众对科普宣传活动的整体满意度</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70%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5</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4</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对科普宣传活动的满意度</w:t>
            </w:r>
          </w:p>
        </w:tc>
      </w:tr>
      <w:tr>
        <w:tblPrEx>
          <w:tblCellMar>
            <w:top w:w="0" w:type="dxa"/>
            <w:left w:w="108" w:type="dxa"/>
            <w:bottom w:w="0" w:type="dxa"/>
            <w:right w:w="108" w:type="dxa"/>
          </w:tblCellMar>
        </w:tblPrEx>
        <w:trPr>
          <w:trHeight w:val="300" w:hRule="exact"/>
        </w:trPr>
        <w:tc>
          <w:tcPr>
            <w:tcW w:w="588"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noWrap w:val="0"/>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trPr>
        <w:tc>
          <w:tcPr>
            <w:tcW w:w="6529" w:type="dxa"/>
            <w:gridSpan w:val="8"/>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noWrap w:val="0"/>
            <w:vAlign w:val="center"/>
          </w:tcPr>
          <w:p>
            <w:pPr>
              <w:widowControl/>
              <w:spacing w:line="240" w:lineRule="exact"/>
              <w:jc w:val="center"/>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lang w:val="en-US" w:eastAsia="zh-CN"/>
              </w:rPr>
              <w:t>80</w:t>
            </w:r>
          </w:p>
        </w:tc>
        <w:tc>
          <w:tcPr>
            <w:tcW w:w="1417" w:type="dxa"/>
            <w:gridSpan w:val="2"/>
            <w:tcBorders>
              <w:top w:val="single" w:color="auto" w:sz="4" w:space="0"/>
              <w:left w:val="nil"/>
              <w:bottom w:val="single" w:color="auto" w:sz="4" w:space="0"/>
              <w:right w:val="single" w:color="auto" w:sz="4" w:space="0"/>
            </w:tcBorders>
            <w:noWrap w:val="0"/>
            <w:vAlign w:val="center"/>
          </w:tcPr>
          <w:p>
            <w:pPr>
              <w:widowControl/>
              <w:spacing w:line="240" w:lineRule="exact"/>
              <w:jc w:val="center"/>
              <w:rPr>
                <w:rFonts w:ascii="宋体" w:hAnsi="宋体" w:eastAsia="宋体" w:cs="宋体"/>
                <w:kern w:val="0"/>
                <w:sz w:val="18"/>
                <w:szCs w:val="18"/>
              </w:rPr>
            </w:pPr>
          </w:p>
        </w:tc>
      </w:tr>
    </w:tbl>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cols w:space="425" w:num="1"/>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2336" behindDoc="0" locked="0" layoutInCell="1" allowOverlap="1">
                <wp:simplePos x="0" y="0"/>
                <wp:positionH relativeFrom="column">
                  <wp:posOffset>-993140</wp:posOffset>
                </wp:positionH>
                <wp:positionV relativeFrom="paragraph">
                  <wp:posOffset>-1353820</wp:posOffset>
                </wp:positionV>
                <wp:extent cx="7632700" cy="10695940"/>
                <wp:effectExtent l="0" t="0" r="0" b="0"/>
                <wp:wrapNone/>
                <wp:docPr id="5"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rgbClr val="BDD7EE">
                            <a:lumMod val="40000"/>
                            <a:lumOff val="6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3" o:spid="_x0000_s1026" o:spt="1" style="position:absolute;left:0pt;margin-left:-78.2pt;margin-top:-106.6pt;height:842.2pt;width:601pt;z-index:251662336;v-text-anchor:middle;mso-width-relative:page;mso-height-relative:page;" fillcolor="#E5EFF8" filled="t" stroked="f" coordsize="21600,21600" o:gfxdata="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script"/>
    <w:pitch w:val="default"/>
    <w:sig w:usb0="80000023" w:usb1="00000000" w:usb2="00020000" w:usb3="00000000" w:csb0="00000001" w:csb1="00000000"/>
  </w:font>
  <w:font w:name="DengXian-Bold">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System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26369"/>
    <w:rsid w:val="00061A05"/>
    <w:rsid w:val="00061B93"/>
    <w:rsid w:val="0018668E"/>
    <w:rsid w:val="001B73D2"/>
    <w:rsid w:val="001E62BF"/>
    <w:rsid w:val="00293E7B"/>
    <w:rsid w:val="002A0318"/>
    <w:rsid w:val="002D1F4F"/>
    <w:rsid w:val="00310EBF"/>
    <w:rsid w:val="00366D90"/>
    <w:rsid w:val="003D678E"/>
    <w:rsid w:val="005A623E"/>
    <w:rsid w:val="00801F66"/>
    <w:rsid w:val="008704E2"/>
    <w:rsid w:val="009334BF"/>
    <w:rsid w:val="00A146CB"/>
    <w:rsid w:val="00AF3DF9"/>
    <w:rsid w:val="00B03CB5"/>
    <w:rsid w:val="00B44DDA"/>
    <w:rsid w:val="00BA1219"/>
    <w:rsid w:val="00CB202E"/>
    <w:rsid w:val="01615CC4"/>
    <w:rsid w:val="02611340"/>
    <w:rsid w:val="05C0024D"/>
    <w:rsid w:val="0AAC75B9"/>
    <w:rsid w:val="0BF970B3"/>
    <w:rsid w:val="0C833470"/>
    <w:rsid w:val="0EA325C9"/>
    <w:rsid w:val="0EE17C1A"/>
    <w:rsid w:val="12543652"/>
    <w:rsid w:val="128E7AF6"/>
    <w:rsid w:val="14BC22FF"/>
    <w:rsid w:val="150A532D"/>
    <w:rsid w:val="15647F0C"/>
    <w:rsid w:val="181800A9"/>
    <w:rsid w:val="190000A3"/>
    <w:rsid w:val="22E46C89"/>
    <w:rsid w:val="294B1C74"/>
    <w:rsid w:val="2E057879"/>
    <w:rsid w:val="32070608"/>
    <w:rsid w:val="34C45458"/>
    <w:rsid w:val="35C83C42"/>
    <w:rsid w:val="35E84521"/>
    <w:rsid w:val="37445DC3"/>
    <w:rsid w:val="3E0E7E44"/>
    <w:rsid w:val="3E822F7D"/>
    <w:rsid w:val="46DE7119"/>
    <w:rsid w:val="48261D61"/>
    <w:rsid w:val="4DE86A20"/>
    <w:rsid w:val="50B66323"/>
    <w:rsid w:val="51EA007F"/>
    <w:rsid w:val="55BE1AB8"/>
    <w:rsid w:val="56BB1BE2"/>
    <w:rsid w:val="594C6F61"/>
    <w:rsid w:val="60154311"/>
    <w:rsid w:val="645F3158"/>
    <w:rsid w:val="695B26FD"/>
    <w:rsid w:val="6BAF4F4C"/>
    <w:rsid w:val="6F11773C"/>
    <w:rsid w:val="73D824BD"/>
    <w:rsid w:val="764B3663"/>
    <w:rsid w:val="780459D5"/>
    <w:rsid w:val="7CA7262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9"/>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批注框文本 Char"/>
    <w:basedOn w:val="8"/>
    <w:link w:val="3"/>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chart" Target="charts/chart6.xml"/><Relationship Id="rId21" Type="http://schemas.openxmlformats.org/officeDocument/2006/relationships/chart" Target="charts/chart5.xml"/><Relationship Id="rId20" Type="http://schemas.openxmlformats.org/officeDocument/2006/relationships/chart" Target="charts/chart4.xml"/><Relationship Id="rId2" Type="http://schemas.openxmlformats.org/officeDocument/2006/relationships/settings" Target="settings.xml"/><Relationship Id="rId19" Type="http://schemas.openxmlformats.org/officeDocument/2006/relationships/chart" Target="charts/chart3.xml"/><Relationship Id="rId18" Type="http://schemas.openxmlformats.org/officeDocument/2006/relationships/chart" Target="charts/chart2.xml"/><Relationship Id="rId17" Type="http://schemas.openxmlformats.org/officeDocument/2006/relationships/chart" Target="charts/chart1.xml"/><Relationship Id="rId16" Type="http://schemas.openxmlformats.org/officeDocument/2006/relationships/image" Target="media/image2.bmp"/><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4" Type="http://schemas.microsoft.com/office/2011/relationships/chartColorStyle" Target="colors4.xml"/><Relationship Id="rId3" Type="http://schemas.microsoft.com/office/2011/relationships/chartStyle" Target="style4.xml"/><Relationship Id="rId2" Type="http://schemas.openxmlformats.org/officeDocument/2006/relationships/themeOverride" Target="../theme/themeOverrid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4" Type="http://schemas.microsoft.com/office/2011/relationships/chartColorStyle" Target="colors1.xml"/><Relationship Id="rId3" Type="http://schemas.microsoft.com/office/2011/relationships/chartStyle" Target="style1.xml"/><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020&#24180;&#20915;&#31639;&#20844;&#24320;\2020&#37096;&#38376;&#20915;&#31639;&#20844;&#24320;&#21046;&#22270;&#27169;&#26495;.xlsx" TargetMode="External"/></Relationships>
</file>

<file path=word/charts/_rels/chart6.xml.rels><?xml version="1.0" encoding="UTF-8" standalone="yes"?>
<Relationships xmlns="http://schemas.openxmlformats.org/package/2006/relationships"><Relationship Id="rId4" Type="http://schemas.microsoft.com/office/2011/relationships/chartColorStyle" Target="colors3.xml"/><Relationship Id="rId3" Type="http://schemas.microsoft.com/office/2011/relationships/chartStyle" Target="style3.xml"/><Relationship Id="rId2" Type="http://schemas.openxmlformats.org/officeDocument/2006/relationships/themeOverride" Target="../theme/themeOverrid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ysClr val="windowText" lastClr="000000">
                    <a:lumMod val="65000"/>
                    <a:lumOff val="35000"/>
                  </a:sys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8"/>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rgbClr val="5B9BD5"/>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ysClr val="windowText" lastClr="000000">
                        <a:lumMod val="75000"/>
                        <a:lumOff val="25000"/>
                      </a:sys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ysClr val="windowText" lastClr="000000">
                          <a:lumMod val="35000"/>
                          <a:lumOff val="65000"/>
                        </a:sys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124.9</c:v>
                </c:pt>
                <c:pt idx="1">
                  <c:v>166.32</c:v>
                </c:pt>
              </c:numCache>
            </c:numRef>
          </c:val>
        </c:ser>
        <c:dLbls>
          <c:showLegendKey val="0"/>
          <c:showVal val="1"/>
          <c:showCatName val="0"/>
          <c:showSerName val="0"/>
          <c:showPercent val="0"/>
          <c:showBubbleSize val="0"/>
        </c:dLbls>
        <c:gapWidth val="219"/>
        <c:overlap val="-27"/>
        <c:axId val="3452288"/>
        <c:axId val="3454080"/>
      </c:barChart>
      <c:catAx>
        <c:axId val="3452288"/>
        <c:scaling>
          <c:orientation val="minMax"/>
        </c:scaling>
        <c:delete val="0"/>
        <c:axPos val="b"/>
        <c:numFmt formatCode="General" sourceLinked="0"/>
        <c:majorTickMark val="none"/>
        <c:minorTickMark val="none"/>
        <c:tickLblPos val="nextTo"/>
        <c:spPr>
          <a:noFill/>
          <a:ln w="9525" cap="flat" cmpd="sng" algn="ctr">
            <a:solidFill>
              <a:sysClr val="windowText" lastClr="000000">
                <a:lumMod val="15000"/>
                <a:lumOff val="85000"/>
              </a:sysClr>
            </a:solidFill>
            <a:prstDash val="solid"/>
            <a:round/>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454080"/>
        <c:crosses val="autoZero"/>
        <c:auto val="1"/>
        <c:lblAlgn val="ctr"/>
        <c:lblOffset val="100"/>
        <c:noMultiLvlLbl val="0"/>
      </c:catAx>
      <c:valAx>
        <c:axId val="3454080"/>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452288"/>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ysClr val="window" lastClr="FFFFFF"/>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manualLayout>
          <c:xMode val="edge"/>
          <c:yMode val="edge"/>
          <c:x val="0.429157615254646"/>
          <c:y val="0.915451027091396"/>
        </c:manualLayout>
      </c:layout>
      <c:overlay val="0"/>
      <c:spPr>
        <a:noFill/>
        <a:ln>
          <a:noFill/>
        </a:ln>
        <a:effectLst/>
      </c:spPr>
      <c:txPr>
        <a:bodyPr rot="0" spcFirstLastPara="0" vertOverflow="ellipsis" vert="horz" wrap="square" anchor="ctr" anchorCtr="1"/>
        <a:lstStyle/>
        <a:p>
          <a:pPr>
            <a:defRPr lang="zh-CN" sz="1800" b="1" i="0" u="none" strike="noStrike" kern="1200" baseline="0">
              <a:solidFill>
                <a:sysClr val="windowText" lastClr="000000">
                  <a:lumMod val="75000"/>
                  <a:lumOff val="25000"/>
                </a:sysClr>
              </a:solidFill>
              <a:latin typeface="+mn-lt"/>
              <a:ea typeface="+mn-ea"/>
              <a:cs typeface="+mn-cs"/>
            </a:defRPr>
          </a:pPr>
        </a:p>
      </c:txPr>
    </c:title>
    <c:autoTitleDeleted val="0"/>
    <c:plotArea>
      <c:layout>
        <c:manualLayout>
          <c:layoutTarget val="inner"/>
          <c:xMode val="edge"/>
          <c:yMode val="edge"/>
          <c:x val="0.19044170890659"/>
          <c:y val="0.215689193212266"/>
          <c:w val="0.57699734491914"/>
          <c:h val="0.711670139922596"/>
        </c:manualLayout>
      </c:layout>
      <c:pieChart>
        <c:varyColors val="1"/>
        <c:ser>
          <c:idx val="0"/>
          <c:order val="0"/>
          <c:tx>
            <c:strRef>
              <c:f>Sheet1!$B$1</c:f>
              <c:strCache>
                <c:ptCount val="1"/>
                <c:pt idx="0">
                  <c:v>财政拨款收入</c:v>
                </c:pt>
              </c:strCache>
            </c:strRef>
          </c:tx>
          <c:spPr/>
          <c:explosion val="0"/>
          <c:dPt>
            <c:idx val="0"/>
            <c:bubble3D val="0"/>
            <c:spPr>
              <a:solidFill>
                <a:srgbClr val="5B9BD5"/>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ysClr val="window" lastClr="FFFFFF"/>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ysClr val="windowText" lastClr="000000">
                          <a:lumMod val="50000"/>
                          <a:lumOff val="50000"/>
                        </a:sysClr>
                      </a:solidFill>
                    </a:ln>
                    <a:effectLst/>
                  </c:spPr>
                </c15:leaderLines>
              </c:ext>
            </c:extLst>
          </c:dLbls>
          <c:cat>
            <c:strRef>
              <c:extLst>
                <c:ext xmlns:c15="http://schemas.microsoft.com/office/drawing/2012/chart" uri="{02D57815-91ED-43cb-92C2-25804820EDAC}">
                  <c15:fullRef>
                    <c15:sqref>Sheet1!$A$2:$A$5</c15:sqref>
                  </c15:fullRef>
                </c:ext>
              </c:extLst>
              <c:f>Sheet1!$A$2</c:f>
              <c:strCache>
                <c:ptCount val="1"/>
                <c:pt idx="0">
                  <c:v>财政拨款收入</c:v>
                </c:pt>
              </c:strCache>
            </c:strRef>
          </c:cat>
          <c:val>
            <c:numRef>
              <c:extLst>
                <c:ext xmlns:c15="http://schemas.microsoft.com/office/drawing/2012/chart" uri="{02D57815-91ED-43cb-92C2-25804820EDAC}">
                  <c15:fullRef>
                    <c15:sqref>Sheet1!$B$2:$B$5</c15:sqref>
                  </c15:fullRef>
                </c:ext>
              </c:extLst>
              <c:f>Sheet1!$B$2</c:f>
              <c:numCache>
                <c:formatCode>0%</c:formatCode>
                <c:ptCount val="1"/>
                <c:pt idx="0">
                  <c:v>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ysClr val="window" lastClr="FFFFFF">
            <a:lumMod val="95000"/>
            <a:alpha val="39000"/>
          </a:sysClr>
        </a:solid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75000"/>
                  <a:lumOff val="25000"/>
                </a:sysClr>
              </a:solidFill>
              <a:latin typeface="+mn-lt"/>
              <a:ea typeface="+mn-ea"/>
              <a:cs typeface="+mn-cs"/>
            </a:defRPr>
          </a:pPr>
        </a:p>
      </c:txPr>
    </c:legend>
    <c:plotVisOnly val="1"/>
    <c:dispBlanksAs val="gap"/>
    <c:showDLblsOverMax val="0"/>
  </c:chart>
  <c:spPr>
    <a:gradFill flip="none" rotWithShape="1">
      <a:gsLst>
        <a:gs pos="0">
          <a:sysClr val="window" lastClr="FFFFFF"/>
        </a:gs>
        <a:gs pos="39000">
          <a:sysClr val="window" lastClr="FFFFFF"/>
        </a:gs>
        <a:gs pos="100000">
          <a:sysClr val="window" lastClr="FFFFFF">
            <a:lumMod val="75000"/>
          </a:sysClr>
        </a:gs>
      </a:gsLst>
      <a:path path="circle">
        <a:fillToRect l="50000" t="-80000" r="50000" b="180000"/>
      </a:path>
    </a:gradFill>
    <a:ln w="9525" cap="flat" cmpd="sng" algn="ctr">
      <a:solidFill>
        <a:sysClr val="windowText" lastClr="000000">
          <a:lumMod val="25000"/>
          <a:lumOff val="75000"/>
        </a:sys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800" b="1" i="0" u="none" strike="noStrike" kern="1200" baseline="0">
                <a:solidFill>
                  <a:sysClr val="windowText" lastClr="000000">
                    <a:lumMod val="75000"/>
                    <a:lumOff val="25000"/>
                  </a:sysClr>
                </a:solidFill>
                <a:latin typeface="+mn-lt"/>
                <a:ea typeface="+mn-ea"/>
                <a:cs typeface="+mn-cs"/>
              </a:defRPr>
            </a:pPr>
            <a:r>
              <a:t>本年支出情况</a:t>
            </a:r>
          </a:p>
        </c:rich>
      </c:tx>
      <c:layout/>
      <c:overlay val="0"/>
      <c:spPr>
        <a:noFill/>
        <a:ln>
          <a:noFill/>
        </a:ln>
        <a:effectLst/>
      </c:spPr>
    </c:title>
    <c:autoTitleDeleted val="0"/>
    <c:plotArea>
      <c:layout>
        <c:manualLayout>
          <c:layoutTarget val="inner"/>
          <c:xMode val="edge"/>
          <c:yMode val="edge"/>
          <c:x val="0.191087062256809"/>
          <c:y val="0.151150705270972"/>
          <c:w val="0.687864785992218"/>
          <c:h val="0.839940608760208"/>
        </c:manualLayout>
      </c:layout>
      <c:pieChart>
        <c:varyColors val="1"/>
        <c:ser>
          <c:idx val="0"/>
          <c:order val="0"/>
          <c:tx>
            <c:strRef>
              <c:f>Sheet1!$B$1</c:f>
              <c:strCache>
                <c:ptCount val="1"/>
                <c:pt idx="0">
                  <c:v>本年支出情况</c:v>
                </c:pt>
              </c:strCache>
            </c:strRef>
          </c:tx>
          <c:spPr/>
          <c:explosion val="0"/>
          <c:dPt>
            <c:idx val="0"/>
            <c:bubble3D val="0"/>
            <c:spPr>
              <a:solidFill>
                <a:srgbClr val="5B9BD5"/>
              </a:solidFill>
              <a:ln>
                <a:noFill/>
              </a:ln>
              <a:effectLst>
                <a:outerShdw blurRad="254000" sx="102000" sy="102000" algn="ctr" rotWithShape="0">
                  <a:prstClr val="black">
                    <a:alpha val="20000"/>
                  </a:prstClr>
                </a:outerShdw>
              </a:effectLst>
            </c:spPr>
          </c:dPt>
          <c:dPt>
            <c:idx val="1"/>
            <c:bubble3D val="0"/>
            <c:spPr>
              <a:solidFill>
                <a:srgbClr val="ED7D31"/>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defTabSz="914400">
                      <a:defRPr lang="zh-CN" sz="1000" b="1" i="0" u="none" strike="noStrike" kern="1200" baseline="0">
                        <a:solidFill>
                          <a:sysClr val="window" lastClr="FFFFFF"/>
                        </a:solidFill>
                        <a:latin typeface="+mn-lt"/>
                        <a:ea typeface="+mn-ea"/>
                        <a:cs typeface="+mn-cs"/>
                      </a:defRPr>
                    </a:pPr>
                    <a:r>
                      <a:rPr lang="en-US" altLang="zh-CN"/>
                      <a:t>86.77</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1000" b="1" i="0" u="none" strike="noStrike" kern="1200" baseline="0">
                        <a:solidFill>
                          <a:sysClr val="window" lastClr="FFFFFF"/>
                        </a:solidFill>
                        <a:latin typeface="+mn-lt"/>
                        <a:ea typeface="+mn-ea"/>
                        <a:cs typeface="+mn-cs"/>
                      </a:defRPr>
                    </a:pPr>
                    <a:r>
                      <a:rPr lang="en-US" altLang="zh-CN"/>
                      <a:t>13.22</a:t>
                    </a:r>
                    <a:r>
                      <a:t>%</a:t>
                    </a:r>
                  </a:p>
                </c:rich>
              </c:tx>
              <c:dLblPos val="ctr"/>
              <c:showLegendKey val="0"/>
              <c:showVal val="0"/>
              <c:showCatName val="0"/>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ysClr val="window" lastClr="FFFFFF"/>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ysClr val="windowText" lastClr="000000">
                          <a:lumMod val="50000"/>
                          <a:lumOff val="50000"/>
                        </a:sysClr>
                      </a:solidFill>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基本支出</c:v>
                </c:pt>
                <c:pt idx="1">
                  <c:v>项目支出</c:v>
                </c:pt>
              </c:strCache>
            </c:strRef>
          </c:cat>
          <c:val>
            <c:numRef>
              <c:extLst>
                <c:ext xmlns:c15="http://schemas.microsoft.com/office/drawing/2012/chart" uri="{02D57815-91ED-43cb-92C2-25804820EDAC}">
                  <c15:fullRef>
                    <c15:sqref>Sheet1!$B$2:$B$5</c15:sqref>
                  </c15:fullRef>
                </c:ext>
              </c:extLst>
              <c:f>Sheet1!$B$2:$B$3</c:f>
              <c:numCache>
                <c:formatCode>General</c:formatCode>
                <c:ptCount val="2"/>
                <c:pt idx="0">
                  <c:v>72.36</c:v>
                </c:pt>
                <c:pt idx="1">
                  <c:v>11.03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ysClr val="window" lastClr="FFFFFF">
            <a:lumMod val="95000"/>
            <a:alpha val="39000"/>
          </a:sysClr>
        </a:solid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75000"/>
                  <a:lumOff val="25000"/>
                </a:sysClr>
              </a:solidFill>
              <a:latin typeface="+mn-lt"/>
              <a:ea typeface="+mn-ea"/>
              <a:cs typeface="+mn-cs"/>
            </a:defRPr>
          </a:pPr>
        </a:p>
      </c:txPr>
    </c:legend>
    <c:plotVisOnly val="1"/>
    <c:dispBlanksAs val="gap"/>
    <c:showDLblsOverMax val="0"/>
  </c:chart>
  <c:spPr>
    <a:gradFill flip="none" rotWithShape="1">
      <a:gsLst>
        <a:gs pos="0">
          <a:sysClr val="window" lastClr="FFFFFF"/>
        </a:gs>
        <a:gs pos="39000">
          <a:sysClr val="window" lastClr="FFFFFF"/>
        </a:gs>
        <a:gs pos="100000">
          <a:sysClr val="window" lastClr="FFFFFF">
            <a:lumMod val="75000"/>
          </a:sysClr>
        </a:gs>
      </a:gsLst>
      <a:path path="circle">
        <a:fillToRect l="50000" t="-80000" r="50000" b="180000"/>
      </a:path>
    </a:gradFill>
    <a:ln w="9525" cap="flat" cmpd="sng" algn="ctr">
      <a:solidFill>
        <a:sysClr val="windowText" lastClr="000000">
          <a:lumMod val="25000"/>
          <a:lumOff val="75000"/>
        </a:sys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400" b="0" i="0" u="none" strike="noStrike" kern="1200" spc="0" baseline="0">
                <a:solidFill>
                  <a:sysClr val="windowText" lastClr="000000">
                    <a:lumMod val="65000"/>
                    <a:lumOff val="35000"/>
                  </a:sysClr>
                </a:solidFill>
                <a:latin typeface="+mn-lt"/>
                <a:ea typeface="+mn-ea"/>
                <a:cs typeface="+mn-cs"/>
              </a:defRPr>
            </a:pPr>
            <a:r>
              <a:t>财政收支与</a:t>
            </a:r>
            <a:r>
              <a:rPr lang="en-US" altLang="zh-CN"/>
              <a:t>2019</a:t>
            </a:r>
            <a:r>
              <a:rPr altLang="en-US"/>
              <a:t>年度决算对比</a:t>
            </a:r>
            <a:r>
              <a:t>图</a:t>
            </a:r>
          </a:p>
        </c:rich>
      </c:tx>
      <c:layout/>
      <c:overlay val="0"/>
      <c:spPr>
        <a:noFill/>
        <a:ln>
          <a:noFill/>
        </a:ln>
        <a:effectLst/>
      </c:spPr>
    </c:title>
    <c:autoTitleDeleted val="0"/>
    <c:plotArea>
      <c:layout>
        <c:manualLayout>
          <c:layoutTarget val="inner"/>
          <c:xMode val="edge"/>
          <c:yMode val="edge"/>
          <c:x val="0.052825"/>
          <c:y val="0.110666666666667"/>
          <c:w val="0.9143"/>
          <c:h val="0.717233333333333"/>
        </c:manualLayout>
      </c:layout>
      <c:barChart>
        <c:barDir val="col"/>
        <c:grouping val="clustered"/>
        <c:varyColors val="0"/>
        <c:ser>
          <c:idx val="0"/>
          <c:order val="0"/>
          <c:tx>
            <c:strRef>
              <c:f>Sheet1!$B$1</c:f>
              <c:strCache>
                <c:ptCount val="1"/>
                <c:pt idx="0">
                  <c:v>收入决算数</c:v>
                </c:pt>
              </c:strCache>
            </c:strRef>
          </c:tx>
          <c:spPr>
            <a:solidFill>
              <a:srgbClr val="5B9BD5">
                <a:tint val="100000"/>
                <a:shade val="100000"/>
                <a:hueMod val="100000"/>
                <a:satMod val="100000"/>
              </a:srgbClr>
            </a:solidFill>
            <a:ln>
              <a:noFill/>
            </a:ln>
            <a:effectLst/>
          </c:spPr>
          <c:invertIfNegative val="0"/>
          <c:dLbls>
            <c:delete val="1"/>
          </c:dLbls>
          <c:cat>
            <c:numRef>
              <c:f>Sheet1!$A$2:$A$5</c:f>
              <c:numCache>
                <c:formatCode>General</c:formatCode>
                <c:ptCount val="4"/>
                <c:pt idx="0">
                  <c:v>2019</c:v>
                </c:pt>
                <c:pt idx="1">
                  <c:v>2020</c:v>
                </c:pt>
              </c:numCache>
            </c:numRef>
          </c:cat>
          <c:val>
            <c:numRef>
              <c:f>Sheet1!$B$2:$B$5</c:f>
              <c:numCache>
                <c:formatCode>General</c:formatCode>
                <c:ptCount val="4"/>
                <c:pt idx="0">
                  <c:v>62.45</c:v>
                </c:pt>
                <c:pt idx="1">
                  <c:v>82.93</c:v>
                </c:pt>
              </c:numCache>
            </c:numRef>
          </c:val>
        </c:ser>
        <c:ser>
          <c:idx val="2"/>
          <c:order val="1"/>
          <c:tx>
            <c:strRef>
              <c:f>Sheet1!$C$1</c:f>
              <c:strCache>
                <c:ptCount val="1"/>
                <c:pt idx="0">
                  <c:v>支出决算数</c:v>
                </c:pt>
              </c:strCache>
            </c:strRef>
          </c:tx>
          <c:spPr>
            <a:solidFill>
              <a:srgbClr val="A5A5A5">
                <a:tint val="100000"/>
                <a:shade val="100000"/>
                <a:hueMod val="100000"/>
                <a:satMod val="100000"/>
              </a:srgbClr>
            </a:solidFill>
            <a:ln>
              <a:noFill/>
            </a:ln>
            <a:effectLst/>
          </c:spPr>
          <c:invertIfNegative val="0"/>
          <c:dLbls>
            <c:delete val="1"/>
          </c:dLbls>
          <c:cat>
            <c:numRef>
              <c:f>Sheet1!$A$2:$A$5</c:f>
              <c:numCache>
                <c:formatCode>General</c:formatCode>
                <c:ptCount val="4"/>
                <c:pt idx="0">
                  <c:v>2019</c:v>
                </c:pt>
                <c:pt idx="1">
                  <c:v>2020</c:v>
                </c:pt>
              </c:numCache>
            </c:numRef>
          </c:cat>
          <c:val>
            <c:numRef>
              <c:f>Sheet1!$C$2:$C$5</c:f>
              <c:numCache>
                <c:formatCode>General</c:formatCode>
                <c:ptCount val="4"/>
                <c:pt idx="0">
                  <c:v>62.45</c:v>
                </c:pt>
                <c:pt idx="1">
                  <c:v>83.39</c:v>
                </c:pt>
              </c:numCache>
            </c:numRef>
          </c:val>
        </c:ser>
        <c:dLbls>
          <c:showLegendKey val="0"/>
          <c:showVal val="0"/>
          <c:showCatName val="0"/>
          <c:showSerName val="0"/>
          <c:showPercent val="0"/>
          <c:showBubbleSize val="0"/>
        </c:dLbls>
        <c:gapWidth val="219"/>
        <c:overlap val="-27"/>
        <c:axId val="487567573"/>
        <c:axId val="827889045"/>
      </c:barChart>
      <c:catAx>
        <c:axId val="487567573"/>
        <c:scaling>
          <c:orientation val="minMax"/>
        </c:scaling>
        <c:delete val="0"/>
        <c:axPos val="b"/>
        <c:majorTickMark val="none"/>
        <c:minorTickMark val="none"/>
        <c:tickLblPos val="nextTo"/>
        <c:spPr>
          <a:noFill/>
          <a:ln w="9525" cap="flat" cmpd="sng" algn="ctr">
            <a:solidFill>
              <a:sysClr val="windowText" lastClr="000000">
                <a:lumMod val="15000"/>
                <a:lumOff val="85000"/>
              </a:sysClr>
            </a:solidFill>
            <a:round/>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827889045"/>
        <c:crosses val="autoZero"/>
        <c:auto val="1"/>
        <c:lblAlgn val="ctr"/>
        <c:lblOffset val="100"/>
        <c:noMultiLvlLbl val="0"/>
      </c:catAx>
      <c:valAx>
        <c:axId val="827889045"/>
        <c:scaling>
          <c:orientation val="minMax"/>
        </c:scaling>
        <c:delete val="0"/>
        <c:axPos val="l"/>
        <c:majorGridlines>
          <c:spPr>
            <a:ln w="9525" cap="flat" cmpd="sng" algn="ctr">
              <a:solidFill>
                <a:sysClr val="windowText" lastClr="000000">
                  <a:lumMod val="15000"/>
                  <a:lumOff val="85000"/>
                </a:sys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crossAx val="48756757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65000"/>
                  <a:lumOff val="35000"/>
                </a:sysClr>
              </a:solidFill>
              <a:latin typeface="+mn-lt"/>
              <a:ea typeface="+mn-ea"/>
              <a:cs typeface="+mn-cs"/>
            </a:defRPr>
          </a:pPr>
        </a:p>
      </c:txPr>
    </c:legend>
    <c:plotVisOnly val="1"/>
    <c:dispBlanksAs val="gap"/>
    <c:showDLblsOverMax val="0"/>
  </c:chart>
  <c:spPr>
    <a:solidFill>
      <a:sysClr val="window" lastClr="FFFFFF"/>
    </a:solidFill>
    <a:ln w="9525" cap="flat" cmpd="sng" algn="ctr">
      <a:solidFill>
        <a:sysClr val="windowText" lastClr="000000">
          <a:lumMod val="15000"/>
          <a:lumOff val="85000"/>
        </a:sys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ea"/>
                <a:ea typeface="+mn-ea"/>
                <a:cs typeface="+mn-cs"/>
              </a:defRPr>
            </a:pPr>
            <a:r>
              <a:rPr lang="zh-CN" altLang="zh-CN" sz="1200" b="0" i="0" u="none" strike="noStrike" baseline="0">
                <a:latin typeface="+mn-ea"/>
                <a:ea typeface="+mn-ea"/>
              </a:rPr>
              <a:t>图</a:t>
            </a:r>
            <a:r>
              <a:rPr lang="en-US" altLang="zh-CN" sz="1200" b="0" i="0" u="none" strike="noStrike" baseline="0">
                <a:latin typeface="+mn-ea"/>
                <a:ea typeface="+mn-ea"/>
              </a:rPr>
              <a:t>4</a:t>
            </a:r>
            <a:r>
              <a:rPr lang="zh-CN" altLang="zh-CN" sz="1200" b="0" i="0" u="none" strike="noStrike" baseline="0">
                <a:latin typeface="+mn-ea"/>
                <a:ea typeface="+mn-ea"/>
              </a:rPr>
              <a:t>：财政拨款收支</a:t>
            </a:r>
            <a:r>
              <a:rPr lang="zh-CN" altLang="en-US" sz="1200" b="0" i="0" u="none" strike="noStrike" baseline="0">
                <a:latin typeface="+mn-ea"/>
                <a:ea typeface="+mn-ea"/>
              </a:rPr>
              <a:t>决算与年初</a:t>
            </a:r>
            <a:r>
              <a:rPr lang="zh-CN" altLang="zh-CN" sz="1200" b="0" i="0" u="none" strike="noStrike" baseline="0">
                <a:latin typeface="+mn-ea"/>
                <a:ea typeface="+mn-ea"/>
              </a:rPr>
              <a:t>预算</a:t>
            </a:r>
            <a:r>
              <a:rPr lang="zh-CN" altLang="en-US" sz="1200" b="0" i="0" u="none" strike="noStrike" baseline="0">
                <a:latin typeface="+mn-ea"/>
                <a:ea typeface="+mn-ea"/>
              </a:rPr>
              <a:t>数</a:t>
            </a:r>
            <a:r>
              <a:rPr lang="zh-CN" altLang="zh-CN" sz="1200" b="0" i="0" u="none" strike="noStrike" baseline="0">
                <a:latin typeface="+mn-ea"/>
                <a:ea typeface="+mn-ea"/>
              </a:rPr>
              <a:t>对比情况</a:t>
            </a:r>
            <a:endParaRPr lang="zh-CN" altLang="zh-CN" sz="1200" b="0">
              <a:latin typeface="+mn-ea"/>
              <a:ea typeface="+mn-ea"/>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100155074365704"/>
          <c:y val="0.0231156048675734"/>
          <c:w val="0.869289370078741"/>
          <c:h val="0.76881800286328"/>
        </c:manualLayout>
      </c:layout>
      <c:barChart>
        <c:barDir val="col"/>
        <c:grouping val="clustered"/>
        <c:varyColors val="0"/>
        <c:ser>
          <c:idx val="0"/>
          <c:order val="0"/>
          <c:tx>
            <c:strRef>
              <c:f>[2020部门决算公开制图模板.xlsx]收支与预算对比!$A$5</c:f>
              <c:strCache>
                <c:ptCount val="1"/>
                <c:pt idx="0">
                  <c:v>年初预算数</c:v>
                </c:pt>
              </c:strCache>
            </c:strRef>
          </c:tx>
          <c:spPr>
            <a:scene3d>
              <a:camera prst="orthographicFront"/>
              <a:lightRig rig="threePt" dir="t"/>
            </a:scene3d>
            <a:sp3d>
              <a:bevelT/>
              <a:bevelB/>
            </a:sp3d>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[2020部门决算公开制图模板.xlsx]收支与预算对比!$B$4:$C$4</c:f>
              <c:strCache>
                <c:ptCount val="2"/>
                <c:pt idx="0">
                  <c:v>财政拨款收入</c:v>
                </c:pt>
                <c:pt idx="1">
                  <c:v>财政拨款支出</c:v>
                </c:pt>
              </c:strCache>
            </c:strRef>
          </c:cat>
          <c:val>
            <c:numRef>
              <c:f>[2020部门决算公开制图模板.xlsx]收支与预算对比!$B$5:$C$5</c:f>
              <c:numCache>
                <c:formatCode>General</c:formatCode>
                <c:ptCount val="2"/>
                <c:pt idx="0">
                  <c:v>82.64</c:v>
                </c:pt>
                <c:pt idx="1">
                  <c:v>82.64</c:v>
                </c:pt>
              </c:numCache>
            </c:numRef>
          </c:val>
        </c:ser>
        <c:ser>
          <c:idx val="1"/>
          <c:order val="1"/>
          <c:tx>
            <c:strRef>
              <c:f>[2020部门决算公开制图模板.xlsx]收支与预算对比!$A$6</c:f>
              <c:strCache>
                <c:ptCount val="1"/>
                <c:pt idx="0">
                  <c:v>决算数</c:v>
                </c:pt>
              </c:strCache>
            </c:strRef>
          </c:tx>
          <c:spPr>
            <a:scene3d>
              <a:camera prst="orthographicFront"/>
              <a:lightRig rig="threePt" dir="t"/>
            </a:scene3d>
            <a:sp3d>
              <a:bevelT/>
              <a:bevelB/>
            </a:sp3d>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[2020部门决算公开制图模板.xlsx]收支与预算对比!$B$4:$C$4</c:f>
              <c:strCache>
                <c:ptCount val="2"/>
                <c:pt idx="0">
                  <c:v>财政拨款收入</c:v>
                </c:pt>
                <c:pt idx="1">
                  <c:v>财政拨款支出</c:v>
                </c:pt>
              </c:strCache>
            </c:strRef>
          </c:cat>
          <c:val>
            <c:numRef>
              <c:f>[2020部门决算公开制图模板.xlsx]收支与预算对比!$B$6:$C$6</c:f>
              <c:numCache>
                <c:formatCode>General</c:formatCode>
                <c:ptCount val="2"/>
                <c:pt idx="0">
                  <c:v>82.93</c:v>
                </c:pt>
                <c:pt idx="1">
                  <c:v>83.39</c:v>
                </c:pt>
              </c:numCache>
            </c:numRef>
          </c:val>
        </c:ser>
        <c:dLbls>
          <c:showLegendKey val="0"/>
          <c:showVal val="1"/>
          <c:showCatName val="0"/>
          <c:showSerName val="0"/>
          <c:showPercent val="0"/>
          <c:showBubbleSize val="0"/>
        </c:dLbls>
        <c:gapWidth val="75"/>
        <c:axId val="161246208"/>
        <c:axId val="161256192"/>
      </c:barChart>
      <c:catAx>
        <c:axId val="16124620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1256192"/>
        <c:crosses val="autoZero"/>
        <c:auto val="1"/>
        <c:lblAlgn val="ctr"/>
        <c:lblOffset val="100"/>
        <c:noMultiLvlLbl val="0"/>
      </c:catAx>
      <c:valAx>
        <c:axId val="16125619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1246208"/>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defTabSz="914400">
              <a:defRPr lang="zh-CN" sz="1800" b="1" i="0" u="none" strike="noStrike" kern="1200" baseline="0">
                <a:solidFill>
                  <a:sysClr val="windowText" lastClr="000000">
                    <a:lumMod val="75000"/>
                    <a:lumOff val="25000"/>
                  </a:sysClr>
                </a:solidFill>
                <a:latin typeface="+mn-lt"/>
                <a:ea typeface="+mn-ea"/>
                <a:cs typeface="+mn-cs"/>
              </a:defRPr>
            </a:pPr>
            <a:r>
              <a:t>支出决算结构图</a:t>
            </a:r>
          </a:p>
        </c:rich>
      </c:tx>
      <c:layout/>
      <c:overlay val="0"/>
      <c:spPr>
        <a:noFill/>
        <a:ln>
          <a:noFill/>
        </a:ln>
        <a:effectLst/>
      </c:spPr>
    </c:title>
    <c:autoTitleDeleted val="0"/>
    <c:plotArea>
      <c:layout>
        <c:manualLayout>
          <c:layoutTarget val="inner"/>
          <c:xMode val="edge"/>
          <c:yMode val="edge"/>
          <c:x val="0.094"/>
          <c:y val="0.174666666666667"/>
          <c:w val="0.61525"/>
          <c:h val="0.820333333333333"/>
        </c:manualLayout>
      </c:layout>
      <c:pieChart>
        <c:varyColors val="1"/>
        <c:ser>
          <c:idx val="0"/>
          <c:order val="0"/>
          <c:tx>
            <c:strRef>
              <c:f>Sheet1!$B$1</c:f>
              <c:strCache>
                <c:ptCount val="1"/>
                <c:pt idx="0">
                  <c:v>支出决算情况</c:v>
                </c:pt>
              </c:strCache>
            </c:strRef>
          </c:tx>
          <c:spPr/>
          <c:explosion val="0"/>
          <c:dPt>
            <c:idx val="0"/>
            <c:bubble3D val="0"/>
            <c:spPr>
              <a:solidFill>
                <a:srgbClr val="5B9BD5"/>
              </a:solidFill>
              <a:ln>
                <a:noFill/>
              </a:ln>
              <a:effectLst>
                <a:outerShdw blurRad="254000" sx="102000" sy="102000" algn="ctr" rotWithShape="0">
                  <a:prstClr val="black">
                    <a:alpha val="20000"/>
                  </a:prstClr>
                </a:outerShdw>
              </a:effectLst>
            </c:spPr>
          </c:dPt>
          <c:dPt>
            <c:idx val="1"/>
            <c:bubble3D val="0"/>
            <c:spPr>
              <a:solidFill>
                <a:srgbClr val="ED7D31"/>
              </a:solidFill>
              <a:ln>
                <a:noFill/>
              </a:ln>
              <a:effectLst>
                <a:outerShdw blurRad="254000" sx="102000" sy="102000" algn="ctr" rotWithShape="0">
                  <a:prstClr val="black">
                    <a:alpha val="20000"/>
                  </a:prstClr>
                </a:outerShdw>
              </a:effectLst>
            </c:spPr>
          </c:dPt>
          <c:dPt>
            <c:idx val="2"/>
            <c:bubble3D val="0"/>
            <c:spPr>
              <a:solidFill>
                <a:srgbClr val="A5A5A5"/>
              </a:solidFill>
              <a:ln>
                <a:noFill/>
              </a:ln>
              <a:effectLst>
                <a:outerShdw blurRad="254000" sx="102000" sy="102000" algn="ctr" rotWithShape="0">
                  <a:prstClr val="black">
                    <a:alpha val="20000"/>
                  </a:prstClr>
                </a:outerShdw>
              </a:effectLst>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ysClr val="window" lastClr="FFFFFF"/>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ysClr val="windowText" lastClr="000000">
                          <a:lumMod val="50000"/>
                          <a:lumOff val="50000"/>
                        </a:sysClr>
                      </a:solidFill>
                    </a:ln>
                    <a:effectLst/>
                  </c:spPr>
                </c15:leaderLines>
              </c:ext>
            </c:extLst>
          </c:dLbls>
          <c:cat>
            <c:strRef>
              <c:extLst>
                <c:ext xmlns:c15="http://schemas.microsoft.com/office/drawing/2012/chart" uri="{02D57815-91ED-43cb-92C2-25804820EDAC}">
                  <c15:fullRef>
                    <c15:sqref>Sheet1!$A$2:$A$5</c15:sqref>
                  </c15:fullRef>
                </c:ext>
              </c:extLst>
              <c:f>Sheet1!$A$2:$A$4</c:f>
              <c:strCache>
                <c:ptCount val="3"/>
                <c:pt idx="0">
                  <c:v>科学技术</c:v>
                </c:pt>
                <c:pt idx="1">
                  <c:v>社会保障和就业</c:v>
                </c:pt>
                <c:pt idx="2">
                  <c:v>卫生健康</c:v>
                </c:pt>
              </c:strCache>
            </c:strRef>
          </c:cat>
          <c:val>
            <c:numRef>
              <c:extLst>
                <c:ext xmlns:c15="http://schemas.microsoft.com/office/drawing/2012/chart" uri="{02D57815-91ED-43cb-92C2-25804820EDAC}">
                  <c15:fullRef>
                    <c15:sqref>Sheet1!$B$2:$B$5</c15:sqref>
                  </c15:fullRef>
                </c:ext>
              </c:extLst>
              <c:f>Sheet1!$B$2:$B$4</c:f>
              <c:numCache>
                <c:formatCode>General</c:formatCode>
                <c:ptCount val="3"/>
                <c:pt idx="0">
                  <c:v>70.51</c:v>
                </c:pt>
                <c:pt idx="1">
                  <c:v>11.77</c:v>
                </c:pt>
                <c:pt idx="2">
                  <c:v>1.11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ysClr val="window" lastClr="FFFFFF">
            <a:lumMod val="95000"/>
            <a:alpha val="39000"/>
          </a:sysClr>
        </a:solidFill>
        <a:ln>
          <a:noFill/>
        </a:ln>
        <a:effectLst/>
      </c:spPr>
      <c:txPr>
        <a:bodyPr rot="0" spcFirstLastPara="0" vertOverflow="ellipsis" vert="horz" wrap="square" anchor="ctr" anchorCtr="1"/>
        <a:lstStyle/>
        <a:p>
          <a:pPr>
            <a:defRPr lang="zh-CN" sz="900" b="0" i="0" u="none" strike="noStrike" kern="1200" baseline="0">
              <a:solidFill>
                <a:sysClr val="windowText" lastClr="000000">
                  <a:lumMod val="75000"/>
                  <a:lumOff val="25000"/>
                </a:sysClr>
              </a:solidFill>
              <a:latin typeface="+mn-lt"/>
              <a:ea typeface="+mn-ea"/>
              <a:cs typeface="+mn-cs"/>
            </a:defRPr>
          </a:pPr>
        </a:p>
      </c:txPr>
    </c:legend>
    <c:plotVisOnly val="1"/>
    <c:dispBlanksAs val="gap"/>
    <c:showDLblsOverMax val="0"/>
  </c:chart>
  <c:spPr>
    <a:gradFill flip="none" rotWithShape="1">
      <a:gsLst>
        <a:gs pos="0">
          <a:sysClr val="window" lastClr="FFFFFF"/>
        </a:gs>
        <a:gs pos="39000">
          <a:sysClr val="window" lastClr="FFFFFF"/>
        </a:gs>
        <a:gs pos="100000">
          <a:sysClr val="window" lastClr="FFFFFF">
            <a:lumMod val="75000"/>
          </a:sysClr>
        </a:gs>
      </a:gsLst>
      <a:path path="circle">
        <a:fillToRect l="50000" t="-80000" r="50000" b="180000"/>
      </a:path>
    </a:gradFill>
    <a:ln w="9525" cap="flat" cmpd="sng" algn="ctr">
      <a:solidFill>
        <a:sysClr val="windowText" lastClr="000000">
          <a:lumMod val="25000"/>
          <a:lumOff val="75000"/>
        </a:sys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ysClr val="windowText" lastClr="000000">
        <a:lumMod val="65000"/>
        <a:lumOff val="35000"/>
      </a:sysClr>
    </cs:fontRef>
    <cs:defRPr sz="1000" kern="1200"/>
  </cs:axisTitle>
  <cs:categoryAxis>
    <cs:lnRef idx="0"/>
    <cs:fillRef idx="0"/>
    <cs:effectRef idx="0"/>
    <cs:fontRef idx="minor">
      <a:sysClr val="windowText" lastClr="000000">
        <a:lumMod val="65000"/>
        <a:lumOff val="35000"/>
      </a:sysClr>
    </cs:fontRef>
    <cs:spPr>
      <a:ln w="9525" cap="flat" cmpd="sng" algn="ctr">
        <a:solidFill>
          <a:sysClr val="windowText" lastClr="000000">
            <a:lumMod val="15000"/>
            <a:lumOff val="85000"/>
          </a:sysClr>
        </a:solidFill>
        <a:round/>
      </a:ln>
    </cs:spPr>
    <cs:defRPr sz="900" kern="1200"/>
  </cs:categoryAxis>
  <cs:chartArea mods="allowNoFillOverride allowNoLineOverride">
    <cs:lnRef idx="0"/>
    <cs:fillRef idx="0"/>
    <cs:effectRef idx="0"/>
    <cs:fontRef idx="minor">
      <a:sysClr val="windowText" lastClr="000000"/>
    </cs:fontRef>
    <cs:spPr>
      <a:solidFill>
        <a:sysClr val="window" lastClr="FFFFFF"/>
      </a:solidFill>
      <a:ln w="9525" cap="flat" cmpd="sng" algn="ctr">
        <a:solidFill>
          <a:sysClr val="windowText" lastClr="000000">
            <a:lumMod val="15000"/>
            <a:lumOff val="85000"/>
          </a:sysClr>
        </a:solidFill>
        <a:round/>
      </a:ln>
    </cs:spPr>
    <cs:defRPr sz="1000" kern="1200"/>
  </cs:chartArea>
  <cs:dataLabel>
    <cs:lnRef idx="0"/>
    <cs:fillRef idx="0"/>
    <cs:effectRef idx="0"/>
    <cs:fontRef idx="minor">
      <a:sysClr val="windowText" lastClr="000000">
        <a:lumMod val="75000"/>
        <a:lumOff val="25000"/>
      </a:sysClr>
    </cs:fontRef>
    <cs:defRPr sz="900" kern="1200"/>
  </cs:dataLabel>
  <cs:dataLabelCallout>
    <cs:lnRef idx="0"/>
    <cs:fillRef idx="0"/>
    <cs:effectRef idx="0"/>
    <cs:fontRef idx="minor">
      <a:sysClr val="windowText" lastClr="000000">
        <a:lumMod val="65000"/>
        <a:lumOff val="35000"/>
      </a:sysClr>
    </cs:fontRef>
    <cs:spPr>
      <a:solidFill>
        <a:sysClr val="window" lastClr="FFFFFF"/>
      </a:solidFill>
      <a:ln>
        <a:solidFill>
          <a:sysClr val="windowText" lastClr="000000">
            <a:lumMod val="25000"/>
            <a:lumOff val="75000"/>
          </a:sys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ysClr val="windowText" lastClr="000000"/>
    </cs:fontRef>
  </cs:dataPoint>
  <cs:dataPoint3D>
    <cs:lnRef idx="0"/>
    <cs:fillRef idx="1">
      <cs:styleClr val="auto"/>
    </cs:fillRef>
    <cs:effectRef idx="0"/>
    <cs:fontRef idx="minor">
      <a:sysClr val="windowText" lastClr="000000"/>
    </cs:fontRef>
  </cs:dataPoint3D>
  <cs:dataPointLine>
    <cs:lnRef idx="0">
      <cs:styleClr val="auto"/>
    </cs:lnRef>
    <cs:fillRef idx="1"/>
    <cs:effectRef idx="0"/>
    <cs:fontRef idx="minor">
      <a:sysClr val="windowText" lastClr="000000"/>
    </cs:fontRef>
    <cs:spPr>
      <a:ln w="28575" cap="rnd">
        <a:solidFill>
          <a:schemeClr val="phClr"/>
        </a:solidFill>
        <a:round/>
      </a:ln>
    </cs:spPr>
  </cs:dataPointLine>
  <cs:dataPointMarker>
    <cs:lnRef idx="0">
      <cs:styleClr val="auto"/>
    </cs:lnRef>
    <cs:fillRef idx="1">
      <cs:styleClr val="auto"/>
    </cs:fillRef>
    <cs:effectRef idx="0"/>
    <cs:fontRef idx="minor">
      <a:sysClr val="windowText" lastClr="000000"/>
    </cs:fontRef>
    <cs:spPr>
      <a:ln w="9525">
        <a:solidFill>
          <a:schemeClr val="phClr"/>
        </a:solidFill>
      </a:ln>
    </cs:spPr>
  </cs:dataPointMarker>
  <cs:dataPointMarkerLayout symbol="circle" size="5"/>
  <cs:dataPointWireframe>
    <cs:lnRef idx="0">
      <cs:styleClr val="auto"/>
    </cs:lnRef>
    <cs:fillRef idx="1"/>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65000"/>
        <a:lumOff val="35000"/>
      </a:sysClr>
    </cs:fontRef>
    <cs:spPr>
      <a:noFill/>
      <a:ln w="9525" cap="flat" cmpd="sng" algn="ctr">
        <a:solidFill>
          <a:sysClr val="windowText" lastClr="000000">
            <a:lumMod val="15000"/>
            <a:lumOff val="85000"/>
          </a:sysClr>
        </a:solidFill>
        <a:round/>
      </a:ln>
    </cs:spPr>
    <cs:defRPr sz="900" kern="1200"/>
  </cs:dataTable>
  <cs:downBar>
    <cs:lnRef idx="0"/>
    <cs:fillRef idx="0"/>
    <cs:effectRef idx="0"/>
    <cs:fontRef idx="minor">
      <a:sysClr val="windowText" lastClr="000000"/>
    </cs:fontRef>
    <cs:spPr>
      <a:solidFill>
        <a:sysClr val="windowText" lastClr="000000">
          <a:lumMod val="65000"/>
          <a:lumOff val="35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cap="flat" cmpd="sng" algn="ctr">
        <a:solidFill>
          <a:sysClr val="windowText" lastClr="000000">
            <a:lumMod val="35000"/>
            <a:lumOff val="65000"/>
          </a:sysClr>
        </a:solidFill>
        <a:round/>
      </a:ln>
    </cs:spPr>
  </cs:dropLine>
  <cs:errorBar>
    <cs:lnRef idx="0"/>
    <cs:fillRef idx="0"/>
    <cs:effectRef idx="0"/>
    <cs:fontRef idx="minor">
      <a:sysClr val="windowText" lastClr="000000"/>
    </cs:fontRef>
    <cs:spPr>
      <a:ln w="9525" cap="flat" cmpd="sng" algn="ctr">
        <a:solidFill>
          <a:sysClr val="windowText" lastClr="000000">
            <a:lumMod val="65000"/>
            <a:lumOff val="35000"/>
          </a:sysClr>
        </a:solidFill>
        <a:round/>
      </a:ln>
    </cs:spPr>
  </cs:errorBar>
  <cs:floor>
    <cs:lnRef idx="0"/>
    <cs:fillRef idx="0"/>
    <cs:effectRef idx="0"/>
    <cs:fontRef idx="minor">
      <a:sysClr val="windowText" lastClr="000000"/>
    </cs:fontRef>
    <cs:spPr>
      <a:noFill/>
      <a:ln>
        <a:noFill/>
      </a:ln>
    </cs:spPr>
  </cs:floor>
  <cs:gridlineMajor>
    <cs:lnRef idx="0"/>
    <cs:fillRef idx="0"/>
    <cs:effectRef idx="0"/>
    <cs:fontRef idx="minor">
      <a:sysClr val="windowText" lastClr="000000"/>
    </cs:fontRef>
    <cs:spPr>
      <a:ln w="9525" cap="flat" cmpd="sng" algn="ctr">
        <a:solidFill>
          <a:sysClr val="windowText" lastClr="000000">
            <a:lumMod val="15000"/>
            <a:lumOff val="85000"/>
          </a:sysClr>
        </a:solidFill>
        <a:round/>
      </a:ln>
    </cs:spPr>
  </cs:gridlineMajor>
  <cs:gridlineMinor>
    <cs:lnRef idx="0"/>
    <cs:fillRef idx="0"/>
    <cs:effectRef idx="0"/>
    <cs:fontRef idx="minor">
      <a:sysClr val="windowText" lastClr="000000"/>
    </cs:fontRef>
    <cs:spPr>
      <a:ln w="9525" cap="flat" cmpd="sng" algn="ctr">
        <a:solidFill>
          <a:sysClr val="windowText" lastClr="000000">
            <a:lumMod val="5000"/>
            <a:lumOff val="95000"/>
          </a:sysClr>
        </a:solidFill>
        <a:round/>
      </a:ln>
    </cs:spPr>
  </cs:gridlineMinor>
  <cs:hiLoLine>
    <cs:lnRef idx="0"/>
    <cs:fillRef idx="0"/>
    <cs:effectRef idx="0"/>
    <cs:fontRef idx="minor">
      <a:sysClr val="windowText" lastClr="000000"/>
    </cs:fontRef>
    <cs:spPr>
      <a:ln w="9525" cap="flat" cmpd="sng" algn="ctr">
        <a:solidFill>
          <a:sysClr val="windowText" lastClr="000000">
            <a:lumMod val="75000"/>
            <a:lumOff val="25000"/>
          </a:sysClr>
        </a:solidFill>
        <a:round/>
      </a:ln>
    </cs:spPr>
  </cs:hiLoLine>
  <cs:leaderLine>
    <cs:lnRef idx="0"/>
    <cs:fillRef idx="0"/>
    <cs:effectRef idx="0"/>
    <cs:fontRef idx="minor">
      <a:sysClr val="windowText" lastClr="000000"/>
    </cs:fontRef>
    <cs:spPr>
      <a:ln w="9525" cap="flat" cmpd="sng" algn="ctr">
        <a:solidFill>
          <a:sysClr val="windowText" lastClr="000000">
            <a:lumMod val="35000"/>
            <a:lumOff val="65000"/>
          </a:sysClr>
        </a:solidFill>
        <a:round/>
      </a:ln>
    </cs:spPr>
  </cs:leaderLine>
  <cs:legend>
    <cs:lnRef idx="0"/>
    <cs:fillRef idx="0"/>
    <cs:effectRef idx="0"/>
    <cs:fontRef idx="minor">
      <a:sysClr val="windowText" lastClr="000000">
        <a:lumMod val="65000"/>
        <a:lumOff val="35000"/>
      </a:sysClr>
    </cs:fontRef>
    <cs:defRPr sz="900" kern="1200"/>
  </cs:legend>
  <cs:plotArea mods="allowNoFillOverride allowNoLineOverride">
    <cs:lnRef idx="0"/>
    <cs:fillRef idx="0"/>
    <cs:effectRef idx="0"/>
    <cs:fontRef idx="minor">
      <a:sysClr val="windowText" lastClr="000000"/>
    </cs:fontRef>
  </cs:plotArea>
  <cs:plotArea3D mods="allowNoFillOverride allowNoLineOverride">
    <cs:lnRef idx="0"/>
    <cs:fillRef idx="0"/>
    <cs:effectRef idx="0"/>
    <cs:fontRef idx="minor">
      <a:sysClr val="windowText" lastClr="000000"/>
    </cs:fontRef>
  </cs:plotArea3D>
  <cs:seriesAxis>
    <cs:lnRef idx="0"/>
    <cs:fillRef idx="0"/>
    <cs:effectRef idx="0"/>
    <cs:fontRef idx="minor">
      <a:sysClr val="windowText" lastClr="000000">
        <a:lumMod val="65000"/>
        <a:lumOff val="35000"/>
      </a:sysClr>
    </cs:fontRef>
    <cs:defRPr sz="900" kern="1200"/>
  </cs:seriesAxis>
  <cs:seriesLine>
    <cs:lnRef idx="0"/>
    <cs:fillRef idx="0"/>
    <cs:effectRef idx="0"/>
    <cs:fontRef idx="minor">
      <a:sysClr val="windowText" lastClr="000000"/>
    </cs:fontRef>
    <cs:spPr>
      <a:ln w="9525" cap="flat" cmpd="sng" algn="ctr">
        <a:solidFill>
          <a:sysClr val="windowText" lastClr="000000">
            <a:lumMod val="35000"/>
            <a:lumOff val="65000"/>
          </a:sysClr>
        </a:solidFill>
        <a:round/>
      </a:ln>
    </cs:spPr>
  </cs:seriesLine>
  <cs:title>
    <cs:lnRef idx="0"/>
    <cs:fillRef idx="0"/>
    <cs:effectRef idx="0"/>
    <cs:fontRef idx="minor">
      <a:sysClr val="windowText" lastClr="000000">
        <a:lumMod val="65000"/>
        <a:lumOff val="35000"/>
      </a:sysClr>
    </cs:fontRef>
    <cs:defRPr sz="1400" b="0" kern="1200" spc="0" baseline="0"/>
  </cs:title>
  <cs:trendline>
    <cs:lnRef idx="0">
      <cs:styleClr val="auto"/>
    </cs:lnRef>
    <cs:fillRef idx="0"/>
    <cs:effectRef idx="0"/>
    <cs:fontRef idx="minor">
      <a:sysClr val="windowText" lastClr="000000"/>
    </cs:fontRef>
    <cs:spPr>
      <a:ln w="19050" cap="rnd">
        <a:solidFill>
          <a:schemeClr val="phClr"/>
        </a:solidFill>
        <a:prstDash val="sysDot"/>
      </a:ln>
    </cs:spPr>
  </cs:trendline>
  <cs:trendlineLabel>
    <cs:lnRef idx="0"/>
    <cs:fillRef idx="0"/>
    <cs:effectRef idx="0"/>
    <cs:fontRef idx="minor">
      <a:sysClr val="windowText" lastClr="000000">
        <a:lumMod val="65000"/>
        <a:lumOff val="3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15000"/>
            <a:lumOff val="85000"/>
          </a:sysClr>
        </a:solidFill>
      </a:ln>
    </cs:spPr>
  </cs:upBar>
  <cs:valueAxis>
    <cs:lnRef idx="0"/>
    <cs:fillRef idx="0"/>
    <cs:effectRef idx="0"/>
    <cs:fontRef idx="minor">
      <a:sysClr val="windowText" lastClr="000000">
        <a:lumMod val="65000"/>
        <a:lumOff val="35000"/>
      </a:sysClr>
    </cs:fontRef>
    <cs:defRPr sz="900" kern="1200"/>
  </cs:valueAxis>
  <cs:wall>
    <cs:lnRef idx="0"/>
    <cs:fillRef idx="0"/>
    <cs:effectRef idx="0"/>
    <cs:fontRef idx="minor">
      <a:sysClr val="windowText" lastClr="000000"/>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ysClr val="windowText" lastClr="000000">
        <a:lumMod val="75000"/>
        <a:lumOff val="25000"/>
      </a:sysClr>
    </cs:fontRef>
    <cs:defRPr sz="900" b="1" kern="1200"/>
  </cs:axisTitle>
  <cs:categoryAxis>
    <cs:lnRef idx="0"/>
    <cs:fillRef idx="0"/>
    <cs:effectRef idx="0"/>
    <cs:fontRef idx="minor">
      <a:sysClr val="windowText" lastClr="000000">
        <a:lumMod val="75000"/>
        <a:lumOff val="25000"/>
      </a:sysClr>
    </cs:fontRef>
    <cs:spPr>
      <a:ln w="19050" cap="flat" cmpd="sng" algn="ctr">
        <a:solidFill>
          <a:sysClr val="windowText" lastClr="000000">
            <a:lumMod val="75000"/>
            <a:lumOff val="25000"/>
          </a:sysClr>
        </a:solidFill>
        <a:round/>
      </a:ln>
    </cs:spPr>
    <cs:defRPr sz="900" kern="1200" cap="all" baseline="0"/>
  </cs:categoryAxis>
  <cs:chartArea>
    <cs:lnRef idx="0"/>
    <cs:fillRef idx="0"/>
    <cs:effectRef idx="0"/>
    <cs:fontRef idx="minor">
      <a:sysClr val="windowText" lastClr="000000"/>
    </cs:fontRef>
    <cs:spPr>
      <a:gradFill flip="none" rotWithShape="1">
        <a:gsLst>
          <a:gs pos="0">
            <a:sysClr val="window" lastClr="FFFFFF"/>
          </a:gs>
          <a:gs pos="39000">
            <a:sysClr val="window" lastClr="FFFFFF"/>
          </a:gs>
          <a:gs pos="100000">
            <a:sysClr val="window" lastClr="FFFFFF">
              <a:lumMod val="75000"/>
            </a:sysClr>
          </a:gs>
        </a:gsLst>
        <a:path path="circle">
          <a:fillToRect l="50000" t="-80000" r="50000" b="180000"/>
        </a:path>
      </a:gradFill>
      <a:ln w="9525" cap="flat" cmpd="sng" algn="ctr">
        <a:solidFill>
          <a:sysClr val="windowText" lastClr="000000">
            <a:lumMod val="25000"/>
            <a:lumOff val="75000"/>
          </a:sysClr>
        </a:solidFill>
        <a:round/>
      </a:ln>
    </cs:spPr>
    <cs:defRPr sz="900" kern="1200"/>
  </cs:chartArea>
  <cs:dataLabel>
    <cs:lnRef idx="0"/>
    <cs:fillRef idx="0"/>
    <cs:effectRef idx="0"/>
    <cs:fontRef idx="minor">
      <a:sysClr val="window" lastClr="FFFFFF"/>
    </cs:fontRef>
    <cs:spPr>
      <a:pattFill prst="pct75">
        <a:fgClr>
          <a:sysClr val="windowText" lastClr="000000">
            <a:lumMod val="75000"/>
            <a:lumOff val="25000"/>
          </a:sysClr>
        </a:fgClr>
        <a:bgClr>
          <a:sysClr val="windowText" lastClr="000000">
            <a:lumMod val="65000"/>
            <a:lumOff val="35000"/>
          </a:sys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ysClr val="window" lastClr="FFFFFF"/>
    </cs:fontRef>
    <cs:spPr>
      <a:pattFill prst="pct75">
        <a:fgClr>
          <a:sysClr val="windowText" lastClr="000000">
            <a:lumMod val="75000"/>
            <a:lumOff val="25000"/>
          </a:sysClr>
        </a:fgClr>
        <a:bgClr>
          <a:sysClr val="windowText" lastClr="000000">
            <a:lumMod val="65000"/>
            <a:lumOff val="35000"/>
          </a:sys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ysClr val="windowText" lastClr="000000"/>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ysClr val="windowText" lastClr="000000"/>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ysClr val="windowText" lastClr="000000"/>
    </cs:fontRef>
    <cs:spPr>
      <a:ln w="31750" cap="rnd">
        <a:solidFill>
          <a:schemeClr val="phClr">
            <a:alpha val="85000"/>
          </a:schemeClr>
        </a:solidFill>
        <a:round/>
      </a:ln>
    </cs:spPr>
  </cs:dataPointLine>
  <cs:dataPointMarker>
    <cs:lnRef idx="0"/>
    <cs:fillRef idx="0">
      <cs:styleClr val="auto"/>
    </cs:fillRef>
    <cs:effectRef idx="0"/>
    <cs:fontRef idx="minor">
      <a:sysClr val="windowText" lastClr="000000"/>
    </cs:fontRef>
    <cs:spPr>
      <a:solidFill>
        <a:schemeClr val="phClr">
          <a:alpha val="85000"/>
        </a:schemeClr>
      </a:solidFill>
    </cs:spPr>
  </cs:dataPointMarker>
  <cs:dataPointMarkerLayout symbol="circle" size="6"/>
  <cs:dataPointWireframe>
    <cs:lnRef idx="0">
      <cs:styleClr val="auto"/>
    </cs:lnRef>
    <cs:fillRef idx="0"/>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75000"/>
        <a:lumOff val="25000"/>
      </a:sysClr>
    </cs:fontRef>
    <cs:spPr>
      <a:ln w="9525">
        <a:solidFill>
          <a:sysClr val="windowText" lastClr="000000">
            <a:lumMod val="35000"/>
            <a:lumOff val="65000"/>
          </a:sysClr>
        </a:solidFill>
      </a:ln>
    </cs:spPr>
    <cs:defRPr sz="900" kern="1200"/>
  </cs:dataTable>
  <cs:downBar>
    <cs:lnRef idx="0"/>
    <cs:fillRef idx="0"/>
    <cs:effectRef idx="0"/>
    <cs:fontRef idx="minor">
      <a:sysClr val="windowText" lastClr="000000"/>
    </cs:fontRef>
    <cs:spPr>
      <a:solidFill>
        <a:sysClr val="windowText" lastClr="000000">
          <a:lumMod val="50000"/>
          <a:lumOff val="50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a:solidFill>
          <a:sysClr val="windowText" lastClr="000000">
            <a:lumMod val="35000"/>
            <a:lumOff val="65000"/>
          </a:sysClr>
        </a:solidFill>
        <a:prstDash val="dash"/>
      </a:ln>
    </cs:spPr>
  </cs:dropLine>
  <cs:errorBar>
    <cs:lnRef idx="0"/>
    <cs:fillRef idx="0"/>
    <cs:effectRef idx="0"/>
    <cs:fontRef idx="minor">
      <a:sysClr val="windowText" lastClr="000000"/>
    </cs:fontRef>
    <cs:spPr>
      <a:ln w="9525">
        <a:solidFill>
          <a:sysClr val="windowText" lastClr="000000">
            <a:lumMod val="65000"/>
            <a:lumOff val="35000"/>
          </a:sysClr>
        </a:solidFill>
        <a:round/>
      </a:ln>
    </cs:spPr>
  </cs:errorBar>
  <cs:floor>
    <cs:lnRef idx="0"/>
    <cs:fillRef idx="0"/>
    <cs:effectRef idx="0"/>
    <cs:fontRef idx="minor">
      <a:sysClr val="windowText" lastClr="000000"/>
    </cs:fontRef>
  </cs:floor>
  <cs:gridlineMajor>
    <cs:lnRef idx="0"/>
    <cs:fillRef idx="0"/>
    <cs:effectRef idx="0"/>
    <cs:fontRef idx="minor">
      <a:sysClr val="windowText" lastClr="000000"/>
    </cs:fontRef>
    <cs:spPr>
      <a:ln w="9525" cap="flat" cmpd="sng" algn="ctr">
        <a:gradFill>
          <a:gsLst>
            <a:gs pos="100000">
              <a:sysClr val="windowText" lastClr="000000">
                <a:lumMod val="95000"/>
                <a:lumOff val="5000"/>
                <a:alpha val="42000"/>
              </a:sysClr>
            </a:gs>
            <a:gs pos="0">
              <a:sysClr val="window" lastClr="FFFFFF">
                <a:lumMod val="75000"/>
                <a:alpha val="36000"/>
              </a:sysClr>
            </a:gs>
          </a:gsLst>
          <a:lin ang="5400000" scaled="0"/>
        </a:gradFill>
        <a:round/>
      </a:ln>
    </cs:spPr>
  </cs:gridlineMajor>
  <cs:gridlineMinor>
    <cs:lnRef idx="0"/>
    <cs:fillRef idx="0"/>
    <cs:effectRef idx="0"/>
    <cs:fontRef idx="minor">
      <a:sysClr val="windowText" lastClr="000000"/>
    </cs:fontRef>
    <cs:spPr>
      <a:ln>
        <a:gradFill>
          <a:gsLst>
            <a:gs pos="100000">
              <a:sysClr val="windowText" lastClr="000000">
                <a:lumMod val="95000"/>
                <a:lumOff val="5000"/>
                <a:alpha val="42000"/>
              </a:sysClr>
            </a:gs>
            <a:gs pos="0">
              <a:sysClr val="window" lastClr="FFFFFF">
                <a:lumMod val="75000"/>
                <a:alpha val="36000"/>
              </a:sysClr>
            </a:gs>
          </a:gsLst>
          <a:lin ang="5400000" scaled="0"/>
        </a:gradFill>
      </a:ln>
    </cs:spPr>
  </cs:gridlineMinor>
  <cs:hiLoLine>
    <cs:lnRef idx="0"/>
    <cs:fillRef idx="0"/>
    <cs:effectRef idx="0"/>
    <cs:fontRef idx="minor">
      <a:sysClr val="windowText" lastClr="000000"/>
    </cs:fontRef>
    <cs:spPr>
      <a:ln w="9525">
        <a:solidFill>
          <a:sysClr val="windowText" lastClr="000000">
            <a:lumMod val="35000"/>
            <a:lumOff val="65000"/>
          </a:sysClr>
        </a:solidFill>
        <a:prstDash val="dash"/>
      </a:ln>
    </cs:spPr>
  </cs:hiLoLine>
  <cs:leaderLine>
    <cs:lnRef idx="0"/>
    <cs:fillRef idx="0"/>
    <cs:effectRef idx="0"/>
    <cs:fontRef idx="minor">
      <a:sysClr val="windowText" lastClr="000000"/>
    </cs:fontRef>
    <cs:spPr>
      <a:ln w="9525">
        <a:solidFill>
          <a:sysClr val="windowText" lastClr="000000">
            <a:lumMod val="50000"/>
            <a:lumOff val="50000"/>
          </a:sysClr>
        </a:solidFill>
      </a:ln>
    </cs:spPr>
  </cs:leaderLine>
  <cs:legend>
    <cs:lnRef idx="0"/>
    <cs:fillRef idx="0"/>
    <cs:effectRef idx="0"/>
    <cs:fontRef idx="minor">
      <a:sysClr val="windowText" lastClr="000000">
        <a:lumMod val="75000"/>
        <a:lumOff val="25000"/>
      </a:sysClr>
    </cs:fontRef>
    <cs:spPr>
      <a:solidFill>
        <a:sysClr val="window" lastClr="FFFFFF">
          <a:lumMod val="95000"/>
          <a:alpha val="39000"/>
        </a:sysClr>
      </a:solidFill>
    </cs:spPr>
    <cs:defRPr sz="900" kern="1200"/>
  </cs:legend>
  <cs:plotArea>
    <cs:lnRef idx="0"/>
    <cs:fillRef idx="0"/>
    <cs:effectRef idx="0"/>
    <cs:fontRef idx="minor">
      <a:sysClr val="windowText" lastClr="000000"/>
    </cs:fontRef>
  </cs:plotArea>
  <cs:plotArea3D>
    <cs:lnRef idx="0"/>
    <cs:fillRef idx="0"/>
    <cs:effectRef idx="0"/>
    <cs:fontRef idx="minor">
      <a:sysClr val="windowText" lastClr="000000"/>
    </cs:fontRef>
  </cs:plotArea3D>
  <cs:seriesAxis>
    <cs:lnRef idx="0"/>
    <cs:fillRef idx="0"/>
    <cs:effectRef idx="0"/>
    <cs:fontRef idx="minor">
      <a:sysClr val="windowText" lastClr="000000">
        <a:lumMod val="75000"/>
        <a:lumOff val="25000"/>
      </a:sysClr>
    </cs:fontRef>
    <cs:spPr>
      <a:ln w="31750" cap="flat" cmpd="sng" algn="ctr">
        <a:solidFill>
          <a:sysClr val="windowText" lastClr="000000">
            <a:lumMod val="75000"/>
            <a:lumOff val="25000"/>
          </a:sysClr>
        </a:solidFill>
        <a:round/>
      </a:ln>
    </cs:spPr>
    <cs:defRPr sz="900" kern="1200"/>
  </cs:seriesAxis>
  <cs:seriesLine>
    <cs:lnRef idx="0"/>
    <cs:fillRef idx="0"/>
    <cs:effectRef idx="0"/>
    <cs:fontRef idx="minor">
      <a:sysClr val="windowText" lastClr="000000"/>
    </cs:fontRef>
    <cs:spPr>
      <a:ln w="9525">
        <a:solidFill>
          <a:sysClr val="windowText" lastClr="000000">
            <a:lumMod val="50000"/>
            <a:lumOff val="50000"/>
          </a:sysClr>
        </a:solidFill>
        <a:round/>
      </a:ln>
    </cs:spPr>
  </cs:seriesLine>
  <cs:title>
    <cs:lnRef idx="0"/>
    <cs:fillRef idx="0"/>
    <cs:effectRef idx="0"/>
    <cs:fontRef idx="minor">
      <a:sysClr val="windowText" lastClr="000000">
        <a:lumMod val="75000"/>
        <a:lumOff val="25000"/>
      </a:sysClr>
    </cs:fontRef>
    <cs:defRPr sz="1800" b="1" kern="1200" baseline="0"/>
  </cs:title>
  <cs:trendline>
    <cs:lnRef idx="0">
      <cs:styleClr val="auto"/>
    </cs:lnRef>
    <cs:fillRef idx="0"/>
    <cs:effectRef idx="0"/>
    <cs:fontRef idx="minor">
      <a:sysClr val="windowText" lastClr="000000"/>
    </cs:fontRef>
    <cs:spPr>
      <a:ln w="19050" cap="rnd">
        <a:solidFill>
          <a:schemeClr val="phClr"/>
        </a:solidFill>
      </a:ln>
    </cs:spPr>
  </cs:trendline>
  <cs:trendlineLabel>
    <cs:lnRef idx="0"/>
    <cs:fillRef idx="0"/>
    <cs:effectRef idx="0"/>
    <cs:fontRef idx="minor">
      <a:sysClr val="windowText" lastClr="000000">
        <a:lumMod val="75000"/>
        <a:lumOff val="2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65000"/>
            <a:lumOff val="35000"/>
          </a:sysClr>
        </a:solidFill>
      </a:ln>
    </cs:spPr>
  </cs:upBar>
  <cs:valueAxis>
    <cs:lnRef idx="0"/>
    <cs:fillRef idx="0"/>
    <cs:effectRef idx="0"/>
    <cs:fontRef idx="minor">
      <a:sysClr val="windowText" lastClr="000000">
        <a:lumMod val="75000"/>
        <a:lumOff val="25000"/>
      </a:sysClr>
    </cs:fontRef>
    <cs:spPr>
      <a:ln>
        <a:noFill/>
      </a:ln>
    </cs:spPr>
    <cs:defRPr sz="900" kern="1200"/>
  </cs:valueAxis>
  <cs:wall>
    <cs:lnRef idx="0"/>
    <cs:fillRef idx="0"/>
    <cs:effectRef idx="0"/>
    <cs:fontRef idx="minor">
      <a:sysClr val="windowText" lastClr="000000"/>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ysClr val="windowText" lastClr="000000">
        <a:lumMod val="75000"/>
        <a:lumOff val="25000"/>
      </a:sysClr>
    </cs:fontRef>
    <cs:defRPr sz="900" b="1" kern="1200"/>
  </cs:axisTitle>
  <cs:categoryAxis>
    <cs:lnRef idx="0"/>
    <cs:fillRef idx="0"/>
    <cs:effectRef idx="0"/>
    <cs:fontRef idx="minor">
      <a:sysClr val="windowText" lastClr="000000">
        <a:lumMod val="75000"/>
        <a:lumOff val="25000"/>
      </a:sysClr>
    </cs:fontRef>
    <cs:spPr>
      <a:ln w="19050" cap="flat" cmpd="sng" algn="ctr">
        <a:solidFill>
          <a:sysClr val="windowText" lastClr="000000">
            <a:lumMod val="75000"/>
            <a:lumOff val="25000"/>
          </a:sysClr>
        </a:solidFill>
        <a:round/>
      </a:ln>
    </cs:spPr>
    <cs:defRPr sz="900" kern="1200" cap="all" baseline="0"/>
  </cs:categoryAxis>
  <cs:chartArea>
    <cs:lnRef idx="0"/>
    <cs:fillRef idx="0"/>
    <cs:effectRef idx="0"/>
    <cs:fontRef idx="minor">
      <a:sysClr val="windowText" lastClr="000000"/>
    </cs:fontRef>
    <cs:spPr>
      <a:gradFill flip="none" rotWithShape="1">
        <a:gsLst>
          <a:gs pos="0">
            <a:sysClr val="window" lastClr="FFFFFF"/>
          </a:gs>
          <a:gs pos="39000">
            <a:sysClr val="window" lastClr="FFFFFF"/>
          </a:gs>
          <a:gs pos="100000">
            <a:sysClr val="window" lastClr="FFFFFF">
              <a:lumMod val="75000"/>
            </a:sysClr>
          </a:gs>
        </a:gsLst>
        <a:path path="circle">
          <a:fillToRect l="50000" t="-80000" r="50000" b="180000"/>
        </a:path>
      </a:gradFill>
      <a:ln w="9525" cap="flat" cmpd="sng" algn="ctr">
        <a:solidFill>
          <a:sysClr val="windowText" lastClr="000000">
            <a:lumMod val="25000"/>
            <a:lumOff val="75000"/>
          </a:sysClr>
        </a:solidFill>
        <a:round/>
      </a:ln>
    </cs:spPr>
    <cs:defRPr sz="900" kern="1200"/>
  </cs:chartArea>
  <cs:dataLabel>
    <cs:lnRef idx="0"/>
    <cs:fillRef idx="0"/>
    <cs:effectRef idx="0"/>
    <cs:fontRef idx="minor">
      <a:sysClr val="window" lastClr="FFFFFF"/>
    </cs:fontRef>
    <cs:spPr>
      <a:pattFill prst="pct75">
        <a:fgClr>
          <a:sysClr val="windowText" lastClr="000000">
            <a:lumMod val="75000"/>
            <a:lumOff val="25000"/>
          </a:sysClr>
        </a:fgClr>
        <a:bgClr>
          <a:sysClr val="windowText" lastClr="000000">
            <a:lumMod val="65000"/>
            <a:lumOff val="35000"/>
          </a:sys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ysClr val="window" lastClr="FFFFFF"/>
    </cs:fontRef>
    <cs:spPr>
      <a:pattFill prst="pct75">
        <a:fgClr>
          <a:sysClr val="windowText" lastClr="000000">
            <a:lumMod val="75000"/>
            <a:lumOff val="25000"/>
          </a:sysClr>
        </a:fgClr>
        <a:bgClr>
          <a:sysClr val="windowText" lastClr="000000">
            <a:lumMod val="65000"/>
            <a:lumOff val="35000"/>
          </a:sys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ysClr val="windowText" lastClr="000000"/>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ysClr val="windowText" lastClr="000000"/>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ysClr val="windowText" lastClr="000000"/>
    </cs:fontRef>
    <cs:spPr>
      <a:ln w="31750" cap="rnd">
        <a:solidFill>
          <a:schemeClr val="phClr">
            <a:alpha val="85000"/>
          </a:schemeClr>
        </a:solidFill>
        <a:round/>
      </a:ln>
    </cs:spPr>
  </cs:dataPointLine>
  <cs:dataPointMarker>
    <cs:lnRef idx="0"/>
    <cs:fillRef idx="0">
      <cs:styleClr val="auto"/>
    </cs:fillRef>
    <cs:effectRef idx="0"/>
    <cs:fontRef idx="minor">
      <a:sysClr val="windowText" lastClr="000000"/>
    </cs:fontRef>
    <cs:spPr>
      <a:solidFill>
        <a:schemeClr val="phClr">
          <a:alpha val="85000"/>
        </a:schemeClr>
      </a:solidFill>
    </cs:spPr>
  </cs:dataPointMarker>
  <cs:dataPointMarkerLayout symbol="circle" size="6"/>
  <cs:dataPointWireframe>
    <cs:lnRef idx="0">
      <cs:styleClr val="auto"/>
    </cs:lnRef>
    <cs:fillRef idx="0"/>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75000"/>
        <a:lumOff val="25000"/>
      </a:sysClr>
    </cs:fontRef>
    <cs:spPr>
      <a:ln w="9525">
        <a:solidFill>
          <a:sysClr val="windowText" lastClr="000000">
            <a:lumMod val="35000"/>
            <a:lumOff val="65000"/>
          </a:sysClr>
        </a:solidFill>
      </a:ln>
    </cs:spPr>
    <cs:defRPr sz="900" kern="1200"/>
  </cs:dataTable>
  <cs:downBar>
    <cs:lnRef idx="0"/>
    <cs:fillRef idx="0"/>
    <cs:effectRef idx="0"/>
    <cs:fontRef idx="minor">
      <a:sysClr val="windowText" lastClr="000000"/>
    </cs:fontRef>
    <cs:spPr>
      <a:solidFill>
        <a:sysClr val="windowText" lastClr="000000">
          <a:lumMod val="50000"/>
          <a:lumOff val="50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a:solidFill>
          <a:sysClr val="windowText" lastClr="000000">
            <a:lumMod val="35000"/>
            <a:lumOff val="65000"/>
          </a:sysClr>
        </a:solidFill>
        <a:prstDash val="dash"/>
      </a:ln>
    </cs:spPr>
  </cs:dropLine>
  <cs:errorBar>
    <cs:lnRef idx="0"/>
    <cs:fillRef idx="0"/>
    <cs:effectRef idx="0"/>
    <cs:fontRef idx="minor">
      <a:sysClr val="windowText" lastClr="000000"/>
    </cs:fontRef>
    <cs:spPr>
      <a:ln w="9525">
        <a:solidFill>
          <a:sysClr val="windowText" lastClr="000000">
            <a:lumMod val="65000"/>
            <a:lumOff val="35000"/>
          </a:sysClr>
        </a:solidFill>
        <a:round/>
      </a:ln>
    </cs:spPr>
  </cs:errorBar>
  <cs:floor>
    <cs:lnRef idx="0"/>
    <cs:fillRef idx="0"/>
    <cs:effectRef idx="0"/>
    <cs:fontRef idx="minor">
      <a:sysClr val="windowText" lastClr="000000"/>
    </cs:fontRef>
  </cs:floor>
  <cs:gridlineMajor>
    <cs:lnRef idx="0"/>
    <cs:fillRef idx="0"/>
    <cs:effectRef idx="0"/>
    <cs:fontRef idx="minor">
      <a:sysClr val="windowText" lastClr="000000"/>
    </cs:fontRef>
    <cs:spPr>
      <a:ln w="9525" cap="flat" cmpd="sng" algn="ctr">
        <a:gradFill>
          <a:gsLst>
            <a:gs pos="100000">
              <a:sysClr val="windowText" lastClr="000000">
                <a:lumMod val="95000"/>
                <a:lumOff val="5000"/>
                <a:alpha val="42000"/>
              </a:sysClr>
            </a:gs>
            <a:gs pos="0">
              <a:sysClr val="window" lastClr="FFFFFF">
                <a:lumMod val="75000"/>
                <a:alpha val="36000"/>
              </a:sysClr>
            </a:gs>
          </a:gsLst>
          <a:lin ang="5400000" scaled="0"/>
        </a:gradFill>
        <a:round/>
      </a:ln>
    </cs:spPr>
  </cs:gridlineMajor>
  <cs:gridlineMinor>
    <cs:lnRef idx="0"/>
    <cs:fillRef idx="0"/>
    <cs:effectRef idx="0"/>
    <cs:fontRef idx="minor">
      <a:sysClr val="windowText" lastClr="000000"/>
    </cs:fontRef>
    <cs:spPr>
      <a:ln>
        <a:gradFill>
          <a:gsLst>
            <a:gs pos="100000">
              <a:sysClr val="windowText" lastClr="000000">
                <a:lumMod val="95000"/>
                <a:lumOff val="5000"/>
                <a:alpha val="42000"/>
              </a:sysClr>
            </a:gs>
            <a:gs pos="0">
              <a:sysClr val="window" lastClr="FFFFFF">
                <a:lumMod val="75000"/>
                <a:alpha val="36000"/>
              </a:sysClr>
            </a:gs>
          </a:gsLst>
          <a:lin ang="5400000" scaled="0"/>
        </a:gradFill>
      </a:ln>
    </cs:spPr>
  </cs:gridlineMinor>
  <cs:hiLoLine>
    <cs:lnRef idx="0"/>
    <cs:fillRef idx="0"/>
    <cs:effectRef idx="0"/>
    <cs:fontRef idx="minor">
      <a:sysClr val="windowText" lastClr="000000"/>
    </cs:fontRef>
    <cs:spPr>
      <a:ln w="9525">
        <a:solidFill>
          <a:sysClr val="windowText" lastClr="000000">
            <a:lumMod val="35000"/>
            <a:lumOff val="65000"/>
          </a:sysClr>
        </a:solidFill>
        <a:prstDash val="dash"/>
      </a:ln>
    </cs:spPr>
  </cs:hiLoLine>
  <cs:leaderLine>
    <cs:lnRef idx="0"/>
    <cs:fillRef idx="0"/>
    <cs:effectRef idx="0"/>
    <cs:fontRef idx="minor">
      <a:sysClr val="windowText" lastClr="000000"/>
    </cs:fontRef>
    <cs:spPr>
      <a:ln w="9525">
        <a:solidFill>
          <a:sysClr val="windowText" lastClr="000000">
            <a:lumMod val="50000"/>
            <a:lumOff val="50000"/>
          </a:sysClr>
        </a:solidFill>
      </a:ln>
    </cs:spPr>
  </cs:leaderLine>
  <cs:legend>
    <cs:lnRef idx="0"/>
    <cs:fillRef idx="0"/>
    <cs:effectRef idx="0"/>
    <cs:fontRef idx="minor">
      <a:sysClr val="windowText" lastClr="000000">
        <a:lumMod val="75000"/>
        <a:lumOff val="25000"/>
      </a:sysClr>
    </cs:fontRef>
    <cs:spPr>
      <a:solidFill>
        <a:sysClr val="window" lastClr="FFFFFF">
          <a:lumMod val="95000"/>
          <a:alpha val="39000"/>
        </a:sysClr>
      </a:solidFill>
    </cs:spPr>
    <cs:defRPr sz="900" kern="1200"/>
  </cs:legend>
  <cs:plotArea>
    <cs:lnRef idx="0"/>
    <cs:fillRef idx="0"/>
    <cs:effectRef idx="0"/>
    <cs:fontRef idx="minor">
      <a:sysClr val="windowText" lastClr="000000"/>
    </cs:fontRef>
  </cs:plotArea>
  <cs:plotArea3D>
    <cs:lnRef idx="0"/>
    <cs:fillRef idx="0"/>
    <cs:effectRef idx="0"/>
    <cs:fontRef idx="minor">
      <a:sysClr val="windowText" lastClr="000000"/>
    </cs:fontRef>
  </cs:plotArea3D>
  <cs:seriesAxis>
    <cs:lnRef idx="0"/>
    <cs:fillRef idx="0"/>
    <cs:effectRef idx="0"/>
    <cs:fontRef idx="minor">
      <a:sysClr val="windowText" lastClr="000000">
        <a:lumMod val="75000"/>
        <a:lumOff val="25000"/>
      </a:sysClr>
    </cs:fontRef>
    <cs:spPr>
      <a:ln w="31750" cap="flat" cmpd="sng" algn="ctr">
        <a:solidFill>
          <a:sysClr val="windowText" lastClr="000000">
            <a:lumMod val="75000"/>
            <a:lumOff val="25000"/>
          </a:sysClr>
        </a:solidFill>
        <a:round/>
      </a:ln>
    </cs:spPr>
    <cs:defRPr sz="900" kern="1200"/>
  </cs:seriesAxis>
  <cs:seriesLine>
    <cs:lnRef idx="0"/>
    <cs:fillRef idx="0"/>
    <cs:effectRef idx="0"/>
    <cs:fontRef idx="minor">
      <a:sysClr val="windowText" lastClr="000000"/>
    </cs:fontRef>
    <cs:spPr>
      <a:ln w="9525">
        <a:solidFill>
          <a:sysClr val="windowText" lastClr="000000">
            <a:lumMod val="50000"/>
            <a:lumOff val="50000"/>
          </a:sysClr>
        </a:solidFill>
        <a:round/>
      </a:ln>
    </cs:spPr>
  </cs:seriesLine>
  <cs:title>
    <cs:lnRef idx="0"/>
    <cs:fillRef idx="0"/>
    <cs:effectRef idx="0"/>
    <cs:fontRef idx="minor">
      <a:sysClr val="windowText" lastClr="000000">
        <a:lumMod val="75000"/>
        <a:lumOff val="25000"/>
      </a:sysClr>
    </cs:fontRef>
    <cs:defRPr sz="1800" b="1" kern="1200" baseline="0"/>
  </cs:title>
  <cs:trendline>
    <cs:lnRef idx="0">
      <cs:styleClr val="auto"/>
    </cs:lnRef>
    <cs:fillRef idx="0"/>
    <cs:effectRef idx="0"/>
    <cs:fontRef idx="minor">
      <a:sysClr val="windowText" lastClr="000000"/>
    </cs:fontRef>
    <cs:spPr>
      <a:ln w="19050" cap="rnd">
        <a:solidFill>
          <a:schemeClr val="phClr"/>
        </a:solidFill>
      </a:ln>
    </cs:spPr>
  </cs:trendline>
  <cs:trendlineLabel>
    <cs:lnRef idx="0"/>
    <cs:fillRef idx="0"/>
    <cs:effectRef idx="0"/>
    <cs:fontRef idx="minor">
      <a:sysClr val="windowText" lastClr="000000">
        <a:lumMod val="75000"/>
        <a:lumOff val="2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65000"/>
            <a:lumOff val="35000"/>
          </a:sysClr>
        </a:solidFill>
      </a:ln>
    </cs:spPr>
  </cs:upBar>
  <cs:valueAxis>
    <cs:lnRef idx="0"/>
    <cs:fillRef idx="0"/>
    <cs:effectRef idx="0"/>
    <cs:fontRef idx="minor">
      <a:sysClr val="windowText" lastClr="000000">
        <a:lumMod val="75000"/>
        <a:lumOff val="25000"/>
      </a:sysClr>
    </cs:fontRef>
    <cs:spPr>
      <a:ln>
        <a:noFill/>
      </a:ln>
    </cs:spPr>
    <cs:defRPr sz="900" kern="1200"/>
  </cs:valueAxis>
  <cs:wall>
    <cs:lnRef idx="0"/>
    <cs:fillRef idx="0"/>
    <cs:effectRef idx="0"/>
    <cs:fontRef idx="minor">
      <a:sysClr val="windowText" lastClr="000000"/>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ysClr val="windowText" lastClr="000000">
        <a:lumMod val="75000"/>
        <a:lumOff val="25000"/>
      </a:sysClr>
    </cs:fontRef>
    <cs:defRPr sz="900" b="1" kern="1200"/>
  </cs:axisTitle>
  <cs:categoryAxis>
    <cs:lnRef idx="0"/>
    <cs:fillRef idx="0"/>
    <cs:effectRef idx="0"/>
    <cs:fontRef idx="minor">
      <a:sysClr val="windowText" lastClr="000000">
        <a:lumMod val="75000"/>
        <a:lumOff val="25000"/>
      </a:sysClr>
    </cs:fontRef>
    <cs:spPr>
      <a:ln w="19050" cap="flat" cmpd="sng" algn="ctr">
        <a:solidFill>
          <a:sysClr val="windowText" lastClr="000000">
            <a:lumMod val="75000"/>
            <a:lumOff val="25000"/>
          </a:sysClr>
        </a:solidFill>
        <a:round/>
      </a:ln>
    </cs:spPr>
    <cs:defRPr sz="900" kern="1200" cap="all" baseline="0"/>
  </cs:categoryAxis>
  <cs:chartArea>
    <cs:lnRef idx="0"/>
    <cs:fillRef idx="0"/>
    <cs:effectRef idx="0"/>
    <cs:fontRef idx="minor">
      <a:sysClr val="windowText" lastClr="000000"/>
    </cs:fontRef>
    <cs:spPr>
      <a:gradFill flip="none" rotWithShape="1">
        <a:gsLst>
          <a:gs pos="0">
            <a:sysClr val="window" lastClr="FFFFFF"/>
          </a:gs>
          <a:gs pos="39000">
            <a:sysClr val="window" lastClr="FFFFFF"/>
          </a:gs>
          <a:gs pos="100000">
            <a:sysClr val="window" lastClr="FFFFFF">
              <a:lumMod val="75000"/>
            </a:sysClr>
          </a:gs>
        </a:gsLst>
        <a:path path="circle">
          <a:fillToRect l="50000" t="-80000" r="50000" b="180000"/>
        </a:path>
      </a:gradFill>
      <a:ln w="9525" cap="flat" cmpd="sng" algn="ctr">
        <a:solidFill>
          <a:sysClr val="windowText" lastClr="000000">
            <a:lumMod val="25000"/>
            <a:lumOff val="75000"/>
          </a:sysClr>
        </a:solidFill>
        <a:round/>
      </a:ln>
    </cs:spPr>
    <cs:defRPr sz="900" kern="1200"/>
  </cs:chartArea>
  <cs:dataLabel>
    <cs:lnRef idx="0"/>
    <cs:fillRef idx="0"/>
    <cs:effectRef idx="0"/>
    <cs:fontRef idx="minor">
      <a:sysClr val="window" lastClr="FFFFFF"/>
    </cs:fontRef>
    <cs:spPr>
      <a:pattFill prst="pct75">
        <a:fgClr>
          <a:sysClr val="windowText" lastClr="000000">
            <a:lumMod val="75000"/>
            <a:lumOff val="25000"/>
          </a:sysClr>
        </a:fgClr>
        <a:bgClr>
          <a:sysClr val="windowText" lastClr="000000">
            <a:lumMod val="65000"/>
            <a:lumOff val="35000"/>
          </a:sys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ysClr val="window" lastClr="FFFFFF"/>
    </cs:fontRef>
    <cs:spPr>
      <a:pattFill prst="pct75">
        <a:fgClr>
          <a:sysClr val="windowText" lastClr="000000">
            <a:lumMod val="75000"/>
            <a:lumOff val="25000"/>
          </a:sysClr>
        </a:fgClr>
        <a:bgClr>
          <a:sysClr val="windowText" lastClr="000000">
            <a:lumMod val="65000"/>
            <a:lumOff val="35000"/>
          </a:sys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ysClr val="windowText" lastClr="000000"/>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ysClr val="windowText" lastClr="000000"/>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ysClr val="windowText" lastClr="000000"/>
    </cs:fontRef>
    <cs:spPr>
      <a:ln w="31750" cap="rnd">
        <a:solidFill>
          <a:schemeClr val="phClr">
            <a:alpha val="85000"/>
          </a:schemeClr>
        </a:solidFill>
        <a:round/>
      </a:ln>
    </cs:spPr>
  </cs:dataPointLine>
  <cs:dataPointMarker>
    <cs:lnRef idx="0"/>
    <cs:fillRef idx="0">
      <cs:styleClr val="auto"/>
    </cs:fillRef>
    <cs:effectRef idx="0"/>
    <cs:fontRef idx="minor">
      <a:sysClr val="windowText" lastClr="000000"/>
    </cs:fontRef>
    <cs:spPr>
      <a:solidFill>
        <a:schemeClr val="phClr">
          <a:alpha val="85000"/>
        </a:schemeClr>
      </a:solidFill>
    </cs:spPr>
  </cs:dataPointMarker>
  <cs:dataPointMarkerLayout symbol="circle" size="6"/>
  <cs:dataPointWireframe>
    <cs:lnRef idx="0">
      <cs:styleClr val="auto"/>
    </cs:lnRef>
    <cs:fillRef idx="0"/>
    <cs:effectRef idx="0"/>
    <cs:fontRef idx="minor">
      <a:sysClr val="windowText" lastClr="000000"/>
    </cs:fontRef>
    <cs:spPr>
      <a:ln w="9525" cap="rnd">
        <a:solidFill>
          <a:schemeClr val="phClr"/>
        </a:solidFill>
        <a:round/>
      </a:ln>
    </cs:spPr>
  </cs:dataPointWireframe>
  <cs:dataTable>
    <cs:lnRef idx="0"/>
    <cs:fillRef idx="0"/>
    <cs:effectRef idx="0"/>
    <cs:fontRef idx="minor">
      <a:sysClr val="windowText" lastClr="000000">
        <a:lumMod val="75000"/>
        <a:lumOff val="25000"/>
      </a:sysClr>
    </cs:fontRef>
    <cs:spPr>
      <a:ln w="9525">
        <a:solidFill>
          <a:sysClr val="windowText" lastClr="000000">
            <a:lumMod val="35000"/>
            <a:lumOff val="65000"/>
          </a:sysClr>
        </a:solidFill>
      </a:ln>
    </cs:spPr>
    <cs:defRPr sz="900" kern="1200"/>
  </cs:dataTable>
  <cs:downBar>
    <cs:lnRef idx="0"/>
    <cs:fillRef idx="0"/>
    <cs:effectRef idx="0"/>
    <cs:fontRef idx="minor">
      <a:sysClr val="windowText" lastClr="000000"/>
    </cs:fontRef>
    <cs:spPr>
      <a:solidFill>
        <a:sysClr val="windowText" lastClr="000000">
          <a:lumMod val="50000"/>
          <a:lumOff val="50000"/>
        </a:sysClr>
      </a:solidFill>
      <a:ln w="9525">
        <a:solidFill>
          <a:sysClr val="windowText" lastClr="000000">
            <a:lumMod val="65000"/>
            <a:lumOff val="35000"/>
          </a:sysClr>
        </a:solidFill>
      </a:ln>
    </cs:spPr>
  </cs:downBar>
  <cs:dropLine>
    <cs:lnRef idx="0"/>
    <cs:fillRef idx="0"/>
    <cs:effectRef idx="0"/>
    <cs:fontRef idx="minor">
      <a:sysClr val="windowText" lastClr="000000"/>
    </cs:fontRef>
    <cs:spPr>
      <a:ln w="9525">
        <a:solidFill>
          <a:sysClr val="windowText" lastClr="000000">
            <a:lumMod val="35000"/>
            <a:lumOff val="65000"/>
          </a:sysClr>
        </a:solidFill>
        <a:prstDash val="dash"/>
      </a:ln>
    </cs:spPr>
  </cs:dropLine>
  <cs:errorBar>
    <cs:lnRef idx="0"/>
    <cs:fillRef idx="0"/>
    <cs:effectRef idx="0"/>
    <cs:fontRef idx="minor">
      <a:sysClr val="windowText" lastClr="000000"/>
    </cs:fontRef>
    <cs:spPr>
      <a:ln w="9525">
        <a:solidFill>
          <a:sysClr val="windowText" lastClr="000000">
            <a:lumMod val="65000"/>
            <a:lumOff val="35000"/>
          </a:sysClr>
        </a:solidFill>
        <a:round/>
      </a:ln>
    </cs:spPr>
  </cs:errorBar>
  <cs:floor>
    <cs:lnRef idx="0"/>
    <cs:fillRef idx="0"/>
    <cs:effectRef idx="0"/>
    <cs:fontRef idx="minor">
      <a:sysClr val="windowText" lastClr="000000"/>
    </cs:fontRef>
  </cs:floor>
  <cs:gridlineMajor>
    <cs:lnRef idx="0"/>
    <cs:fillRef idx="0"/>
    <cs:effectRef idx="0"/>
    <cs:fontRef idx="minor">
      <a:sysClr val="windowText" lastClr="000000"/>
    </cs:fontRef>
    <cs:spPr>
      <a:ln w="9525" cap="flat" cmpd="sng" algn="ctr">
        <a:gradFill>
          <a:gsLst>
            <a:gs pos="100000">
              <a:sysClr val="windowText" lastClr="000000">
                <a:lumMod val="95000"/>
                <a:lumOff val="5000"/>
                <a:alpha val="42000"/>
              </a:sysClr>
            </a:gs>
            <a:gs pos="0">
              <a:sysClr val="window" lastClr="FFFFFF">
                <a:lumMod val="75000"/>
                <a:alpha val="36000"/>
              </a:sysClr>
            </a:gs>
          </a:gsLst>
          <a:lin ang="5400000" scaled="0"/>
        </a:gradFill>
        <a:round/>
      </a:ln>
    </cs:spPr>
  </cs:gridlineMajor>
  <cs:gridlineMinor>
    <cs:lnRef idx="0"/>
    <cs:fillRef idx="0"/>
    <cs:effectRef idx="0"/>
    <cs:fontRef idx="minor">
      <a:sysClr val="windowText" lastClr="000000"/>
    </cs:fontRef>
    <cs:spPr>
      <a:ln>
        <a:gradFill>
          <a:gsLst>
            <a:gs pos="100000">
              <a:sysClr val="windowText" lastClr="000000">
                <a:lumMod val="95000"/>
                <a:lumOff val="5000"/>
                <a:alpha val="42000"/>
              </a:sysClr>
            </a:gs>
            <a:gs pos="0">
              <a:sysClr val="window" lastClr="FFFFFF">
                <a:lumMod val="75000"/>
                <a:alpha val="36000"/>
              </a:sysClr>
            </a:gs>
          </a:gsLst>
          <a:lin ang="5400000" scaled="0"/>
        </a:gradFill>
      </a:ln>
    </cs:spPr>
  </cs:gridlineMinor>
  <cs:hiLoLine>
    <cs:lnRef idx="0"/>
    <cs:fillRef idx="0"/>
    <cs:effectRef idx="0"/>
    <cs:fontRef idx="minor">
      <a:sysClr val="windowText" lastClr="000000"/>
    </cs:fontRef>
    <cs:spPr>
      <a:ln w="9525">
        <a:solidFill>
          <a:sysClr val="windowText" lastClr="000000">
            <a:lumMod val="35000"/>
            <a:lumOff val="65000"/>
          </a:sysClr>
        </a:solidFill>
        <a:prstDash val="dash"/>
      </a:ln>
    </cs:spPr>
  </cs:hiLoLine>
  <cs:leaderLine>
    <cs:lnRef idx="0"/>
    <cs:fillRef idx="0"/>
    <cs:effectRef idx="0"/>
    <cs:fontRef idx="minor">
      <a:sysClr val="windowText" lastClr="000000"/>
    </cs:fontRef>
    <cs:spPr>
      <a:ln w="9525">
        <a:solidFill>
          <a:sysClr val="windowText" lastClr="000000">
            <a:lumMod val="50000"/>
            <a:lumOff val="50000"/>
          </a:sysClr>
        </a:solidFill>
      </a:ln>
    </cs:spPr>
  </cs:leaderLine>
  <cs:legend>
    <cs:lnRef idx="0"/>
    <cs:fillRef idx="0"/>
    <cs:effectRef idx="0"/>
    <cs:fontRef idx="minor">
      <a:sysClr val="windowText" lastClr="000000">
        <a:lumMod val="75000"/>
        <a:lumOff val="25000"/>
      </a:sysClr>
    </cs:fontRef>
    <cs:spPr>
      <a:solidFill>
        <a:sysClr val="window" lastClr="FFFFFF">
          <a:lumMod val="95000"/>
          <a:alpha val="39000"/>
        </a:sysClr>
      </a:solidFill>
    </cs:spPr>
    <cs:defRPr sz="900" kern="1200"/>
  </cs:legend>
  <cs:plotArea>
    <cs:lnRef idx="0"/>
    <cs:fillRef idx="0"/>
    <cs:effectRef idx="0"/>
    <cs:fontRef idx="minor">
      <a:sysClr val="windowText" lastClr="000000"/>
    </cs:fontRef>
  </cs:plotArea>
  <cs:plotArea3D>
    <cs:lnRef idx="0"/>
    <cs:fillRef idx="0"/>
    <cs:effectRef idx="0"/>
    <cs:fontRef idx="minor">
      <a:sysClr val="windowText" lastClr="000000"/>
    </cs:fontRef>
  </cs:plotArea3D>
  <cs:seriesAxis>
    <cs:lnRef idx="0"/>
    <cs:fillRef idx="0"/>
    <cs:effectRef idx="0"/>
    <cs:fontRef idx="minor">
      <a:sysClr val="windowText" lastClr="000000">
        <a:lumMod val="75000"/>
        <a:lumOff val="25000"/>
      </a:sysClr>
    </cs:fontRef>
    <cs:spPr>
      <a:ln w="31750" cap="flat" cmpd="sng" algn="ctr">
        <a:solidFill>
          <a:sysClr val="windowText" lastClr="000000">
            <a:lumMod val="75000"/>
            <a:lumOff val="25000"/>
          </a:sysClr>
        </a:solidFill>
        <a:round/>
      </a:ln>
    </cs:spPr>
    <cs:defRPr sz="900" kern="1200"/>
  </cs:seriesAxis>
  <cs:seriesLine>
    <cs:lnRef idx="0"/>
    <cs:fillRef idx="0"/>
    <cs:effectRef idx="0"/>
    <cs:fontRef idx="minor">
      <a:sysClr val="windowText" lastClr="000000"/>
    </cs:fontRef>
    <cs:spPr>
      <a:ln w="9525">
        <a:solidFill>
          <a:sysClr val="windowText" lastClr="000000">
            <a:lumMod val="50000"/>
            <a:lumOff val="50000"/>
          </a:sysClr>
        </a:solidFill>
        <a:round/>
      </a:ln>
    </cs:spPr>
  </cs:seriesLine>
  <cs:title>
    <cs:lnRef idx="0"/>
    <cs:fillRef idx="0"/>
    <cs:effectRef idx="0"/>
    <cs:fontRef idx="minor">
      <a:sysClr val="windowText" lastClr="000000">
        <a:lumMod val="75000"/>
        <a:lumOff val="25000"/>
      </a:sysClr>
    </cs:fontRef>
    <cs:defRPr sz="1800" b="1" kern="1200" baseline="0"/>
  </cs:title>
  <cs:trendline>
    <cs:lnRef idx="0">
      <cs:styleClr val="auto"/>
    </cs:lnRef>
    <cs:fillRef idx="0"/>
    <cs:effectRef idx="0"/>
    <cs:fontRef idx="minor">
      <a:sysClr val="windowText" lastClr="000000"/>
    </cs:fontRef>
    <cs:spPr>
      <a:ln w="19050" cap="rnd">
        <a:solidFill>
          <a:schemeClr val="phClr"/>
        </a:solidFill>
      </a:ln>
    </cs:spPr>
  </cs:trendline>
  <cs:trendlineLabel>
    <cs:lnRef idx="0"/>
    <cs:fillRef idx="0"/>
    <cs:effectRef idx="0"/>
    <cs:fontRef idx="minor">
      <a:sysClr val="windowText" lastClr="000000">
        <a:lumMod val="75000"/>
        <a:lumOff val="25000"/>
      </a:sysClr>
    </cs:fontRef>
    <cs:defRPr sz="900" kern="1200"/>
  </cs:trendlineLabel>
  <cs:upBar>
    <cs:lnRef idx="0"/>
    <cs:fillRef idx="0"/>
    <cs:effectRef idx="0"/>
    <cs:fontRef idx="minor">
      <a:sysClr val="windowText" lastClr="000000"/>
    </cs:fontRef>
    <cs:spPr>
      <a:solidFill>
        <a:sysClr val="window" lastClr="FFFFFF"/>
      </a:solidFill>
      <a:ln w="9525">
        <a:solidFill>
          <a:sysClr val="windowText" lastClr="000000">
            <a:lumMod val="65000"/>
            <a:lumOff val="35000"/>
          </a:sysClr>
        </a:solidFill>
      </a:ln>
    </cs:spPr>
  </cs:upBar>
  <cs:valueAxis>
    <cs:lnRef idx="0"/>
    <cs:fillRef idx="0"/>
    <cs:effectRef idx="0"/>
    <cs:fontRef idx="minor">
      <a:sysClr val="windowText" lastClr="000000">
        <a:lumMod val="75000"/>
        <a:lumOff val="25000"/>
      </a:sysClr>
    </cs:fontRef>
    <cs:spPr>
      <a:ln>
        <a:noFill/>
      </a:ln>
    </cs:spPr>
    <cs:defRPr sz="900" kern="1200"/>
  </cs:valueAxis>
  <cs:wall>
    <cs:lnRef idx="0"/>
    <cs:fillRef idx="0"/>
    <cs:effectRef idx="0"/>
    <cs:fontRef idx="minor">
      <a:sysClr val="windowText" lastClr="000000"/>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1706</Words>
  <Characters>9729</Characters>
  <Lines>81</Lines>
  <Paragraphs>22</Paragraphs>
  <TotalTime>6</TotalTime>
  <ScaleCrop>false</ScaleCrop>
  <LinksUpToDate>false</LinksUpToDate>
  <CharactersWithSpaces>11413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dcterms:modified xsi:type="dcterms:W3CDTF">2024-06-20T13:08:48Z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BE05F3B3F28C4B5E8922F1BF1A966094</vt:lpwstr>
  </property>
</Properties>
</file>