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90.2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72"/>
                      <w:szCs w:val="72"/>
                    </w:rPr>
                  </w:pPr>
                  <w:r>
                    <w:rPr>
                      <w:rFonts w:hint="eastAsia" w:hAnsi="宋体" w:asciiTheme="minorEastAsia" w:eastAsiaTheme="minorEastAsia"/>
                      <w:color w:val="FDEFBE"/>
                      <w:sz w:val="72"/>
                      <w:szCs w:val="72"/>
                    </w:rPr>
                    <w:t>中共无极县委机构编制委员会办公室</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w:t>
      </w:r>
      <w:r>
        <w:rPr>
          <w:rFonts w:hint="eastAsia" w:eastAsia="黑体"/>
          <w:sz w:val="32"/>
          <w:szCs w:val="32"/>
        </w:rPr>
        <w:t xml:space="preserve">  </w:t>
      </w:r>
      <w:r>
        <w:rPr>
          <w:rFonts w:eastAsia="黑体"/>
          <w:sz w:val="32"/>
          <w:szCs w:val="32"/>
        </w:rPr>
        <w:t>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w:t>
      </w:r>
      <w:r>
        <w:rPr>
          <w:rFonts w:hint="eastAsia" w:eastAsia="黑体"/>
          <w:sz w:val="32"/>
          <w:szCs w:val="32"/>
        </w:rPr>
        <w:t xml:space="preserve">  </w:t>
      </w:r>
      <w:r>
        <w:rPr>
          <w:rFonts w:eastAsia="黑体"/>
          <w:sz w:val="32"/>
          <w:szCs w:val="32"/>
        </w:rPr>
        <w:t>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编办</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w:t>
      </w:r>
      <w:r>
        <w:rPr>
          <w:rFonts w:hint="eastAsia" w:eastAsia="黑体"/>
          <w:sz w:val="32"/>
          <w:szCs w:val="32"/>
        </w:rPr>
        <w:t xml:space="preserve">  </w:t>
      </w:r>
      <w:r>
        <w:rPr>
          <w:rFonts w:eastAsia="黑体"/>
          <w:sz w:val="32"/>
          <w:szCs w:val="32"/>
        </w:rPr>
        <w:t>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7155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pStyle w:val="11"/>
        <w:shd w:val="clear" w:color="auto" w:fill="FFFFFF"/>
        <w:spacing w:before="0" w:beforeAutospacing="0" w:after="0" w:afterAutospacing="0" w:line="640" w:lineRule="exact"/>
        <w:ind w:right="-153" w:rightChars="-73"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（一）贯彻落实党中央和省委、市委、县委关于行政管理体制和机构改革以及机构编制管理的政策法规；管理和监督全县纪委监委机关及其派驻纪检监察组、县委各机关、县</w:t>
      </w:r>
      <w:r>
        <w:rPr>
          <w:rFonts w:hint="eastAsia" w:ascii="仿宋_GB2312" w:hAnsi="仿宋_GB2312" w:eastAsia="仿宋_GB2312" w:cs="仿宋_GB2312"/>
          <w:kern w:val="2"/>
          <w:sz w:val="32"/>
          <w:szCs w:val="32"/>
          <w:lang w:eastAsia="zh-CN"/>
        </w:rPr>
        <w:t>人大常委会机关</w:t>
      </w:r>
      <w:r>
        <w:rPr>
          <w:rFonts w:hint="eastAsia" w:ascii="仿宋_GB2312" w:hAnsi="仿宋_GB2312" w:eastAsia="仿宋_GB2312" w:cs="仿宋_GB2312"/>
          <w:kern w:val="2"/>
          <w:sz w:val="32"/>
          <w:szCs w:val="32"/>
        </w:rPr>
        <w:t>、县政府各部门、县政协机关、民主党派县级机关、人民团体县级机关（以下简称“党政群机关”），以及事业单位机构编制工作。组织开展行政管理体制改革、事业单位管理体制改革以及机构编制工作基础性、创新性和前瞻性研究。</w:t>
      </w:r>
    </w:p>
    <w:p>
      <w:pPr>
        <w:pStyle w:val="11"/>
        <w:shd w:val="clear" w:color="auto" w:fill="FFFFFF"/>
        <w:spacing w:before="0" w:beforeAutospacing="0" w:after="0" w:afterAutospacing="0" w:line="640" w:lineRule="exact"/>
        <w:ind w:firstLine="612"/>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（二）组织拟订全县行政管理体制改革和县委、县政府机构改革方案并组织实施；负责全县行政管理体制和机构改革以及机构编制管理工作；负责行政执法体制改革工作。</w:t>
      </w:r>
    </w:p>
    <w:p>
      <w:pPr>
        <w:pStyle w:val="11"/>
        <w:shd w:val="clear" w:color="auto" w:fill="FFFFFF"/>
        <w:spacing w:before="0" w:beforeAutospacing="0" w:after="0" w:afterAutospacing="0" w:line="640" w:lineRule="exact"/>
        <w:ind w:firstLine="612"/>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三）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w:t>
      </w:r>
    </w:p>
    <w:p>
      <w:pPr>
        <w:pStyle w:val="11"/>
        <w:shd w:val="clear" w:color="auto" w:fill="FFFFFF"/>
        <w:spacing w:before="0" w:beforeAutospacing="0" w:after="0" w:afterAutospacing="0" w:line="640" w:lineRule="exact"/>
        <w:ind w:right="-153" w:rightChars="-73" w:firstLine="606"/>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四）组织拟订全县事业单位管理体制和机构改革方案。制定各类事业单位人员编制管理办法并组织实施。按照规定权限，负责县委、县政府直属事业单位和县直部门所属事业单位的职能配置、机构设置、人员编制和领导职数管理工作。</w:t>
      </w:r>
    </w:p>
    <w:p>
      <w:pPr>
        <w:pStyle w:val="11"/>
        <w:shd w:val="clear" w:color="auto" w:fill="FFFFFF"/>
        <w:spacing w:before="0" w:beforeAutospacing="0" w:after="0" w:afterAutospacing="0" w:line="640" w:lineRule="exact"/>
        <w:ind w:right="-153" w:rightChars="-73" w:firstLine="606"/>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（六）负责全县党政群机关统一社会信用代码赋码管理工作，负责全县事业单位法人登记管理和监督检查工作。</w:t>
      </w:r>
    </w:p>
    <w:p>
      <w:pPr>
        <w:pStyle w:val="11"/>
        <w:shd w:val="clear" w:color="auto" w:fill="FFFFFF"/>
        <w:spacing w:before="0" w:beforeAutospacing="0" w:after="0" w:afterAutospacing="0" w:line="64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（七）负责开发区（园区）行政管理体制改革工作。组织拟订开发区（园区）机构编制管理办法并组织实施；负责开发区（园区）职能配置、机构设置、人员编制和领导职数审核及上报工作。</w:t>
      </w:r>
    </w:p>
    <w:p>
      <w:pPr>
        <w:pStyle w:val="11"/>
        <w:shd w:val="clear" w:color="auto" w:fill="FFFFFF"/>
        <w:spacing w:before="0" w:beforeAutospacing="0" w:after="0" w:afterAutospacing="0" w:line="640" w:lineRule="exact"/>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 xml:space="preserve">    （八）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w:t>
      </w:r>
    </w:p>
    <w:p>
      <w:pPr>
        <w:pStyle w:val="11"/>
        <w:shd w:val="clear" w:color="auto" w:fill="FFFFFF"/>
        <w:spacing w:before="0" w:beforeAutospacing="0" w:after="0" w:afterAutospacing="0" w:line="64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（九）负责跟踪评估、监督检查全县各级行政、事业单位管理体制改革、机构改革及机构编制执行情况；负责受理违反机构编制法规、纪律的检举、控告和投诉，对违反机构编制法规、纪律问题进行调查处理。</w:t>
      </w:r>
    </w:p>
    <w:p>
      <w:pPr>
        <w:pStyle w:val="11"/>
        <w:shd w:val="clear" w:color="auto" w:fill="FFFFFF"/>
        <w:spacing w:before="0" w:beforeAutospacing="0" w:after="0" w:afterAutospacing="0" w:line="640" w:lineRule="exact"/>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 xml:space="preserve">    （十）负责全县机构编制电子政务和信息化工作。负责全县机构编制统计工作；负责机构编制网站的管理、使用和维护；指导全县党政群机关、事业单位和其他非营利性单位网上名称管理工作。</w:t>
      </w:r>
    </w:p>
    <w:p>
      <w:pPr>
        <w:pStyle w:val="11"/>
        <w:shd w:val="clear" w:color="auto" w:fill="FFFFFF"/>
        <w:spacing w:before="0" w:beforeAutospacing="0" w:after="0" w:afterAutospacing="0" w:line="640" w:lineRule="exact"/>
        <w:ind w:firstLine="640" w:firstLineChars="200"/>
        <w:rPr>
          <w:rFonts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（十一）完成县委、县政府和县委机构编制委员会交办的其他任务。</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4"/>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hAnsi="Calibri" w:eastAsia="仿宋_GB2312" w:cs="ArialUnicodeMS"/>
                <w:kern w:val="0"/>
                <w:sz w:val="28"/>
                <w:szCs w:val="28"/>
              </w:rPr>
              <w:t>中共无极县委机构编制委员会办公室</w:t>
            </w:r>
            <w:r>
              <w:rPr>
                <w:rFonts w:hint="eastAsia" w:ascii="仿宋_GB2312" w:eastAsia="仿宋_GB2312" w:cs="ArialUnicodeMS" w:hAnsiTheme="minorHAnsi"/>
                <w:kern w:val="0"/>
                <w:sz w:val="28"/>
                <w:szCs w:val="28"/>
              </w:rPr>
              <w:t>(本级)</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hAnsi="Calibri" w:eastAsia="仿宋_GB2312" w:cs="ArialUnicodeMS"/>
                <w:kern w:val="0"/>
                <w:sz w:val="28"/>
                <w:szCs w:val="28"/>
              </w:rPr>
              <w:t>行政</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3"/>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部门：无极县机构编制委员会办公室</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561"/>
              </w:tabs>
              <w:spacing w:after="0" w:line="200" w:lineRule="exact"/>
              <w:jc w:val="left"/>
              <w:rPr>
                <w:rFonts w:ascii="宋体" w:hAnsi="宋体" w:cs="宋体"/>
                <w:color w:val="000000"/>
                <w:sz w:val="20"/>
                <w:szCs w:val="20"/>
              </w:rPr>
            </w:pPr>
            <w:r>
              <w:rPr>
                <w:rFonts w:hint="eastAsia" w:ascii="宋体" w:hAnsi="宋体" w:cs="宋体"/>
                <w:color w:val="000000"/>
                <w:sz w:val="20"/>
                <w:szCs w:val="20"/>
              </w:rPr>
              <w:tab/>
            </w:r>
            <w:r>
              <w:rPr>
                <w:rFonts w:hint="eastAsia" w:ascii="宋体" w:hAnsi="宋体" w:cs="宋体"/>
                <w:color w:val="000000"/>
                <w:sz w:val="20"/>
                <w:szCs w:val="20"/>
              </w:rPr>
              <w:t>111.07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111.05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111.07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111.05</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1.59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1.61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112.66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112.66</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无极县机构编制委员会办公室</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111.07</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111.07</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人力资源事务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2011001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无极县机构编制委员会办公室</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102.05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102.05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人力资源事务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102.05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2011001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102.05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部门：无极县机构编制委员会办公室</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111.07</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111.05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111.05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111.07</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111.05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111.05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112.66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112.66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112.66</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无极县机构编制委员会办公室</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102.05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102.05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人力资源事务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102.05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2011001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111.05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102.05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rPr>
              <w:t>无极县机构编制委员会办公室</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86.45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12.21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44.85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24.75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11.79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3.39</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3.39</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0.91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86.45</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15.60</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部门：无极县机构编制委员会办公室</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kern w:val="0"/>
                <w:sz w:val="22"/>
                <w:szCs w:val="22"/>
              </w:rPr>
              <w:t>1.83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kern w:val="0"/>
                <w:sz w:val="22"/>
                <w:szCs w:val="22"/>
              </w:rPr>
              <w:t>1.83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22"/>
                <w:szCs w:val="22"/>
              </w:rPr>
            </w:pPr>
            <w:r>
              <w:rPr>
                <w:rFonts w:hint="eastAsia" w:ascii="宋体" w:hAnsi="宋体" w:cs="宋体"/>
                <w:color w:val="000000"/>
                <w:kern w:val="0"/>
                <w:sz w:val="22"/>
                <w:szCs w:val="22"/>
              </w:rPr>
              <w:t>1.83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无极县机构编制委员会办公室</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注：本表反映部门本年度政府性基金预算财政拨款收入、支出及结转和结余情况，按要求空表列示。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color w:val="000000"/>
                <w:kern w:val="0"/>
                <w:szCs w:val="21"/>
              </w:rPr>
              <w:t xml:space="preserve">按要求空表列示。         </w:t>
            </w:r>
            <w:r>
              <w:rPr>
                <w:rFonts w:hint="eastAsia" w:ascii="宋体" w:hAnsi="宋体" w:cs="宋体"/>
                <w:color w:val="000000"/>
                <w:kern w:val="0"/>
                <w:sz w:val="22"/>
                <w:szCs w:val="22"/>
              </w:rPr>
              <w:t>。</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注：本表反映部门本年度纳入部门预算范围的政府采购预算及支出情况，按要求空表列示。         。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本部门2018年度收支总计（含结转和结余）112.66万元。与2017年度决算相比，收支各增加31.66万元，增长28.5%，主要原因是我单位是新成立部门，人员增加。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本部门2018年度本年收入合计111.07万元，其中：财政拨款收入111.07万元，占100%；事业收入0万元，占0%；经营收入0万元，占0%；其他收入0万元，占0%。如图所示：</w:t>
      </w:r>
    </w:p>
    <w:p>
      <w:pPr>
        <w:adjustRightInd w:val="0"/>
        <w:snapToGrid w:val="0"/>
        <w:spacing w:after="0" w:line="580" w:lineRule="exact"/>
        <w:ind w:firstLine="1260" w:firstLineChars="600"/>
        <w:rPr>
          <w:rFonts w:ascii="仿宋_GB2312" w:eastAsia="仿宋_GB2312" w:cs="DengXian-Regular"/>
          <w:sz w:val="32"/>
          <w:szCs w:val="32"/>
        </w:rPr>
      </w:pPr>
      <w:r>
        <w:pict>
          <v:group id="_x0000_s1040" o:spid="_x0000_s1040" o:spt="203" style="position:absolute;left:0pt;margin-left:73.8pt;margin-top:8.3pt;height:247.35pt;width:303.05pt;z-index:251669504;mso-width-relative:page;mso-height-relative:page;" coordorigin="6817,180097" coordsize="5156,-105076409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42" o:spid="_x0000_s1042"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8" cropleft="2131f" croptop="1490f" cropright="1218f" cropbottom="5217f" o:title=""/>
              <o:lock v:ext="edit" aspectratio="t"/>
            </v:shape>
            <v:shape id="_x0000_s1041" o:spid="_x0000_s1041" o:spt="202" type="#_x0000_t202" style="position:absolute;left:7658;top:182920;height:421;width:3303;"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74624" behindDoc="0" locked="0" layoutInCell="1" allowOverlap="1">
            <wp:simplePos x="0" y="0"/>
            <wp:positionH relativeFrom="column">
              <wp:posOffset>677545</wp:posOffset>
            </wp:positionH>
            <wp:positionV relativeFrom="paragraph">
              <wp:posOffset>277495</wp:posOffset>
            </wp:positionV>
            <wp:extent cx="3933190" cy="1824990"/>
            <wp:effectExtent l="47625" t="4445" r="57785" b="106045"/>
            <wp:wrapSquare wrapText="bothSides"/>
            <wp:docPr id="3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本部门2018年度本年支出合计111.05万元，其中：基本支出102.05万元，占91.89%；项目支出9万元，占8.11%；经营支出0万元，占0%。如图所示：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75648" behindDoc="0" locked="0" layoutInCell="1" allowOverlap="1">
            <wp:simplePos x="0" y="0"/>
            <wp:positionH relativeFrom="column">
              <wp:posOffset>997585</wp:posOffset>
            </wp:positionH>
            <wp:positionV relativeFrom="paragraph">
              <wp:posOffset>-542925</wp:posOffset>
            </wp:positionV>
            <wp:extent cx="3750945" cy="2014855"/>
            <wp:effectExtent l="47625" t="4445" r="57150" b="99060"/>
            <wp:wrapSquare wrapText="bothSides"/>
            <wp:docPr id="3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pict>
          <v:group id="_x0000_s1037" o:spid="_x0000_s1037" o:spt="203" style="position:absolute;left:0pt;margin-left:59.55pt;margin-top:6.75pt;height:230.55pt;width:274.45pt;z-index:-251648000;mso-width-relative:page;mso-height-relative:page;" coordorigin="7032,190738" coordsize="4600,-68776409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39" o:spid="_x0000_s1039"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8" cropleft="2131f" croptop="1490f" cropright="1218f" cropbottom="5217f" o:title=""/>
              <o:lock v:ext="edit" aspectratio="t"/>
            </v:shape>
            <v:shape id="_x0000_s1038" o:spid="_x0000_s1038" o:spt="202" type="#_x0000_t202" style="position:absolute;left:7289;top:193685;height:660;width:4169;"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宋体" w:hAnsi="宋体" w:cs="宋体"/>
          <w:b/>
          <w:bCs/>
          <w:sz w:val="32"/>
          <w:szCs w:val="32"/>
        </w:rPr>
        <w:t>2017</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111.07万元,比2017年度增加31.66万元，增长28.5%，主要原因是我单位是新成立部门，人员增加。本年支出111.05万元，增加43.43万元，增长39.1%，主要是人员调入，经费支出增加。</w:t>
      </w:r>
    </w:p>
    <w:p>
      <w:pPr>
        <w:adjustRightInd w:val="0"/>
        <w:snapToGrid w:val="0"/>
        <w:spacing w:after="0" w:line="580" w:lineRule="exact"/>
        <w:ind w:firstLine="640" w:firstLineChars="200"/>
        <w:rPr>
          <w:rFonts w:ascii="仿宋_GB2312" w:eastAsia="仿宋_GB2312" w:cs="DengXian-Regular"/>
          <w:sz w:val="32"/>
          <w:szCs w:val="32"/>
        </w:rPr>
      </w:pPr>
    </w:p>
    <w:p>
      <w:pPr>
        <w:spacing w:after="0" w:line="240" w:lineRule="auto"/>
        <w:rPr>
          <w:rFonts w:ascii="黑体" w:eastAsia="黑体"/>
        </w:rPr>
      </w:pPr>
      <w:r>
        <w:drawing>
          <wp:inline distT="0" distB="0" distL="114300" distR="114300">
            <wp:extent cx="4876800" cy="3110865"/>
            <wp:effectExtent l="47625" t="4445" r="59055" b="100330"/>
            <wp:docPr id="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adjustRightInd w:val="0"/>
        <w:snapToGrid w:val="0"/>
        <w:spacing w:after="0" w:line="580" w:lineRule="exact"/>
        <w:ind w:firstLine="420" w:firstLineChars="200"/>
        <w:rPr>
          <w:rFonts w:ascii="仿宋_GB2312" w:eastAsia="仿宋_GB2312" w:cs="DengXian-Regular"/>
          <w:sz w:val="32"/>
          <w:szCs w:val="32"/>
        </w:rPr>
      </w:pPr>
      <w:r>
        <w:pict>
          <v:group id="_x0000_s1034" o:spid="_x0000_s1034" o:spt="203" style="position:absolute;left:0pt;margin-left:51.25pt;margin-top:13.45pt;height:210.05pt;width:331.1pt;z-index:-251642880;mso-width-relative:page;mso-height-relative:page;" coordorigin="6151,199960" coordsize="6345,-24676409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36"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2" o:title=""/>
              <o:lock v:ext="edit" aspectratio="t"/>
            </v:shape>
            <v:shape id="_x0000_s1035" o:spid="_x0000_s1035" o:spt="202" type="#_x0000_t202" style="position:absolute;left:6151;top:203196;height:812;width:6345;"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cs="DengXian-Bold" w:eastAsiaTheme="minorEastAsia"/>
          <w:b/>
          <w:bCs/>
          <w:sz w:val="32"/>
          <w:szCs w:val="32"/>
        </w:rPr>
      </w:pPr>
      <w:r>
        <w:rPr>
          <w:rFonts w:hint="eastAsia" w:ascii="楷体_GB2312" w:eastAsia="楷体_GB2312" w:cs="DengXian-Bold"/>
          <w:b/>
          <w:bCs/>
          <w:sz w:val="32"/>
          <w:szCs w:val="32"/>
        </w:rPr>
        <w:t>（二）财政拨款收支与年初预算数对比情况</w:t>
      </w:r>
    </w:p>
    <w:p>
      <w:pPr>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本部门2018年度一般公共预算财政拨款收入111.07万元，完成年初预算的101.79%（如图4）,比年初预算增加1.96万元，决算数大于预算数主要原因是人员增加；本年支出111.05万元，完成年初预算的101.78%,比年初预算增加1.94万元，决算数大于预算数主要原因是人员增加。</w:t>
      </w:r>
    </w:p>
    <w:p>
      <w:pPr>
        <w:tabs>
          <w:tab w:val="left" w:pos="783"/>
        </w:tabs>
        <w:adjustRightInd w:val="0"/>
        <w:snapToGrid w:val="0"/>
        <w:spacing w:after="0" w:line="240" w:lineRule="auto"/>
      </w:pPr>
      <w:r>
        <w:drawing>
          <wp:inline distT="0" distB="0" distL="114300" distR="114300">
            <wp:extent cx="4091940" cy="4102735"/>
            <wp:effectExtent l="47625" t="5080" r="51435" b="98425"/>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tabs>
          <w:tab w:val="left" w:pos="783"/>
        </w:tabs>
        <w:adjustRightInd w:val="0"/>
        <w:snapToGrid w:val="0"/>
        <w:spacing w:after="0" w:line="240" w:lineRule="auto"/>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(三)财政拨款支出决算结构情况。</w:t>
      </w:r>
    </w:p>
    <w:p>
      <w:pPr>
        <w:tabs>
          <w:tab w:val="left" w:pos="783"/>
        </w:tabs>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年度财政拨款支出111.05万元，主要用于以下方面：一般公共服务（类）支出111.05万元，占100%。</w:t>
      </w:r>
    </w:p>
    <w:p>
      <w:pPr>
        <w:adjustRightInd w:val="0"/>
        <w:snapToGrid w:val="0"/>
        <w:spacing w:after="0" w:line="580" w:lineRule="exact"/>
        <w:rPr>
          <w:rFonts w:ascii="楷体_GB2312" w:eastAsia="楷体_GB2312" w:cs="DengXian-Bold"/>
          <w:b/>
          <w:bCs/>
          <w:sz w:val="32"/>
          <w:szCs w:val="32"/>
        </w:rPr>
      </w:pPr>
      <w:r>
        <w:pict>
          <v:group id="_x0000_s1028" o:spid="_x0000_s1028" o:spt="203" style="position:absolute;left:0pt;margin-left:86.35pt;margin-top:15.9pt;height:195.05pt;width:296.35pt;z-index:-251643904;mso-width-relative:page;mso-height-relative:page;" coordorigin="6921,180284" coordsize="5331,-408764093"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30"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8" cropleft="2131f" croptop="1490f" cropright="1218f" cropbottom="5217f" o:title=""/>
              <o:lock v:ext="edit" aspectratio="t"/>
            </v:shape>
            <v:shape id="文本框 32" o:spid="_x0000_s1029" o:spt="202" type="#_x0000_t202" style="position:absolute;left:6921;top:183134;height:1036;width:5331;"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240" w:lineRule="auto"/>
        <w:rPr>
          <w:rFonts w:ascii="楷体_GB2312" w:eastAsia="楷体_GB2312" w:cs="DengXian-Bold"/>
          <w:b/>
          <w:bCs/>
          <w:sz w:val="32"/>
          <w:szCs w:val="32"/>
        </w:rPr>
      </w:pPr>
      <w:r>
        <w:drawing>
          <wp:inline distT="0" distB="0" distL="114300" distR="114300">
            <wp:extent cx="4627880" cy="2533650"/>
            <wp:effectExtent l="47625" t="4445" r="48895" b="9842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left="420" w:leftChars="200" w:firstLine="640" w:firstLineChars="200"/>
        <w:rPr>
          <w:rFonts w:ascii="仿宋_GB2312" w:eastAsia="仿宋_GB2312" w:cs="DengXian-Regular"/>
          <w:sz w:val="32"/>
          <w:szCs w:val="32"/>
        </w:rPr>
      </w:pPr>
      <w:r>
        <w:rPr>
          <w:rFonts w:hint="eastAsia" w:ascii="仿宋_GB2312" w:eastAsia="仿宋_GB2312" w:cs="DengXian-Regular"/>
          <w:sz w:val="32"/>
          <w:szCs w:val="32"/>
        </w:rPr>
        <w:t>2018年度财政拨款基本支出102.05万元，其中：人员经费 86.45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15.6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“三公”经费支出共计1.83万元，较年初预算减少1.17万元，降低40%，主要是认真贯彻落实中央八项规定精神和厉行节约要求，从严控制“三公”经费开支，全年实际支出比预算有所节约。具体情况如下：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主要原因是未发生因公出国费用。</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1.83</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本部门2018年度公务用车购置及运行维护费较年初预算减少1.17万元，降低40%,主要是认真贯彻落实中央八项规定精神和厉行节约要求，从严控制“三公”经费开支，全年实际支出比预算有所节约。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hAnsiTheme="minorHAnsi"/>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预算增加0万元，增长0%,主要是未发生公务用车购置经费支出；较上年增加0万元，增长0%,主要是未发生公务用车购置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较年初预算减少1.17万元，降低40%,主要是认真贯彻落实中央八项规定精神和厉行节约要求，从严控制“三公”经费开支，全年实际支出比预算有所节约。。</w:t>
      </w:r>
    </w:p>
    <w:p>
      <w:pPr>
        <w:adjustRightInd w:val="0"/>
        <w:snapToGrid w:val="0"/>
        <w:spacing w:line="580" w:lineRule="exact"/>
        <w:ind w:firstLine="643" w:firstLineChars="200"/>
        <w:rPr>
          <w:rFonts w:ascii="仿宋_GB2312" w:eastAsia="仿宋_GB2312" w:cs="DengXian-Regular"/>
          <w:sz w:val="32"/>
          <w:szCs w:val="32"/>
        </w:rPr>
      </w:pPr>
      <w:r>
        <w:rPr>
          <w:rFonts w:hint="eastAsia" w:ascii="宋体" w:hAnsi="宋体" w:cs="宋体"/>
          <w:b/>
          <w:bCs/>
          <w:sz w:val="32"/>
          <w:szCs w:val="32"/>
        </w:rPr>
        <w:t>（三）</w:t>
      </w:r>
      <w:r>
        <w:rPr>
          <w:rFonts w:hint="eastAsia" w:ascii="___WRD_EMBED_SUB_39" w:hAnsi="___WRD_EMBED_SUB_39" w:eastAsia="___WRD_EMBED_SUB_39" w:cs="___WRD_EMBED_SUB_39"/>
          <w:b/>
          <w:bCs/>
          <w:sz w:val="32"/>
          <w:szCs w:val="32"/>
        </w:rPr>
        <w:t>公</w:t>
      </w:r>
      <w:r>
        <w:rPr>
          <w:rFonts w:hint="eastAsia" w:ascii="宋体" w:hAnsi="宋体" w:cs="宋体"/>
          <w:b/>
          <w:bCs/>
          <w:sz w:val="32"/>
          <w:szCs w:val="32"/>
        </w:rPr>
        <w:t>务接待费支</w:t>
      </w:r>
      <w:r>
        <w:rPr>
          <w:rFonts w:hint="eastAsia" w:ascii="___WRD_EMBED_SUB_39" w:hAnsi="___WRD_EMBED_SUB_39" w:eastAsia="___WRD_EMBED_SUB_39" w:cs="___WRD_EMBED_SUB_39"/>
          <w:b/>
          <w:bCs/>
          <w:sz w:val="32"/>
          <w:szCs w:val="32"/>
        </w:rPr>
        <w:t>出</w:t>
      </w:r>
      <w:r>
        <w:rPr>
          <w:rFonts w:hint="eastAsia" w:ascii="宋体" w:hAnsi="宋体" w:cs="宋体"/>
          <w:b/>
          <w:bCs/>
          <w:sz w:val="32"/>
          <w:szCs w:val="32"/>
        </w:rPr>
        <w:t>0万元</w:t>
      </w:r>
      <w:r>
        <w:rPr>
          <w:rFonts w:hint="eastAsia" w:ascii="___WRD_EMBED_SUB_39" w:hAnsi="___WRD_EMBED_SUB_39" w:eastAsia="___WRD_EMBED_SUB_39" w:cs="___WRD_EMBED_SUB_39"/>
          <w:b/>
          <w:bCs/>
          <w:sz w:val="32"/>
          <w:szCs w:val="32"/>
        </w:rPr>
        <w:t>。</w:t>
      </w:r>
      <w:r>
        <w:rPr>
          <w:rFonts w:hint="eastAsia" w:ascii="仿宋_GB2312" w:eastAsia="仿宋_GB2312" w:cs="DengXian-Regular"/>
          <w:sz w:val="32"/>
          <w:szCs w:val="32"/>
        </w:rPr>
        <w:t>本部门2018年度公务接待共0批次、0人次。公务接待费支出较预算减少0万元，降低0%,主要是本年度未发生公务接待费支出；较上年度减少0万元，降低0%,主要是本年度未发生公务接待费支出。</w:t>
      </w:r>
    </w:p>
    <w:p>
      <w:pPr>
        <w:pStyle w:val="3"/>
        <w:spacing w:before="0" w:after="0" w:line="580" w:lineRule="exact"/>
        <w:ind w:firstLine="643" w:firstLineChars="200"/>
        <w:rPr>
          <w:rFonts w:ascii="黑体" w:eastAsia="黑体"/>
        </w:rPr>
      </w:pPr>
      <w:r>
        <w:rPr>
          <w:rFonts w:hint="eastAsia" w:ascii="黑体" w:eastAsia="黑体"/>
          <w:szCs w:val="40"/>
        </w:rPr>
        <w:t>六、</w:t>
      </w:r>
      <w:r>
        <w:rPr>
          <w:rFonts w:hint="eastAsia" w:ascii="黑体" w:eastAsia="黑体"/>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000000" w:themeColor="text1"/>
          <w:sz w:val="32"/>
          <w:szCs w:val="32"/>
        </w:rPr>
        <w:t>优秀。</w:t>
      </w:r>
    </w:p>
    <w:p>
      <w:pPr>
        <w:numPr>
          <w:ilvl w:val="0"/>
          <w:numId w:val="1"/>
        </w:num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对事业单位法人登记管理、机构编制标准化管理、行政体制改革考察学习和交流、行政和事业单位机构改革、网络域名维护费、电子政务中心等6个项目，涉及资金20万元。从评价情况看，评价结果为优秀的项目有1个，良好的项目有2个，一般的项目有3个。</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本部门在今年部门决算公开中反映网络域名维护费项目及 项目绩效自评结果。</w:t>
      </w:r>
    </w:p>
    <w:p>
      <w:pPr>
        <w:pStyle w:val="11"/>
        <w:shd w:val="clear" w:color="auto" w:fill="FFFFFF"/>
        <w:spacing w:before="0" w:beforeAutospacing="0" w:after="0" w:afterAutospacing="0" w:line="500" w:lineRule="exact"/>
        <w:ind w:firstLine="640" w:firstLineChars="200"/>
        <w:jc w:val="both"/>
        <w:rPr>
          <w:rFonts w:ascii="仿宋_GB2312" w:hAnsi="仿宋_GB2312" w:eastAsia="仿宋_GB2312" w:cs="仿宋_GB2312"/>
          <w:color w:val="000000" w:themeColor="text1"/>
          <w:sz w:val="32"/>
          <w:szCs w:val="32"/>
          <w:shd w:val="clear" w:color="auto" w:fill="FFFFFF"/>
        </w:rPr>
      </w:pPr>
      <w:r>
        <w:rPr>
          <w:rFonts w:hint="eastAsia" w:ascii="仿宋_GB2312" w:hAnsi="仿宋_GB2312" w:eastAsia="仿宋_GB2312" w:cs="仿宋_GB2312"/>
          <w:sz w:val="32"/>
          <w:szCs w:val="32"/>
        </w:rPr>
        <w:t>网络域名维护费项目绩效自评结果：根据年初设定的绩效目标，网络域名维护费项目绩效自评得分为10分（绩效自评表附后）。全年预算数为10万元，执行数为9万元，完成预算的90%。项目绩效目标完成情况：一是</w:t>
      </w:r>
      <w:r>
        <w:rPr>
          <w:rFonts w:hint="eastAsia" w:ascii="仿宋_GB2312" w:hAnsi="仿宋_GB2312" w:eastAsia="仿宋_GB2312" w:cs="仿宋_GB2312"/>
          <w:color w:val="333333"/>
          <w:sz w:val="32"/>
          <w:szCs w:val="32"/>
          <w:shd w:val="clear" w:color="auto" w:fill="FFFFFF"/>
        </w:rPr>
        <w:t>1.推进承担行政职能事业单位改革。</w:t>
      </w:r>
      <w:r>
        <w:rPr>
          <w:rFonts w:hint="eastAsia" w:ascii="仿宋_GB2312" w:hAnsi="仿宋_GB2312" w:eastAsia="仿宋_GB2312" w:cs="仿宋_GB2312"/>
          <w:sz w:val="32"/>
          <w:szCs w:val="32"/>
        </w:rPr>
        <w:t>；二是</w:t>
      </w:r>
      <w:r>
        <w:rPr>
          <w:rFonts w:hint="eastAsia" w:ascii="仿宋_GB2312" w:hAnsi="仿宋_GB2312" w:eastAsia="仿宋_GB2312" w:cs="仿宋_GB2312"/>
          <w:color w:val="333333"/>
          <w:sz w:val="32"/>
          <w:szCs w:val="32"/>
          <w:shd w:val="clear" w:color="auto" w:fill="FFFFFF"/>
        </w:rPr>
        <w:t>1.推进承担行政职能事业单位改革。三是推动日常登记管理更加规范高效</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color w:val="000000" w:themeColor="text1"/>
          <w:sz w:val="32"/>
          <w:szCs w:val="32"/>
          <w:shd w:val="clear" w:color="auto" w:fill="FFFFFF"/>
        </w:rPr>
        <w:t>1、监督管理机制还有待加强。2、财务工作是一个单位的命脉，创新机制正在逐步加强，要求财务工作水平越来越高。</w:t>
      </w:r>
      <w:r>
        <w:rPr>
          <w:rFonts w:hint="eastAsia" w:ascii="仿宋_GB2312" w:hAnsi="仿宋_GB2312" w:eastAsia="仿宋_GB2312" w:cs="仿宋_GB2312"/>
          <w:color w:val="000000" w:themeColor="text1"/>
          <w:sz w:val="32"/>
          <w:szCs w:val="32"/>
        </w:rPr>
        <w:t>下一步改进措施：</w:t>
      </w:r>
      <w:r>
        <w:rPr>
          <w:rFonts w:hint="eastAsia" w:ascii="仿宋_GB2312" w:hAnsi="仿宋_GB2312" w:eastAsia="仿宋_GB2312" w:cs="仿宋_GB2312"/>
          <w:color w:val="000000" w:themeColor="text1"/>
          <w:sz w:val="32"/>
          <w:szCs w:val="32"/>
          <w:shd w:val="clear" w:color="auto" w:fill="FFFFFF"/>
        </w:rPr>
        <w:t>1、进一步完善财务制度，规范财经纪律，严格控制非生产性开支。2、充实财务人员，加强财务人员培训，不断提高财务人员素质。</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themeColor="text1"/>
          <w:sz w:val="32"/>
          <w:szCs w:val="32"/>
          <w:shd w:val="clear" w:color="auto" w:fill="FFFFFF"/>
        </w:rPr>
        <w:t>网络域名</w:t>
      </w:r>
      <w:r>
        <w:rPr>
          <w:rFonts w:hint="eastAsia" w:ascii="仿宋_GB2312" w:hAnsi="仿宋_GB2312" w:eastAsia="仿宋_GB2312" w:cs="仿宋_GB2312"/>
          <w:sz w:val="32"/>
          <w:szCs w:val="32"/>
        </w:rPr>
        <w:t>项目绩效自评综述：我们通过对以上基本项目的绩效监控，均较好的达到了预期目标，充分反映年初设定的各项指标值的合理性、全面性、可操作性，为下年各项绩效指标的设定奠定了基础。</w:t>
      </w:r>
    </w:p>
    <w:tbl>
      <w:tblPr>
        <w:tblStyle w:val="13"/>
        <w:tblpPr w:leftFromText="180" w:rightFromText="180" w:vertAnchor="text" w:horzAnchor="page" w:tblpX="1748" w:tblpY="122"/>
        <w:tblOverlap w:val="never"/>
        <w:tblW w:w="9080" w:type="dxa"/>
        <w:tblInd w:w="0" w:type="dxa"/>
        <w:tblLayout w:type="fixed"/>
        <w:tblCellMar>
          <w:top w:w="0" w:type="dxa"/>
          <w:left w:w="108" w:type="dxa"/>
          <w:bottom w:w="0" w:type="dxa"/>
          <w:right w:w="108" w:type="dxa"/>
        </w:tblCellMar>
      </w:tblPr>
      <w:tblGrid>
        <w:gridCol w:w="600"/>
        <w:gridCol w:w="636"/>
        <w:gridCol w:w="660"/>
        <w:gridCol w:w="1514"/>
        <w:gridCol w:w="1134"/>
        <w:gridCol w:w="400"/>
        <w:gridCol w:w="900"/>
        <w:gridCol w:w="780"/>
        <w:gridCol w:w="188"/>
        <w:gridCol w:w="376"/>
        <w:gridCol w:w="333"/>
        <w:gridCol w:w="303"/>
        <w:gridCol w:w="480"/>
        <w:gridCol w:w="776"/>
      </w:tblGrid>
      <w:tr>
        <w:tblPrEx>
          <w:tblCellMar>
            <w:top w:w="0" w:type="dxa"/>
            <w:left w:w="108" w:type="dxa"/>
            <w:bottom w:w="0" w:type="dxa"/>
            <w:right w:w="108" w:type="dxa"/>
          </w:tblCellMar>
        </w:tblPrEx>
        <w:trPr>
          <w:trHeight w:val="201" w:hRule="atLeast"/>
        </w:trPr>
        <w:tc>
          <w:tcPr>
            <w:tcW w:w="9080" w:type="dxa"/>
            <w:gridSpan w:val="14"/>
            <w:tcBorders>
              <w:top w:val="nil"/>
              <w:left w:val="nil"/>
              <w:bottom w:val="nil"/>
              <w:right w:val="nil"/>
            </w:tcBorders>
          </w:tcPr>
          <w:p>
            <w:pPr>
              <w:widowControl/>
              <w:jc w:val="center"/>
              <w:rPr>
                <w:rFonts w:ascii="宋体" w:hAnsi="宋体" w:cs="宋体"/>
                <w:kern w:val="0"/>
                <w:sz w:val="22"/>
                <w:szCs w:val="22"/>
              </w:rPr>
            </w:pPr>
            <w:r>
              <w:rPr>
                <w:rFonts w:hint="eastAsia" w:ascii="宋体" w:hAnsi="宋体" w:cs="宋体"/>
                <w:kern w:val="0"/>
                <w:sz w:val="22"/>
                <w:szCs w:val="22"/>
              </w:rPr>
              <w:t>（ 2018年度）</w:t>
            </w:r>
          </w:p>
        </w:tc>
      </w:tr>
      <w:tr>
        <w:tblPrEx>
          <w:tblCellMar>
            <w:top w:w="0" w:type="dxa"/>
            <w:left w:w="108" w:type="dxa"/>
            <w:bottom w:w="0" w:type="dxa"/>
            <w:right w:w="108" w:type="dxa"/>
          </w:tblCellMar>
        </w:tblPrEx>
        <w:trPr>
          <w:trHeight w:val="300" w:hRule="exact"/>
        </w:trPr>
        <w:tc>
          <w:tcPr>
            <w:tcW w:w="1236"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项目名称</w:t>
            </w:r>
          </w:p>
        </w:tc>
        <w:tc>
          <w:tcPr>
            <w:tcW w:w="7844"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网络域名维护费</w:t>
            </w:r>
          </w:p>
        </w:tc>
      </w:tr>
      <w:tr>
        <w:tblPrEx>
          <w:tblCellMar>
            <w:top w:w="0" w:type="dxa"/>
            <w:left w:w="108" w:type="dxa"/>
            <w:bottom w:w="0" w:type="dxa"/>
            <w:right w:w="108" w:type="dxa"/>
          </w:tblCellMar>
        </w:tblPrEx>
        <w:trPr>
          <w:trHeight w:val="302" w:hRule="exact"/>
        </w:trPr>
        <w:tc>
          <w:tcPr>
            <w:tcW w:w="1236"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主管部门</w:t>
            </w:r>
          </w:p>
        </w:tc>
        <w:tc>
          <w:tcPr>
            <w:tcW w:w="460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无极县委编办</w:t>
            </w: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无极县委编办</w:t>
            </w:r>
          </w:p>
        </w:tc>
      </w:tr>
      <w:tr>
        <w:tblPrEx>
          <w:tblCellMar>
            <w:top w:w="0" w:type="dxa"/>
            <w:left w:w="108" w:type="dxa"/>
            <w:bottom w:w="0" w:type="dxa"/>
            <w:right w:w="108" w:type="dxa"/>
          </w:tblCellMar>
        </w:tblPrEx>
        <w:trPr>
          <w:trHeight w:val="300" w:hRule="exact"/>
        </w:trPr>
        <w:tc>
          <w:tcPr>
            <w:tcW w:w="1236"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项目资金</w:t>
            </w:r>
            <w:r>
              <w:rPr>
                <w:rFonts w:hint="eastAsia" w:ascii="宋体" w:hAnsi="宋体" w:cs="宋体"/>
                <w:kern w:val="0"/>
                <w:sz w:val="18"/>
                <w:szCs w:val="18"/>
              </w:rPr>
              <w:br w:type="textWrapping"/>
            </w:r>
            <w:r>
              <w:rPr>
                <w:rFonts w:hint="eastAsia" w:ascii="宋体" w:hAnsi="宋体" w:cs="宋体"/>
                <w:kern w:val="0"/>
                <w:sz w:val="18"/>
                <w:szCs w:val="18"/>
              </w:rPr>
              <w:t>（万元）</w:t>
            </w:r>
          </w:p>
        </w:tc>
        <w:tc>
          <w:tcPr>
            <w:tcW w:w="2174"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年初预算数</w:t>
            </w:r>
          </w:p>
        </w:tc>
        <w:tc>
          <w:tcPr>
            <w:tcW w:w="130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全年预算数</w:t>
            </w: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78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执行率</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r>
      <w:tr>
        <w:tblPrEx>
          <w:tblCellMar>
            <w:top w:w="0" w:type="dxa"/>
            <w:left w:w="108" w:type="dxa"/>
            <w:bottom w:w="0" w:type="dxa"/>
            <w:right w:w="108" w:type="dxa"/>
          </w:tblCellMar>
        </w:tblPrEx>
        <w:trPr>
          <w:trHeight w:val="300" w:hRule="exact"/>
        </w:trPr>
        <w:tc>
          <w:tcPr>
            <w:tcW w:w="123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74"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cs="宋体"/>
                <w:kern w:val="0"/>
                <w:sz w:val="18"/>
                <w:szCs w:val="18"/>
              </w:rPr>
            </w:pPr>
            <w:r>
              <w:rPr>
                <w:rFonts w:hint="eastAsia" w:ascii="宋体" w:hAnsi="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130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78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r>
      <w:tr>
        <w:tblPrEx>
          <w:tblCellMar>
            <w:top w:w="0" w:type="dxa"/>
            <w:left w:w="108" w:type="dxa"/>
            <w:bottom w:w="0" w:type="dxa"/>
            <w:right w:w="108" w:type="dxa"/>
          </w:tblCellMar>
        </w:tblPrEx>
        <w:trPr>
          <w:trHeight w:val="300" w:hRule="exact"/>
        </w:trPr>
        <w:tc>
          <w:tcPr>
            <w:tcW w:w="123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74"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30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8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trPr>
        <w:tc>
          <w:tcPr>
            <w:tcW w:w="123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74"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30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8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trPr>
        <w:tc>
          <w:tcPr>
            <w:tcW w:w="1236"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2174"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30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968"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c>
          <w:tcPr>
            <w:tcW w:w="783"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7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w:t>
            </w:r>
          </w:p>
        </w:tc>
      </w:tr>
      <w:tr>
        <w:tblPrEx>
          <w:tblCellMar>
            <w:top w:w="0" w:type="dxa"/>
            <w:left w:w="108" w:type="dxa"/>
            <w:bottom w:w="0" w:type="dxa"/>
            <w:right w:w="108" w:type="dxa"/>
          </w:tblCellMar>
        </w:tblPrEx>
        <w:trPr>
          <w:trHeight w:val="300" w:hRule="exact"/>
        </w:trPr>
        <w:tc>
          <w:tcPr>
            <w:tcW w:w="60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年度总体目标</w:t>
            </w:r>
          </w:p>
        </w:tc>
        <w:tc>
          <w:tcPr>
            <w:tcW w:w="5244"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预期目标</w:t>
            </w:r>
          </w:p>
        </w:tc>
        <w:tc>
          <w:tcPr>
            <w:tcW w:w="3236"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实际完成情况</w:t>
            </w:r>
          </w:p>
        </w:tc>
      </w:tr>
      <w:tr>
        <w:tblPrEx>
          <w:tblCellMar>
            <w:top w:w="0" w:type="dxa"/>
            <w:left w:w="108" w:type="dxa"/>
            <w:bottom w:w="0" w:type="dxa"/>
            <w:right w:w="108" w:type="dxa"/>
          </w:tblCellMar>
        </w:tblPrEx>
        <w:trPr>
          <w:trHeight w:val="491" w:hRule="exact"/>
        </w:trPr>
        <w:tc>
          <w:tcPr>
            <w:tcW w:w="60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244"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按照省、市要求，管理我县政务公益域名和网络红页，负责机构编制对外网页的维护管理。</w:t>
            </w:r>
          </w:p>
        </w:tc>
        <w:tc>
          <w:tcPr>
            <w:tcW w:w="3236"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已全部完成</w:t>
            </w:r>
          </w:p>
        </w:tc>
      </w:tr>
      <w:tr>
        <w:tblPrEx>
          <w:tblCellMar>
            <w:top w:w="0" w:type="dxa"/>
            <w:left w:w="108" w:type="dxa"/>
            <w:bottom w:w="0" w:type="dxa"/>
            <w:right w:w="108" w:type="dxa"/>
          </w:tblCellMar>
        </w:tblPrEx>
        <w:trPr>
          <w:trHeight w:val="509" w:hRule="exact"/>
        </w:trPr>
        <w:tc>
          <w:tcPr>
            <w:tcW w:w="60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绩</w:t>
            </w:r>
            <w:r>
              <w:rPr>
                <w:rFonts w:hint="eastAsia" w:ascii="宋体" w:hAnsi="宋体" w:cs="宋体"/>
                <w:kern w:val="0"/>
                <w:sz w:val="18"/>
                <w:szCs w:val="18"/>
              </w:rPr>
              <w:br w:type="textWrapping"/>
            </w:r>
            <w:r>
              <w:rPr>
                <w:rFonts w:hint="eastAsia" w:ascii="宋体" w:hAnsi="宋体" w:cs="宋体"/>
                <w:kern w:val="0"/>
                <w:sz w:val="18"/>
                <w:szCs w:val="18"/>
              </w:rPr>
              <w:t>效</w:t>
            </w:r>
            <w:r>
              <w:rPr>
                <w:rFonts w:hint="eastAsia" w:ascii="宋体" w:hAnsi="宋体" w:cs="宋体"/>
                <w:kern w:val="0"/>
                <w:sz w:val="18"/>
                <w:szCs w:val="18"/>
              </w:rPr>
              <w:br w:type="textWrapping"/>
            </w:r>
            <w:r>
              <w:rPr>
                <w:rFonts w:hint="eastAsia" w:ascii="宋体" w:hAnsi="宋体" w:cs="宋体"/>
                <w:kern w:val="0"/>
                <w:sz w:val="18"/>
                <w:szCs w:val="18"/>
              </w:rPr>
              <w:t>指</w:t>
            </w:r>
            <w:r>
              <w:rPr>
                <w:rFonts w:hint="eastAsia" w:ascii="宋体" w:hAnsi="宋体" w:cs="宋体"/>
                <w:kern w:val="0"/>
                <w:sz w:val="18"/>
                <w:szCs w:val="18"/>
              </w:rPr>
              <w:br w:type="textWrapping"/>
            </w:r>
            <w:r>
              <w:rPr>
                <w:rFonts w:hint="eastAsia" w:ascii="宋体" w:hAnsi="宋体" w:cs="宋体"/>
                <w:kern w:val="0"/>
                <w:sz w:val="18"/>
                <w:szCs w:val="18"/>
              </w:rPr>
              <w:t>标</w:t>
            </w:r>
          </w:p>
        </w:tc>
        <w:tc>
          <w:tcPr>
            <w:tcW w:w="636"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一级指标</w:t>
            </w:r>
          </w:p>
        </w:tc>
        <w:tc>
          <w:tcPr>
            <w:tcW w:w="66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二级指标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三级指标</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年度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指标值</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实际</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完成值</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分值</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得分</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偏差原因分析及改进措施</w:t>
            </w:r>
          </w:p>
        </w:tc>
      </w:tr>
      <w:tr>
        <w:tblPrEx>
          <w:tblCellMar>
            <w:top w:w="0" w:type="dxa"/>
            <w:left w:w="108" w:type="dxa"/>
            <w:bottom w:w="0" w:type="dxa"/>
            <w:right w:w="108" w:type="dxa"/>
          </w:tblCellMar>
        </w:tblPrEx>
        <w:trPr>
          <w:trHeight w:val="396"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产出指标</w:t>
            </w:r>
          </w:p>
        </w:tc>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数量指标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Arial" w:hAnsi="Arial" w:cs="Arial"/>
                <w:color w:val="333333"/>
                <w:sz w:val="18"/>
                <w:szCs w:val="18"/>
                <w:shd w:val="clear" w:color="auto" w:fill="FFFFFF"/>
              </w:rPr>
              <w:t>1.</w:t>
            </w:r>
            <w:r>
              <w:rPr>
                <w:rFonts w:ascii="Arial" w:hAnsi="Arial" w:eastAsia="Arial" w:cs="Arial"/>
                <w:color w:val="333333"/>
                <w:sz w:val="18"/>
                <w:szCs w:val="18"/>
                <w:shd w:val="clear" w:color="auto" w:fill="FFFFFF"/>
              </w:rPr>
              <w:t>推进承担行政职能事业单位改革。</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12"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Arial" w:hAnsi="Arial" w:cs="Arial"/>
                <w:color w:val="333333"/>
                <w:sz w:val="18"/>
                <w:szCs w:val="18"/>
                <w:shd w:val="clear" w:color="auto" w:fill="FFFFFF"/>
              </w:rPr>
              <w:t>2.</w:t>
            </w:r>
            <w:r>
              <w:rPr>
                <w:rFonts w:ascii="Arial" w:hAnsi="Arial" w:eastAsia="Arial" w:cs="Arial"/>
                <w:color w:val="333333"/>
                <w:sz w:val="18"/>
                <w:szCs w:val="18"/>
                <w:shd w:val="clear" w:color="auto" w:fill="FFFFFF"/>
              </w:rPr>
              <w:t>进派驻体制改革。</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72"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Arial" w:hAnsi="Arial" w:cs="Arial"/>
                <w:color w:val="333333"/>
                <w:sz w:val="18"/>
                <w:szCs w:val="18"/>
                <w:shd w:val="clear" w:color="auto" w:fill="FFFFFF"/>
              </w:rPr>
              <w:t>3.</w:t>
            </w:r>
            <w:r>
              <w:rPr>
                <w:rFonts w:ascii="Arial" w:hAnsi="Arial" w:eastAsia="Arial" w:cs="Arial"/>
                <w:color w:val="333333"/>
                <w:sz w:val="18"/>
                <w:szCs w:val="18"/>
                <w:shd w:val="clear" w:color="auto" w:fill="FFFFFF"/>
              </w:rPr>
              <w:t>推动日常登记管理更加规范高效。</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528"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质量指标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1.</w:t>
            </w:r>
            <w:r>
              <w:rPr>
                <w:rFonts w:ascii="Arial" w:hAnsi="Arial" w:eastAsia="Arial" w:cs="Arial"/>
                <w:color w:val="333333"/>
                <w:sz w:val="18"/>
                <w:szCs w:val="18"/>
                <w:shd w:val="clear" w:color="auto" w:fill="FFFFFF"/>
              </w:rPr>
              <w:t>推进派驻体制改革、公证体制改革、监察体制和巡察制度改革等。</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564"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Arial" w:hAnsi="Arial" w:cs="Arial"/>
                <w:color w:val="333333"/>
                <w:sz w:val="18"/>
                <w:szCs w:val="18"/>
                <w:shd w:val="clear" w:color="auto" w:fill="FFFFFF"/>
              </w:rPr>
              <w:t>2.</w:t>
            </w:r>
            <w:r>
              <w:rPr>
                <w:rFonts w:ascii="Arial" w:hAnsi="Arial" w:eastAsia="Arial" w:cs="Arial"/>
                <w:color w:val="333333"/>
                <w:sz w:val="18"/>
                <w:szCs w:val="18"/>
                <w:shd w:val="clear" w:color="auto" w:fill="FFFFFF"/>
              </w:rPr>
              <w:t>推进事业单位法人履职评估，全面完成法人赋码换证工作。</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24"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Arial" w:hAnsi="Arial" w:cs="Arial"/>
                <w:color w:val="333333"/>
                <w:sz w:val="18"/>
                <w:szCs w:val="18"/>
                <w:shd w:val="clear" w:color="auto" w:fill="FFFFFF"/>
              </w:rPr>
              <w:t>3.</w:t>
            </w:r>
            <w:r>
              <w:rPr>
                <w:rFonts w:ascii="Arial" w:hAnsi="Arial" w:eastAsia="Arial" w:cs="Arial"/>
                <w:color w:val="333333"/>
                <w:sz w:val="18"/>
                <w:szCs w:val="18"/>
                <w:shd w:val="clear" w:color="auto" w:fill="FFFFFF"/>
              </w:rPr>
              <w:t>扎实开展驻村扶贫工作</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36"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时效指标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Arial" w:hAnsi="Arial" w:cs="Arial"/>
                <w:color w:val="333333"/>
                <w:sz w:val="18"/>
                <w:szCs w:val="18"/>
                <w:shd w:val="clear" w:color="auto" w:fill="FFFFFF"/>
              </w:rPr>
              <w:t>1.</w:t>
            </w:r>
            <w:r>
              <w:rPr>
                <w:rFonts w:ascii="Arial" w:hAnsi="Arial" w:eastAsia="Arial" w:cs="Arial"/>
                <w:color w:val="333333"/>
                <w:sz w:val="18"/>
                <w:szCs w:val="18"/>
                <w:shd w:val="clear" w:color="auto" w:fill="FFFFFF"/>
              </w:rPr>
              <w:t>推进承担行政职能事业单位改革</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32"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Arial" w:hAnsi="Arial" w:cs="Arial"/>
                <w:color w:val="333333"/>
                <w:sz w:val="18"/>
                <w:szCs w:val="18"/>
                <w:shd w:val="clear" w:color="auto" w:fill="FFFFFF"/>
              </w:rPr>
              <w:t>2.</w:t>
            </w:r>
            <w:r>
              <w:rPr>
                <w:rFonts w:ascii="Arial" w:hAnsi="Arial" w:eastAsia="Arial" w:cs="Arial"/>
                <w:color w:val="333333"/>
                <w:sz w:val="18"/>
                <w:szCs w:val="18"/>
                <w:shd w:val="clear" w:color="auto" w:fill="FFFFFF"/>
              </w:rPr>
              <w:t>推进事业单位法人履职评估，全面完成法人赋码换证工作。</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48"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tbl>
            <w:tblPr>
              <w:tblStyle w:val="13"/>
              <w:tblW w:w="3911" w:type="dxa"/>
              <w:tblInd w:w="0" w:type="dxa"/>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shd w:val="clear" w:color="auto" w:fill="FFFFFF"/>
              <w:tblLayout w:type="fixed"/>
              <w:tblCellMar>
                <w:top w:w="0" w:type="dxa"/>
                <w:left w:w="0" w:type="dxa"/>
                <w:bottom w:w="0" w:type="dxa"/>
                <w:right w:w="0" w:type="dxa"/>
              </w:tblCellMar>
            </w:tblPr>
            <w:tblGrid>
              <w:gridCol w:w="3059"/>
              <w:gridCol w:w="852"/>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shd w:val="clear" w:color="auto" w:fill="FFFFFF"/>
                <w:tblCellMar>
                  <w:top w:w="0" w:type="dxa"/>
                  <w:left w:w="0" w:type="dxa"/>
                  <w:bottom w:w="0" w:type="dxa"/>
                  <w:right w:w="0" w:type="dxa"/>
                </w:tblCellMar>
              </w:tblPrEx>
              <w:trPr>
                <w:trHeight w:val="300" w:hRule="atLeast"/>
              </w:trPr>
              <w:tc>
                <w:tcPr>
                  <w:tcW w:w="3059" w:type="dxa"/>
                  <w:tcBorders>
                    <w:top w:val="outset" w:color="000000" w:sz="6" w:space="0"/>
                    <w:left w:val="outset" w:color="000000" w:sz="6" w:space="0"/>
                    <w:bottom w:val="outset" w:color="000000" w:sz="6" w:space="0"/>
                    <w:right w:val="outset" w:color="000000" w:sz="6" w:space="0"/>
                  </w:tcBorders>
                  <w:shd w:val="clear" w:color="auto" w:fill="FFFFFF"/>
                  <w:tcMar>
                    <w:top w:w="0" w:type="dxa"/>
                  </w:tcMar>
                  <w:vAlign w:val="center"/>
                </w:tcPr>
                <w:p>
                  <w:pPr>
                    <w:pStyle w:val="11"/>
                    <w:spacing w:before="0" w:beforeAutospacing="0" w:after="0" w:afterAutospacing="0" w:line="26" w:lineRule="atLeast"/>
                    <w:jc w:val="both"/>
                    <w:rPr>
                      <w:sz w:val="18"/>
                      <w:szCs w:val="18"/>
                    </w:rPr>
                  </w:pPr>
                </w:p>
              </w:tc>
              <w:tc>
                <w:tcPr>
                  <w:tcW w:w="852" w:type="dxa"/>
                  <w:tcBorders>
                    <w:top w:val="outset" w:color="000000" w:sz="6" w:space="0"/>
                    <w:left w:val="outset" w:color="000000" w:sz="6" w:space="0"/>
                    <w:bottom w:val="outset" w:color="000000" w:sz="6" w:space="0"/>
                    <w:right w:val="outset" w:color="000000" w:sz="6" w:space="0"/>
                  </w:tcBorders>
                  <w:shd w:val="clear" w:color="auto" w:fill="FFFFFF"/>
                  <w:tcMar>
                    <w:top w:w="0" w:type="dxa"/>
                  </w:tcMar>
                  <w:vAlign w:val="center"/>
                </w:tcPr>
                <w:p>
                  <w:pPr>
                    <w:rPr>
                      <w:rFonts w:ascii="Arial" w:hAnsi="Arial" w:eastAsia="Arial" w:cs="Arial"/>
                      <w:color w:val="333333"/>
                      <w:sz w:val="18"/>
                      <w:szCs w:val="18"/>
                    </w:rPr>
                  </w:pPr>
                </w:p>
              </w:tc>
            </w:tr>
          </w:tbl>
          <w:p>
            <w:pPr>
              <w:widowControl/>
              <w:jc w:val="left"/>
              <w:rPr>
                <w:sz w:val="18"/>
                <w:szCs w:val="18"/>
              </w:rPr>
            </w:pPr>
          </w:p>
          <w:p>
            <w:pPr>
              <w:widowControl/>
              <w:spacing w:line="240" w:lineRule="exact"/>
              <w:jc w:val="left"/>
              <w:rPr>
                <w:rFonts w:ascii="宋体" w:hAnsi="宋体" w:cs="宋体"/>
                <w:color w:val="000000"/>
                <w:kern w:val="0"/>
                <w:sz w:val="18"/>
                <w:szCs w:val="18"/>
              </w:rPr>
            </w:pP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468"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效益指标</w:t>
            </w:r>
          </w:p>
        </w:tc>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经济效益</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ascii="Arial" w:hAnsi="Arial" w:eastAsia="Arial" w:cs="Arial"/>
                <w:color w:val="333333"/>
                <w:sz w:val="18"/>
                <w:szCs w:val="18"/>
                <w:shd w:val="clear" w:color="auto" w:fill="FFFFFF"/>
              </w:rPr>
              <w:t>精简机构设置，节省财政支出、发挥机构编制工作的最大效益</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8</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满意度</w:t>
            </w:r>
          </w:p>
          <w:p>
            <w:pPr>
              <w:widowControl/>
              <w:spacing w:line="240" w:lineRule="exact"/>
              <w:jc w:val="center"/>
              <w:rPr>
                <w:rFonts w:ascii="宋体" w:hAnsi="宋体" w:cs="宋体"/>
                <w:kern w:val="0"/>
                <w:sz w:val="18"/>
                <w:szCs w:val="18"/>
              </w:rPr>
            </w:pPr>
            <w:r>
              <w:rPr>
                <w:rFonts w:hint="eastAsia" w:ascii="宋体" w:hAnsi="宋体" w:cs="宋体"/>
                <w:kern w:val="0"/>
                <w:sz w:val="18"/>
                <w:szCs w:val="18"/>
              </w:rPr>
              <w:t>指标</w:t>
            </w:r>
          </w:p>
        </w:tc>
        <w:tc>
          <w:tcPr>
            <w:tcW w:w="66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服务对象满意度指标</w:t>
            </w: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1.群众满意度</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90</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10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r>
              <w:rPr>
                <w:rFonts w:hint="eastAsia" w:ascii="宋体" w:hAnsi="宋体" w:cs="宋体"/>
                <w:kern w:val="0"/>
                <w:sz w:val="18"/>
                <w:szCs w:val="18"/>
              </w:rPr>
              <w:t>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trPr>
        <w:tc>
          <w:tcPr>
            <w:tcW w:w="600"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left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2.干部职工满意度</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trPr>
        <w:tc>
          <w:tcPr>
            <w:tcW w:w="60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6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30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color w:val="000000"/>
                <w:kern w:val="0"/>
                <w:sz w:val="18"/>
                <w:szCs w:val="18"/>
              </w:rPr>
            </w:pPr>
            <w:r>
              <w:rPr>
                <w:rFonts w:hint="eastAsia" w:ascii="宋体" w:hAnsi="宋体" w:cs="宋体"/>
                <w:color w:val="000000"/>
                <w:kern w:val="0"/>
                <w:sz w:val="18"/>
                <w:szCs w:val="18"/>
              </w:rPr>
              <w:t>3.干部职工满意度</w:t>
            </w:r>
          </w:p>
        </w:tc>
        <w:tc>
          <w:tcPr>
            <w:tcW w:w="90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r>
        <w:tblPrEx>
          <w:tblCellMar>
            <w:top w:w="0" w:type="dxa"/>
            <w:left w:w="108" w:type="dxa"/>
            <w:bottom w:w="0" w:type="dxa"/>
            <w:right w:w="108" w:type="dxa"/>
          </w:tblCellMar>
        </w:tblPrEx>
        <w:trPr>
          <w:trHeight w:val="300" w:hRule="exact"/>
        </w:trPr>
        <w:tc>
          <w:tcPr>
            <w:tcW w:w="6624"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总分</w:t>
            </w:r>
          </w:p>
        </w:tc>
        <w:tc>
          <w:tcPr>
            <w:tcW w:w="56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63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89</w:t>
            </w:r>
          </w:p>
        </w:tc>
        <w:tc>
          <w:tcPr>
            <w:tcW w:w="125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 w:val="18"/>
                <w:szCs w:val="18"/>
              </w:rPr>
            </w:pPr>
          </w:p>
        </w:tc>
      </w:tr>
    </w:tbl>
    <w:p>
      <w:pPr>
        <w:adjustRightInd w:val="0"/>
        <w:snapToGrid w:val="0"/>
        <w:spacing w:line="580" w:lineRule="exact"/>
        <w:ind w:firstLine="640" w:firstLineChars="200"/>
        <w:rPr>
          <w:rFonts w:ascii="仿宋_GB2312" w:hAnsi="仿宋_GB2312" w:eastAsia="仿宋_GB2312" w:cs="仿宋_GB2312"/>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本部门2018年度机关运行经费支出111.05万元，比年初预算数增加1.94万元，增长0.17%。主要原因是人员增加。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比上年持平其中，副部（省）级及以上领导用车0辆，主要领导干部用车0辆，机要通信用车0辆，应急保障用车1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万元以上通用设备0台（套），比上年增加（减少）0套，单位价值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万元以上专用设备0台（套）比上年增加（减少）0套。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1、本部门2018年度政府性基金预算财政拨款、国有资本经营预算财政拨款、政府采购情况无收支及结转结余情况，故政府性基金预算财政拨款、国有资本经营预算财政拨款、政府采购情况以空表列示。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6153840-8B94-432D-AD5C-5E227BA5BB31}"/>
  </w:font>
  <w:font w:name="黑体">
    <w:panose1 w:val="02010609060101010101"/>
    <w:charset w:val="86"/>
    <w:family w:val="auto"/>
    <w:pitch w:val="default"/>
    <w:sig w:usb0="800002BF" w:usb1="38CF7CFA" w:usb2="00000016" w:usb3="00000000" w:csb0="00040001" w:csb1="00000000"/>
    <w:embedRegular r:id="rId2" w:fontKey="{398CC32E-87DD-4C67-8D21-3731BD62460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D5E76500-A264-49BC-B27F-2DC66CB95ECC}"/>
  </w:font>
  <w:font w:name="Cambria">
    <w:panose1 w:val="02040503050406030204"/>
    <w:charset w:val="00"/>
    <w:family w:val="roman"/>
    <w:pitch w:val="default"/>
    <w:sig w:usb0="E00006FF" w:usb1="420024FF" w:usb2="02000000" w:usb3="00000000" w:csb0="2000019F" w:csb1="00000000"/>
    <w:embedRegular r:id="rId4" w:fontKey="{99DA7306-6DD1-4C63-94E2-681869B5CD2C}"/>
  </w:font>
  <w:font w:name="楷体">
    <w:panose1 w:val="02010609060101010101"/>
    <w:charset w:val="86"/>
    <w:family w:val="modern"/>
    <w:pitch w:val="default"/>
    <w:sig w:usb0="800002BF" w:usb1="38CF7CFA" w:usb2="00000016" w:usb3="00000000" w:csb0="00040001" w:csb1="00000000"/>
    <w:embedRegular r:id="rId5" w:fontKey="{A30E5E34-9FD6-4A9F-95FA-EFDA21D685D9}"/>
  </w:font>
  <w:font w:name="楷体_GB2312">
    <w:panose1 w:val="02010609030101010101"/>
    <w:charset w:val="86"/>
    <w:family w:val="modern"/>
    <w:pitch w:val="default"/>
    <w:sig w:usb0="00000001" w:usb1="080E0000" w:usb2="00000000" w:usb3="00000000" w:csb0="00040000" w:csb1="00000000"/>
    <w:embedRegular r:id="rId6" w:fontKey="{2B049043-2F6E-4FB6-8B0C-7D03F507C0FE}"/>
  </w:font>
  <w:font w:name="仿宋_GB2312">
    <w:panose1 w:val="02010609030101010101"/>
    <w:charset w:val="86"/>
    <w:family w:val="modern"/>
    <w:pitch w:val="default"/>
    <w:sig w:usb0="00000001" w:usb1="080E0000" w:usb2="00000000" w:usb3="00000000" w:csb0="00040000" w:csb1="00000000"/>
    <w:embedRegular r:id="rId7" w:fontKey="{0205E507-331D-45D6-BC16-3D39F62A5DDA}"/>
  </w:font>
  <w:font w:name="ArialUnicodeMS">
    <w:altName w:val="Malgun Gothic"/>
    <w:panose1 w:val="00000000000000000000"/>
    <w:charset w:val="81"/>
    <w:family w:val="auto"/>
    <w:pitch w:val="default"/>
    <w:sig w:usb0="00000000" w:usb1="00000000" w:usb2="00000010" w:usb3="00000000" w:csb0="00080001" w:csb1="00000000"/>
    <w:embedRegular r:id="rId8" w:fontKey="{56D8E28D-BAB3-446B-9735-76820554F81B}"/>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9" w:fontKey="{8BFC475D-BD2C-4527-8ED7-2290DCE2E546}"/>
  </w:font>
  <w:font w:name="DengXian-Regular">
    <w:altName w:val="宋体"/>
    <w:panose1 w:val="00000000000000000000"/>
    <w:charset w:val="86"/>
    <w:family w:val="auto"/>
    <w:pitch w:val="default"/>
    <w:sig w:usb0="00000000" w:usb1="00000000" w:usb2="00000010" w:usb3="00000000" w:csb0="00040001" w:csb1="00000000"/>
    <w:embedRegular r:id="rId10" w:fontKey="{93CD6072-C2ED-4EC7-B3A7-585B0458F23C}"/>
  </w:font>
  <w:font w:name="DengXian-Bold">
    <w:altName w:val="宋体"/>
    <w:panose1 w:val="00000000000000000000"/>
    <w:charset w:val="86"/>
    <w:family w:val="auto"/>
    <w:pitch w:val="default"/>
    <w:sig w:usb0="00000000" w:usb1="00000000" w:usb2="00000010" w:usb3="00000000" w:csb0="00040001" w:csb1="00000000"/>
    <w:embedRegular r:id="rId11" w:fontKey="{0AF5C2DF-25A2-4BE6-9AC7-11B87308E7C2}"/>
  </w:font>
  <w:font w:name="___WRD_EMBED_SUB_39">
    <w:altName w:val="微软雅黑"/>
    <w:panose1 w:val="02010609030101010101"/>
    <w:charset w:val="86"/>
    <w:family w:val="modern"/>
    <w:pitch w:val="default"/>
    <w:sig w:usb0="00000000" w:usb1="00000000" w:usb2="00000010" w:usb3="00000000" w:csb0="00040000" w:csb1="00000000"/>
    <w:embedRegular r:id="rId12" w:fontKey="{C2306F6C-B055-4BA1-B877-CFF76F8AC3F9}"/>
  </w:font>
  <w:font w:name="微软雅黑">
    <w:panose1 w:val="020B0503020204020204"/>
    <w:charset w:val="86"/>
    <w:family w:val="auto"/>
    <w:pitch w:val="default"/>
    <w:sig w:usb0="80000287" w:usb1="2ACF3C50" w:usb2="00000016" w:usb3="00000000" w:csb0="0004001F"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FE86CC"/>
    <w:multiLevelType w:val="singleLevel"/>
    <w:tmpl w:val="38FE86CC"/>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3232B"/>
    <w:rsid w:val="0003378A"/>
    <w:rsid w:val="000475A0"/>
    <w:rsid w:val="000838C3"/>
    <w:rsid w:val="000867F5"/>
    <w:rsid w:val="000B2446"/>
    <w:rsid w:val="000D7C65"/>
    <w:rsid w:val="000E2F81"/>
    <w:rsid w:val="00117946"/>
    <w:rsid w:val="00117E2C"/>
    <w:rsid w:val="001219E7"/>
    <w:rsid w:val="00146C47"/>
    <w:rsid w:val="00152FB8"/>
    <w:rsid w:val="00176658"/>
    <w:rsid w:val="0018239E"/>
    <w:rsid w:val="001B3410"/>
    <w:rsid w:val="001C030D"/>
    <w:rsid w:val="001C4A84"/>
    <w:rsid w:val="001E5902"/>
    <w:rsid w:val="00221B5E"/>
    <w:rsid w:val="00224E91"/>
    <w:rsid w:val="00233705"/>
    <w:rsid w:val="00275CA2"/>
    <w:rsid w:val="002A65A5"/>
    <w:rsid w:val="002C04C4"/>
    <w:rsid w:val="002D08B0"/>
    <w:rsid w:val="002D1AE3"/>
    <w:rsid w:val="002F2ECE"/>
    <w:rsid w:val="00341C8F"/>
    <w:rsid w:val="00345334"/>
    <w:rsid w:val="0035463A"/>
    <w:rsid w:val="00374618"/>
    <w:rsid w:val="003770A3"/>
    <w:rsid w:val="00391D9D"/>
    <w:rsid w:val="00391E1D"/>
    <w:rsid w:val="003B6C51"/>
    <w:rsid w:val="003C1413"/>
    <w:rsid w:val="003C549F"/>
    <w:rsid w:val="003D1DD6"/>
    <w:rsid w:val="003D5A16"/>
    <w:rsid w:val="003E5F08"/>
    <w:rsid w:val="003E7DB3"/>
    <w:rsid w:val="003F7EC9"/>
    <w:rsid w:val="00411E88"/>
    <w:rsid w:val="00415296"/>
    <w:rsid w:val="00417528"/>
    <w:rsid w:val="00431175"/>
    <w:rsid w:val="004A0474"/>
    <w:rsid w:val="004B6E37"/>
    <w:rsid w:val="004C32BA"/>
    <w:rsid w:val="00502871"/>
    <w:rsid w:val="00575922"/>
    <w:rsid w:val="00575DCD"/>
    <w:rsid w:val="005A6C90"/>
    <w:rsid w:val="005C1BF8"/>
    <w:rsid w:val="005E3FB0"/>
    <w:rsid w:val="005F4B66"/>
    <w:rsid w:val="005F5208"/>
    <w:rsid w:val="00641318"/>
    <w:rsid w:val="0064405D"/>
    <w:rsid w:val="00685302"/>
    <w:rsid w:val="00695557"/>
    <w:rsid w:val="006D4EA7"/>
    <w:rsid w:val="006E35B7"/>
    <w:rsid w:val="0070012A"/>
    <w:rsid w:val="0070664B"/>
    <w:rsid w:val="007071B8"/>
    <w:rsid w:val="007414DE"/>
    <w:rsid w:val="0074209C"/>
    <w:rsid w:val="007905A9"/>
    <w:rsid w:val="007A2A38"/>
    <w:rsid w:val="007C1E61"/>
    <w:rsid w:val="007D4EF4"/>
    <w:rsid w:val="007E5500"/>
    <w:rsid w:val="007F055B"/>
    <w:rsid w:val="0080644C"/>
    <w:rsid w:val="00811C2F"/>
    <w:rsid w:val="00833D46"/>
    <w:rsid w:val="00840A97"/>
    <w:rsid w:val="00892C6F"/>
    <w:rsid w:val="008C0149"/>
    <w:rsid w:val="008C689C"/>
    <w:rsid w:val="008D5DED"/>
    <w:rsid w:val="008E25CA"/>
    <w:rsid w:val="008F34FC"/>
    <w:rsid w:val="00912A45"/>
    <w:rsid w:val="00933547"/>
    <w:rsid w:val="00935058"/>
    <w:rsid w:val="00944CD7"/>
    <w:rsid w:val="009831B2"/>
    <w:rsid w:val="009A1ABE"/>
    <w:rsid w:val="009A4B83"/>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BB6817"/>
    <w:rsid w:val="00C12630"/>
    <w:rsid w:val="00C34562"/>
    <w:rsid w:val="00C3774E"/>
    <w:rsid w:val="00C57456"/>
    <w:rsid w:val="00C65387"/>
    <w:rsid w:val="00C87FAB"/>
    <w:rsid w:val="00C91FF7"/>
    <w:rsid w:val="00C94E53"/>
    <w:rsid w:val="00D0048E"/>
    <w:rsid w:val="00D23E7A"/>
    <w:rsid w:val="00D366D9"/>
    <w:rsid w:val="00D61063"/>
    <w:rsid w:val="00D94E52"/>
    <w:rsid w:val="00DB35AF"/>
    <w:rsid w:val="00DD72D7"/>
    <w:rsid w:val="00DF5B88"/>
    <w:rsid w:val="00E0589E"/>
    <w:rsid w:val="00E241FA"/>
    <w:rsid w:val="00E2595E"/>
    <w:rsid w:val="00E35374"/>
    <w:rsid w:val="00E50C19"/>
    <w:rsid w:val="00E64655"/>
    <w:rsid w:val="00E73081"/>
    <w:rsid w:val="00E856C9"/>
    <w:rsid w:val="00E8744D"/>
    <w:rsid w:val="00EA2494"/>
    <w:rsid w:val="00EB6A8B"/>
    <w:rsid w:val="00EE6989"/>
    <w:rsid w:val="00EF38C6"/>
    <w:rsid w:val="00F1659D"/>
    <w:rsid w:val="00F679C7"/>
    <w:rsid w:val="00F7711A"/>
    <w:rsid w:val="00F91F2A"/>
    <w:rsid w:val="00FA0D58"/>
    <w:rsid w:val="00FA56F4"/>
    <w:rsid w:val="00FB4EDA"/>
    <w:rsid w:val="00FD3BD5"/>
    <w:rsid w:val="00FE3DC8"/>
    <w:rsid w:val="04073F84"/>
    <w:rsid w:val="08E356C4"/>
    <w:rsid w:val="0B60750A"/>
    <w:rsid w:val="0B900ADE"/>
    <w:rsid w:val="10686488"/>
    <w:rsid w:val="10DF728A"/>
    <w:rsid w:val="11272A48"/>
    <w:rsid w:val="1264200E"/>
    <w:rsid w:val="141C5B77"/>
    <w:rsid w:val="158472A8"/>
    <w:rsid w:val="18D8339D"/>
    <w:rsid w:val="1A21388F"/>
    <w:rsid w:val="1A570D2F"/>
    <w:rsid w:val="1C2C1E35"/>
    <w:rsid w:val="1F3D008F"/>
    <w:rsid w:val="28FB0B8D"/>
    <w:rsid w:val="2A9870FC"/>
    <w:rsid w:val="2BB835A2"/>
    <w:rsid w:val="2D2B7942"/>
    <w:rsid w:val="2D46481D"/>
    <w:rsid w:val="2E733B28"/>
    <w:rsid w:val="31852B5A"/>
    <w:rsid w:val="32D01238"/>
    <w:rsid w:val="34166A1C"/>
    <w:rsid w:val="362806F6"/>
    <w:rsid w:val="3DFC59A8"/>
    <w:rsid w:val="3ECF245E"/>
    <w:rsid w:val="3FB96314"/>
    <w:rsid w:val="41D276BE"/>
    <w:rsid w:val="53A44FAF"/>
    <w:rsid w:val="53B65E6C"/>
    <w:rsid w:val="594329EC"/>
    <w:rsid w:val="5BEE1540"/>
    <w:rsid w:val="5DE61A5D"/>
    <w:rsid w:val="5E232FBD"/>
    <w:rsid w:val="63C04243"/>
    <w:rsid w:val="649C01C7"/>
    <w:rsid w:val="699A3F60"/>
    <w:rsid w:val="72902E62"/>
    <w:rsid w:val="73C61104"/>
    <w:rsid w:val="76365E87"/>
    <w:rsid w:val="776452EA"/>
    <w:rsid w:val="7C910EBA"/>
    <w:rsid w:val="7CD577C3"/>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unhideWhenUsed/>
    <w:qFormat/>
    <w:uiPriority w:val="1"/>
  </w:style>
  <w:style w:type="table" w:default="1" w:styleId="13">
    <w:name w:val="Normal Table"/>
    <w:unhideWhenUsed/>
    <w:qFormat/>
    <w:uiPriority w:val="99"/>
    <w:tblPr>
      <w:tblCellMar>
        <w:top w:w="0" w:type="dxa"/>
        <w:left w:w="108" w:type="dxa"/>
        <w:bottom w:w="0" w:type="dxa"/>
        <w:right w:w="108" w:type="dxa"/>
      </w:tblCellMar>
    </w:tblPr>
  </w:style>
  <w:style w:type="paragraph" w:styleId="6">
    <w:name w:val="Date"/>
    <w:basedOn w:val="1"/>
    <w:next w:val="1"/>
    <w:link w:val="32"/>
    <w:unhideWhenUsed/>
    <w:qFormat/>
    <w:uiPriority w:val="99"/>
    <w:pPr>
      <w:ind w:left="100" w:leftChars="2500"/>
    </w:pPr>
  </w:style>
  <w:style w:type="paragraph" w:styleId="7">
    <w:name w:val="Balloon Text"/>
    <w:basedOn w:val="1"/>
    <w:link w:val="20"/>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Normal (Web)"/>
    <w:basedOn w:val="1"/>
    <w:qFormat/>
    <w:uiPriority w:val="0"/>
    <w:pPr>
      <w:widowControl/>
      <w:spacing w:before="100" w:beforeAutospacing="1" w:after="100" w:afterAutospacing="1"/>
      <w:jc w:val="left"/>
    </w:pPr>
    <w:rPr>
      <w:rFonts w:ascii="宋体" w:hAnsi="宋体"/>
      <w:kern w:val="0"/>
      <w:sz w:val="24"/>
    </w:rPr>
  </w:style>
  <w:style w:type="paragraph" w:styleId="12">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6">
    <w:name w:val="页眉 Char"/>
    <w:basedOn w:val="15"/>
    <w:link w:val="9"/>
    <w:qFormat/>
    <w:uiPriority w:val="99"/>
    <w:rPr>
      <w:sz w:val="18"/>
      <w:szCs w:val="18"/>
    </w:rPr>
  </w:style>
  <w:style w:type="character" w:customStyle="1" w:styleId="17">
    <w:name w:val="页脚 Char"/>
    <w:basedOn w:val="15"/>
    <w:link w:val="8"/>
    <w:qFormat/>
    <w:uiPriority w:val="99"/>
    <w:rPr>
      <w:sz w:val="18"/>
      <w:szCs w:val="18"/>
    </w:rPr>
  </w:style>
  <w:style w:type="paragraph" w:customStyle="1" w:styleId="18">
    <w:name w:val="No Spacing"/>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Char"/>
    <w:basedOn w:val="15"/>
    <w:link w:val="18"/>
    <w:qFormat/>
    <w:uiPriority w:val="1"/>
    <w:rPr>
      <w:kern w:val="0"/>
      <w:sz w:val="22"/>
    </w:rPr>
  </w:style>
  <w:style w:type="character" w:customStyle="1" w:styleId="20">
    <w:name w:val="批注框文本 Char"/>
    <w:basedOn w:val="15"/>
    <w:link w:val="7"/>
    <w:semiHidden/>
    <w:qFormat/>
    <w:uiPriority w:val="99"/>
    <w:rPr>
      <w:rFonts w:ascii="Times New Roman" w:hAnsi="Times New Roman" w:eastAsia="宋体" w:cs="Times New Roman"/>
      <w:sz w:val="18"/>
      <w:szCs w:val="18"/>
    </w:rPr>
  </w:style>
  <w:style w:type="character" w:customStyle="1" w:styleId="21">
    <w:name w:val="标题 Char"/>
    <w:basedOn w:val="15"/>
    <w:link w:val="12"/>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2">
    <w:name w:val="副标题 Char"/>
    <w:basedOn w:val="15"/>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3">
    <w:name w:val="Style1"/>
    <w:basedOn w:val="15"/>
    <w:qFormat/>
    <w:uiPriority w:val="1"/>
    <w:rPr>
      <w:rFonts w:asciiTheme="minorHAnsi" w:hAnsiTheme="minorEastAsia" w:eastAsiaTheme="minorEastAsia" w:cstheme="minorBidi"/>
      <w:sz w:val="22"/>
      <w:szCs w:val="22"/>
      <w:lang w:eastAsia="zh-CN"/>
    </w:rPr>
  </w:style>
  <w:style w:type="character" w:customStyle="1" w:styleId="24">
    <w:name w:val="Style2"/>
    <w:basedOn w:val="15"/>
    <w:qFormat/>
    <w:uiPriority w:val="1"/>
    <w:rPr>
      <w:rFonts w:asciiTheme="minorHAnsi" w:hAnsiTheme="minorEastAsia" w:eastAsiaTheme="minorEastAsia" w:cstheme="minorBidi"/>
      <w:sz w:val="22"/>
      <w:szCs w:val="22"/>
      <w:lang w:eastAsia="zh-CN"/>
    </w:rPr>
  </w:style>
  <w:style w:type="character" w:customStyle="1" w:styleId="25">
    <w:name w:val="Style3"/>
    <w:basedOn w:val="15"/>
    <w:qFormat/>
    <w:uiPriority w:val="1"/>
    <w:rPr>
      <w:rFonts w:asciiTheme="minorHAnsi" w:hAnsiTheme="minorEastAsia" w:eastAsiaTheme="minorEastAsia" w:cstheme="minorBidi"/>
      <w:szCs w:val="22"/>
      <w:lang w:eastAsia="zh-CN"/>
    </w:rPr>
  </w:style>
  <w:style w:type="character" w:customStyle="1" w:styleId="26">
    <w:name w:val="Style4"/>
    <w:basedOn w:val="15"/>
    <w:qFormat/>
    <w:uiPriority w:val="1"/>
    <w:rPr>
      <w:rFonts w:asciiTheme="minorHAnsi" w:hAnsiTheme="minorEastAsia" w:eastAsiaTheme="minorEastAsia" w:cstheme="minorBidi"/>
      <w:szCs w:val="22"/>
      <w:lang w:eastAsia="zh-CN"/>
    </w:rPr>
  </w:style>
  <w:style w:type="character" w:customStyle="1" w:styleId="27">
    <w:name w:val="Style5"/>
    <w:basedOn w:val="15"/>
    <w:qFormat/>
    <w:uiPriority w:val="1"/>
    <w:rPr>
      <w:rFonts w:asciiTheme="minorHAnsi" w:hAnsiTheme="minorEastAsia" w:eastAsiaTheme="minorEastAsia" w:cstheme="minorBidi"/>
      <w:sz w:val="22"/>
      <w:szCs w:val="22"/>
      <w:lang w:eastAsia="zh-CN"/>
    </w:rPr>
  </w:style>
  <w:style w:type="character" w:customStyle="1" w:styleId="28">
    <w:name w:val="标题 1 Char"/>
    <w:basedOn w:val="15"/>
    <w:link w:val="2"/>
    <w:qFormat/>
    <w:uiPriority w:val="9"/>
    <w:rPr>
      <w:rFonts w:ascii="Times New Roman" w:hAnsi="Times New Roman" w:eastAsia="宋体" w:cs="Times New Roman"/>
      <w:b/>
      <w:bCs/>
      <w:kern w:val="44"/>
      <w:sz w:val="44"/>
      <w:szCs w:val="44"/>
    </w:rPr>
  </w:style>
  <w:style w:type="character" w:customStyle="1" w:styleId="29">
    <w:name w:val="标题 2 Char"/>
    <w:basedOn w:val="15"/>
    <w:link w:val="3"/>
    <w:qFormat/>
    <w:uiPriority w:val="9"/>
    <w:rPr>
      <w:rFonts w:asciiTheme="majorHAnsi" w:hAnsiTheme="majorHAnsi" w:eastAsiaTheme="majorEastAsia" w:cstheme="majorBidi"/>
      <w:b/>
      <w:bCs/>
      <w:sz w:val="32"/>
      <w:szCs w:val="32"/>
    </w:rPr>
  </w:style>
  <w:style w:type="character" w:customStyle="1" w:styleId="30">
    <w:name w:val="标题 3 Char"/>
    <w:basedOn w:val="15"/>
    <w:link w:val="4"/>
    <w:qFormat/>
    <w:uiPriority w:val="9"/>
    <w:rPr>
      <w:rFonts w:ascii="Times New Roman" w:hAnsi="Times New Roman" w:eastAsia="宋体" w:cs="Times New Roman"/>
      <w:b/>
      <w:bCs/>
      <w:sz w:val="32"/>
      <w:szCs w:val="32"/>
    </w:rPr>
  </w:style>
  <w:style w:type="character" w:customStyle="1" w:styleId="31">
    <w:name w:val="标题 4 Char"/>
    <w:basedOn w:val="15"/>
    <w:link w:val="5"/>
    <w:qFormat/>
    <w:uiPriority w:val="9"/>
    <w:rPr>
      <w:rFonts w:asciiTheme="majorHAnsi" w:hAnsiTheme="majorHAnsi" w:eastAsiaTheme="majorEastAsia" w:cstheme="majorBidi"/>
      <w:b/>
      <w:bCs/>
      <w:sz w:val="28"/>
      <w:szCs w:val="28"/>
    </w:rPr>
  </w:style>
  <w:style w:type="character" w:customStyle="1" w:styleId="32">
    <w:name w:val="日期 Char"/>
    <w:basedOn w:val="15"/>
    <w:link w:val="6"/>
    <w:semiHidden/>
    <w:qFormat/>
    <w:uiPriority w:val="99"/>
    <w:rPr>
      <w:rFonts w:ascii="Times New Roman" w:hAnsi="Times New Roman" w:eastAsia="宋体" w:cs="Times New Roman"/>
      <w:szCs w:val="24"/>
    </w:rPr>
  </w:style>
  <w:style w:type="paragraph" w:customStyle="1" w:styleId="3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5.jpeg"/><Relationship Id="rId14" Type="http://schemas.openxmlformats.org/officeDocument/2006/relationships/chart" Target="charts/chart5.xml"/><Relationship Id="rId13" Type="http://schemas.openxmlformats.org/officeDocument/2006/relationships/chart" Target="charts/chart4.xml"/><Relationship Id="rId12" Type="http://schemas.openxmlformats.org/officeDocument/2006/relationships/image" Target="media/image4.png"/><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ocuments\WeChat%20Files\wxid_5y60oj0h726612\FileStorage\File\2020-09\&#37096;&#38376;&#20915;&#31639;&#20844;&#24320;&#21046;&#22270;&#27169;&#26495;&#65288;&#20462;&#25913;&#29256;&#65289;(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ocuments\WeChat%20Files\wxid_5y60oj0h726612\FileStorage\File\2020-09\&#37096;&#38376;&#20915;&#31639;&#20844;&#24320;&#21046;&#22270;&#27169;&#26495;&#65288;&#20462;&#25913;&#29256;&#65289;(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ocuments\WeChat%20Files\wxid_5y60oj0h726612\FileStorage\File\2020-09\&#37096;&#38376;&#20915;&#31639;&#20844;&#24320;&#21046;&#22270;&#27169;&#26495;&#65288;&#20462;&#25913;&#29256;&#65289;(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36130;&#25919;&#23616;&#39044;&#20915;&#31639;&#25253;&#34920;\&#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36130;&#25919;&#23616;&#39044;&#20915;&#31639;&#25253;&#34920;\&#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8"/>
        </c:manualLayout>
      </c:layout>
      <c:overlay val="0"/>
    </c:title>
    <c:autoTitleDeleted val="0"/>
    <c:plotArea>
      <c:layout>
        <c:manualLayout>
          <c:layoutTarget val="inner"/>
          <c:xMode val="edge"/>
          <c:yMode val="edge"/>
          <c:x val="0.0943148809218805"/>
          <c:y val="0.0575245818153329"/>
          <c:w val="0.811370238156239"/>
          <c:h val="0.765547851294709"/>
        </c:manualLayout>
      </c:layout>
      <c:pieChart>
        <c:varyColors val="1"/>
        <c:ser>
          <c:idx val="0"/>
          <c:order val="0"/>
          <c:explosion val="0"/>
          <c:dPt>
            <c:idx val="0"/>
            <c:bubble3D val="0"/>
            <c:explosion val="14"/>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'[部门决算公开制图模板（修改版）(1)(1).xlsx]收入情况说明'!$C$9:$C$12</c:f>
              <c:strCache>
                <c:ptCount val="4"/>
                <c:pt idx="0">
                  <c:v>财政拨款收入</c:v>
                </c:pt>
                <c:pt idx="1">
                  <c:v>事业收入</c:v>
                </c:pt>
                <c:pt idx="2">
                  <c:v>经营收入</c:v>
                </c:pt>
                <c:pt idx="3">
                  <c:v>其他收入</c:v>
                </c:pt>
              </c:strCache>
            </c:strRef>
          </c:cat>
          <c:val>
            <c:numRef>
              <c:f>'[部门决算公开制图模板（修改版）(1)(1).xlsx]收入情况说明'!$D$9:$D$12</c:f>
              <c:numCache>
                <c:formatCode>General</c:formatCode>
                <c:ptCount val="4"/>
                <c:pt idx="0">
                  <c:v>20082.45</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49917915011979"/>
          <c:y val="0.858707971288251"/>
        </c:manualLayout>
      </c:layout>
      <c:overlay val="0"/>
    </c:title>
    <c:autoTitleDeleted val="0"/>
    <c:plotArea>
      <c:layout>
        <c:manualLayout>
          <c:layoutTarget val="inner"/>
          <c:xMode val="edge"/>
          <c:yMode val="edge"/>
          <c:x val="0.101627059597234"/>
          <c:y val="0.103243458204088"/>
          <c:w val="0.808785007968814"/>
          <c:h val="0.655154696572022"/>
        </c:manualLayout>
      </c:layout>
      <c:pieChart>
        <c:varyColors val="1"/>
        <c:ser>
          <c:idx val="0"/>
          <c:order val="0"/>
          <c:explosion val="0"/>
          <c:dPt>
            <c:idx val="0"/>
            <c:bubble3D val="0"/>
          </c:dPt>
          <c:dPt>
            <c:idx val="1"/>
            <c:bubble3D val="0"/>
          </c:dPt>
          <c:dPt>
            <c:idx val="2"/>
            <c:bubble3D val="0"/>
          </c:dPt>
          <c:dLbls>
            <c:dLbl>
              <c:idx val="0"/>
              <c:layout>
                <c:manualLayout>
                  <c:x val="-0.119857795835449"/>
                  <c:y val="-0.217604835663015"/>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t>基本支出</a:t>
                    </a:r>
                    <a:r>
                      <a:rPr lang="en-US" altLang="zh-CN"/>
                      <a:t>91.89</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733316895596657"/>
                  <c:y val="0.17018594390167"/>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t>项目支出</a:t>
                    </a:r>
                    <a:r>
                      <a:rPr lang="en-US" altLang="zh-CN"/>
                      <a:t>8.11</a:t>
                    </a:r>
                    <a:r>
                      <a:t>%</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'[部门决算公开制图模板（修改版）(1)(1).xlsx]支出情况说明'!$A$5:$A$7</c:f>
              <c:strCache>
                <c:ptCount val="3"/>
                <c:pt idx="0">
                  <c:v>人员经费支出</c:v>
                </c:pt>
                <c:pt idx="2">
                  <c:v>经营支出</c:v>
                </c:pt>
              </c:strCache>
            </c:strRef>
          </c:cat>
          <c:val>
            <c:numRef>
              <c:f>'[部门决算公开制图模板（修改版）(1)(1).xlsx]支出情况说明'!$B$5:$B$7</c:f>
              <c:numCache>
                <c:formatCode>General</c:formatCode>
                <c:ptCount val="3"/>
                <c:pt idx="0">
                  <c:v>124.89</c:v>
                </c:pt>
                <c:pt idx="2">
                  <c:v>25.89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200" b="1" i="0" u="none" strike="noStrike" kern="1200" baseline="0">
                <a:solidFill>
                  <a:schemeClr val="tx1"/>
                </a:solidFill>
                <a:latin typeface="+mn-lt"/>
                <a:ea typeface="+mn-ea"/>
                <a:cs typeface="+mn-cs"/>
              </a:defRPr>
            </a:pPr>
            <a:r>
              <a:rPr lang="zh-CN" altLang="zh-CN" sz="1050" b="0" i="0" u="none" strike="noStrike" baseline="0">
                <a:latin typeface="仿宋_GB2312" panose="02010609030101010101" pitchFamily="3" charset="-122"/>
                <a:ea typeface="仿宋_GB2312" panose="02010609030101010101" pitchFamily="3" charset="-122"/>
              </a:rPr>
              <a:t>图</a:t>
            </a:r>
            <a:r>
              <a:rPr lang="en-US" altLang="zh-CN" sz="1050" b="0" i="0" u="none" strike="noStrike" baseline="0">
                <a:latin typeface="仿宋_GB2312" panose="02010609030101010101" pitchFamily="3" charset="-122"/>
                <a:ea typeface="仿宋_GB2312" panose="02010609030101010101" pitchFamily="3" charset="-122"/>
              </a:rPr>
              <a:t>4</a:t>
            </a:r>
            <a:r>
              <a:rPr lang="zh-CN" altLang="zh-CN" sz="105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050" b="0">
              <a:latin typeface="仿宋_GB2312" panose="02010609030101010101" pitchFamily="3" charset="-122"/>
              <a:ea typeface="仿宋_GB2312" panose="02010609030101010101" pitchFamily="3" charset="-122"/>
            </a:endParaRPr>
          </a:p>
        </c:rich>
      </c:tx>
      <c:layout>
        <c:manualLayout>
          <c:xMode val="edge"/>
          <c:yMode val="edge"/>
          <c:x val="0.280112942612943"/>
          <c:y val="0.867319861196162"/>
        </c:manualLayout>
      </c:layout>
      <c:overlay val="0"/>
    </c:title>
    <c:autoTitleDeleted val="0"/>
    <c:plotArea>
      <c:layout>
        <c:manualLayout>
          <c:layoutTarget val="inner"/>
          <c:xMode val="edge"/>
          <c:yMode val="edge"/>
          <c:x val="0.107481081691711"/>
          <c:y val="0.139036675439947"/>
          <c:w val="0.869289370078742"/>
          <c:h val="0.768818002863281"/>
        </c:manualLayout>
      </c:layout>
      <c:barChart>
        <c:barDir val="col"/>
        <c:grouping val="clustered"/>
        <c:varyColors val="0"/>
        <c:ser>
          <c:idx val="0"/>
          <c:order val="0"/>
          <c:tx>
            <c:strRef>
              <c:f>'[部门决算公开制图模板（修改版）(1)(1).xlsx]收支与预算对比'!$A$5</c:f>
              <c:strCache>
                <c:ptCount val="1"/>
                <c:pt idx="0">
                  <c:v>年初预算数</c:v>
                </c:pt>
              </c:strCache>
            </c:strRef>
          </c:tx>
          <c:invertIfNegative val="0"/>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79.41</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0.0046875"/>
                  <c:y val="-0.00366132723112128"/>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67.62</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'[部门决算公开制图模板（修改版）(1)(1).xlsx]收支与预算对比'!$B$4:$C$4</c:f>
              <c:strCache>
                <c:ptCount val="2"/>
                <c:pt idx="0">
                  <c:v>财政拨款收入</c:v>
                </c:pt>
                <c:pt idx="1">
                  <c:v>财政拨款支出</c:v>
                </c:pt>
              </c:strCache>
            </c:strRef>
          </c:cat>
          <c:val>
            <c:numRef>
              <c:f>'[部门决算公开制图模板（修改版）(1)(1).xlsx]收支与预算对比'!$B$5:$C$5</c:f>
              <c:numCache>
                <c:formatCode>General</c:formatCode>
                <c:ptCount val="2"/>
                <c:pt idx="0">
                  <c:v>153.15</c:v>
                </c:pt>
                <c:pt idx="1">
                  <c:v>153.15</c:v>
                </c:pt>
              </c:numCache>
            </c:numRef>
          </c:val>
        </c:ser>
        <c:ser>
          <c:idx val="1"/>
          <c:order val="1"/>
          <c:tx>
            <c:strRef>
              <c:f>'[部门决算公开制图模板（修改版）(1)(1).xlsx]收支与预算对比'!$A$6</c:f>
              <c:strCache>
                <c:ptCount val="1"/>
                <c:pt idx="0">
                  <c:v>决算数</c:v>
                </c:pt>
              </c:strCache>
            </c:strRef>
          </c:tx>
          <c:invertIfNegative val="0"/>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111.07</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en-US" altLang="zh-CN"/>
                      <a:t>111.05</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'[部门决算公开制图模板（修改版）(1)(1).xlsx]收支与预算对比'!$B$4:$C$4</c:f>
              <c:strCache>
                <c:ptCount val="2"/>
                <c:pt idx="0">
                  <c:v>财政拨款收入</c:v>
                </c:pt>
                <c:pt idx="1">
                  <c:v>财政拨款支出</c:v>
                </c:pt>
              </c:strCache>
            </c:strRef>
          </c:cat>
          <c:val>
            <c:numRef>
              <c:f>'[部门决算公开制图模板（修改版）(1)(1).xlsx]收支与预算对比'!$B$6:$C$6</c:f>
              <c:numCache>
                <c:formatCode>General</c:formatCode>
                <c:ptCount val="2"/>
                <c:pt idx="0">
                  <c:v>159.78</c:v>
                </c:pt>
                <c:pt idx="1">
                  <c:v>159.77</c:v>
                </c:pt>
              </c:numCache>
            </c:numRef>
          </c:val>
        </c:ser>
        <c:dLbls>
          <c:showLegendKey val="0"/>
          <c:showVal val="1"/>
          <c:showCatName val="0"/>
          <c:showSerName val="0"/>
          <c:showPercent val="0"/>
          <c:showBubbleSize val="0"/>
        </c:dLbls>
        <c:gapWidth val="75"/>
        <c:axId val="196647168"/>
        <c:axId val="216847104"/>
      </c:barChart>
      <c:catAx>
        <c:axId val="19664716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6847104"/>
        <c:crosses val="autoZero"/>
        <c:auto val="1"/>
        <c:lblAlgn val="ctr"/>
        <c:lblOffset val="100"/>
        <c:noMultiLvlLbl val="0"/>
      </c:catAx>
      <c:valAx>
        <c:axId val="21684710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6647168"/>
        <c:crosses val="autoZero"/>
        <c:crossBetween val="between"/>
      </c:valAx>
    </c:plotArea>
    <c:legend>
      <c:legendPos val="b"/>
      <c:layout>
        <c:manualLayout>
          <c:xMode val="edge"/>
          <c:yMode val="edge"/>
          <c:x val="0.346449283382848"/>
          <c:y val="0.77297616076923"/>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4084419615146"/>
          <c:y val="0.942114223804364"/>
        </c:manualLayout>
      </c:layout>
      <c:overlay val="0"/>
    </c:title>
    <c:autoTitleDeleted val="0"/>
    <c:plotArea>
      <c:layout>
        <c:manualLayout>
          <c:layoutTarget val="inner"/>
          <c:xMode val="edge"/>
          <c:yMode val="edge"/>
          <c:x val="0.12605513643895"/>
          <c:y val="0.285291201282913"/>
          <c:w val="0.869289370078742"/>
          <c:h val="0.601993408970845"/>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111.07</c:v>
                </c:pt>
                <c:pt idx="1">
                  <c:v>111.05</c:v>
                </c:pt>
              </c:numCache>
            </c:numRef>
          </c:val>
        </c:ser>
        <c:ser>
          <c:idx val="1"/>
          <c:order val="1"/>
          <c:tx>
            <c:strRef>
              <c:f>'[部门决算公开制图模板（修改版）(1).xlsx]收支与决算对比'!$A$6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109.11</c:v>
                </c:pt>
                <c:pt idx="1">
                  <c:v>109.11</c:v>
                </c:pt>
              </c:numCache>
            </c:numRef>
          </c:val>
        </c:ser>
        <c:dLbls>
          <c:showLegendKey val="0"/>
          <c:showVal val="1"/>
          <c:showCatName val="0"/>
          <c:showSerName val="0"/>
          <c:showPercent val="0"/>
          <c:showBubbleSize val="0"/>
        </c:dLbls>
        <c:gapWidth val="75"/>
        <c:axId val="227708288"/>
        <c:axId val="227878016"/>
      </c:barChart>
      <c:catAx>
        <c:axId val="22770828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7878016"/>
        <c:crosses val="autoZero"/>
        <c:auto val="1"/>
        <c:lblAlgn val="ctr"/>
        <c:lblOffset val="100"/>
        <c:noMultiLvlLbl val="0"/>
      </c:catAx>
      <c:valAx>
        <c:axId val="22787801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7708288"/>
        <c:crosses val="autoZero"/>
        <c:crossBetween val="between"/>
      </c:valAx>
    </c:plotArea>
    <c:legend>
      <c:legendPos val="b"/>
      <c:layout>
        <c:manualLayout>
          <c:xMode val="edge"/>
          <c:yMode val="edge"/>
          <c:x val="0.431927143359874"/>
          <c:y val="0.800568883932577"/>
          <c:w val="0.208429790026247"/>
          <c:h val="0.077030514955598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5"/>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111.05</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0"/>
    <customShpInfo spid="_x0000_s1029"/>
    <customShpInfo spid="_x0000_s1028"/>
    <customShpInfo spid="_x0000_s1027"/>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C477C8BC-A1CF-44E1-A867-5ADACAF697E5}">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8613</Words>
  <Characters>3431</Characters>
  <Lines>28</Lines>
  <Paragraphs>24</Paragraphs>
  <TotalTime>0</TotalTime>
  <ScaleCrop>false</ScaleCrop>
  <LinksUpToDate>false</LinksUpToDate>
  <CharactersWithSpaces>12020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2021-05-13T06:49:00Z</dcterms:created>
  <dc:creator>User</dc:creator>
  <cp:lastModifiedBy>Administrator</cp:lastModifiedBy>
  <cp:lastPrinted>2019-08-02T01:01:00Z</cp:lastPrinted>
  <dcterms:modified xsi:type="dcterms:W3CDTF">2024-06-20T13:10:14Z</dcterms:modified>
  <dc:subject>石家庄市xxx部门</dc:subject>
  <dc:title>2017年度部门决算</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0FC51112BFA34CFB9CA6BDB154025511</vt:lpwstr>
  </property>
</Properties>
</file>