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outlineLvl w:val="0"/>
        <w:rPr>
          <w:rFonts w:hint="eastAsia" w:ascii="宋体" w:hAnsi="宋体" w:cs="宋体"/>
          <w:b/>
          <w:bCs/>
          <w:sz w:val="44"/>
          <w:szCs w:val="44"/>
        </w:rPr>
      </w:pPr>
      <w:bookmarkStart w:id="0" w:name="_Toc15633"/>
      <w:bookmarkStart w:id="1" w:name="_Toc18977"/>
      <w:bookmarkStart w:id="2" w:name="_Toc51231052"/>
      <w:bookmarkStart w:id="3" w:name="_Toc51234292"/>
      <w:bookmarkStart w:id="4" w:name="_Toc51253436"/>
      <w:bookmarkStart w:id="5" w:name="_Toc13628"/>
      <w:r>
        <w:rPr>
          <w:rFonts w:hint="eastAsia" w:ascii="宋体" w:hAnsi="宋体" w:cs="宋体"/>
          <w:b/>
          <w:bCs/>
          <w:sz w:val="44"/>
          <w:szCs w:val="44"/>
        </w:rPr>
        <w:t>无极县农村垃圾清运</w:t>
      </w:r>
      <w:bookmarkEnd w:id="0"/>
      <w:bookmarkEnd w:id="1"/>
    </w:p>
    <w:p>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outlineLvl w:val="0"/>
        <w:rPr>
          <w:rFonts w:hint="eastAsia" w:ascii="宋体" w:hAnsi="宋体" w:cs="宋体"/>
          <w:b/>
          <w:bCs/>
          <w:sz w:val="44"/>
          <w:szCs w:val="44"/>
        </w:rPr>
      </w:pPr>
      <w:bookmarkStart w:id="6" w:name="_Toc26579"/>
      <w:bookmarkStart w:id="7" w:name="_Toc19359"/>
      <w:r>
        <w:rPr>
          <w:rFonts w:hint="eastAsia" w:ascii="宋体" w:hAnsi="宋体" w:cs="宋体"/>
          <w:b/>
          <w:bCs/>
          <w:sz w:val="44"/>
          <w:szCs w:val="44"/>
        </w:rPr>
        <w:t>采购服务项目绩效</w:t>
      </w:r>
      <w:r>
        <w:rPr>
          <w:rFonts w:ascii="宋体" w:hAnsi="宋体" w:cs="宋体"/>
          <w:b/>
          <w:bCs/>
          <w:sz w:val="44"/>
          <w:szCs w:val="44"/>
        </w:rPr>
        <w:t>评价</w:t>
      </w:r>
      <w:r>
        <w:rPr>
          <w:rFonts w:hint="eastAsia" w:ascii="宋体" w:hAnsi="宋体" w:cs="宋体"/>
          <w:b/>
          <w:bCs/>
          <w:sz w:val="44"/>
          <w:szCs w:val="44"/>
        </w:rPr>
        <w:t>报告</w:t>
      </w:r>
      <w:bookmarkEnd w:id="6"/>
      <w:bookmarkEnd w:id="7"/>
    </w:p>
    <w:bookmarkEnd w:id="2"/>
    <w:bookmarkEnd w:id="3"/>
    <w:bookmarkEnd w:id="4"/>
    <w:p>
      <w:pPr>
        <w:bidi w:val="0"/>
        <w:rPr>
          <w:rFonts w:hint="eastAsia"/>
        </w:rPr>
      </w:pPr>
    </w:p>
    <w:p>
      <w:pPr>
        <w:bidi w:val="0"/>
      </w:pPr>
      <w:r>
        <w:rPr>
          <w:rFonts w:hint="eastAsia"/>
        </w:rPr>
        <w:t>根据《中华人民共和国预算法》、《国务院关于进一步深化预算管理制度改革的意见》（国发〔2021〕5号）、《项目支出绩效评价管理办法》（财预〔2020〕10号）、《石家庄市市级预算绩效重点评价管理办法》的通知（石财绩〔2020〕6号）等有关规定，无极</w:t>
      </w:r>
      <w:r>
        <w:rPr>
          <w:rFonts w:hint="eastAsia"/>
          <w:highlight w:val="none"/>
        </w:rPr>
        <w:t>县财政局委托河北协讯企业管理咨询有限公司成立绩效评价组，于2021年9月26日-10月1</w:t>
      </w:r>
      <w:r>
        <w:rPr>
          <w:rFonts w:hint="eastAsia"/>
          <w:highlight w:val="none"/>
          <w:lang w:val="en-US" w:eastAsia="zh-CN"/>
        </w:rPr>
        <w:t>5</w:t>
      </w:r>
      <w:r>
        <w:rPr>
          <w:rFonts w:hint="eastAsia"/>
          <w:highlight w:val="none"/>
        </w:rPr>
        <w:t>日对</w:t>
      </w:r>
      <w:r>
        <w:rPr>
          <w:rFonts w:hint="eastAsia"/>
        </w:rPr>
        <w:t>“无极县农村垃圾清运采购服务项目2020年6月1日-2021年6月1日的专项财政资金</w:t>
      </w:r>
      <w:r>
        <w:rPr>
          <w:rFonts w:hint="eastAsia"/>
          <w:lang w:val="en-US" w:eastAsia="zh-CN"/>
        </w:rPr>
        <w:t>2624.51</w:t>
      </w:r>
      <w:r>
        <w:rPr>
          <w:rFonts w:hint="eastAsia"/>
        </w:rPr>
        <w:t>万元”进行绩效评价。无极县城管局及各企业对本次评价给予了积极支持和配合。</w:t>
      </w:r>
    </w:p>
    <w:p>
      <w:pPr>
        <w:pStyle w:val="3"/>
        <w:bidi w:val="0"/>
      </w:pPr>
      <w:bookmarkStart w:id="8" w:name="_Toc18301"/>
      <w:bookmarkStart w:id="9" w:name="_Toc23207"/>
      <w:r>
        <w:rPr>
          <w:rFonts w:hint="eastAsia"/>
        </w:rPr>
        <w:t>一、</w:t>
      </w:r>
      <w:bookmarkEnd w:id="5"/>
      <w:r>
        <w:rPr>
          <w:rFonts w:hint="eastAsia"/>
        </w:rPr>
        <w:t>项目基本情况</w:t>
      </w:r>
      <w:bookmarkEnd w:id="8"/>
      <w:bookmarkEnd w:id="9"/>
    </w:p>
    <w:p>
      <w:pPr>
        <w:pStyle w:val="4"/>
        <w:bidi w:val="0"/>
      </w:pPr>
      <w:bookmarkStart w:id="10" w:name="_Toc27454"/>
      <w:bookmarkStart w:id="11" w:name="_Toc12823"/>
      <w:bookmarkStart w:id="12" w:name="_Toc29870"/>
      <w:bookmarkStart w:id="13" w:name="_Toc8814"/>
      <w:bookmarkStart w:id="14" w:name="_Toc13194"/>
      <w:r>
        <w:rPr>
          <w:rFonts w:hint="eastAsia"/>
        </w:rPr>
        <w:t>（一）项目内容</w:t>
      </w:r>
      <w:bookmarkEnd w:id="10"/>
      <w:bookmarkEnd w:id="11"/>
    </w:p>
    <w:p>
      <w:pPr>
        <w:bidi w:val="0"/>
        <w:rPr>
          <w:rFonts w:hint="eastAsia"/>
        </w:rPr>
      </w:pPr>
      <w:r>
        <w:rPr>
          <w:rFonts w:hint="eastAsia"/>
        </w:rPr>
        <w:t>无极县人民政府结合我市实际，为切实抓好我市农村生活垃圾专项治理，建设生态、洁净、宜居、美丽乡村，研究制定《无极县农村环境卫生管理办法》。全县11个乡镇（街道）和2</w:t>
      </w:r>
      <w:r>
        <w:rPr>
          <w:rFonts w:hint="eastAsia"/>
          <w:lang w:val="en-US" w:eastAsia="zh-CN"/>
        </w:rPr>
        <w:t>0</w:t>
      </w:r>
      <w:r>
        <w:rPr>
          <w:rFonts w:hint="eastAsia"/>
        </w:rPr>
        <w:t>6个村庄场所。重点考核所在地镇区、自然村辖区、路边、水边、村边的垃圾清扫清运及环境卫生保洁情况。</w:t>
      </w:r>
      <w:bookmarkStart w:id="15" w:name="_Toc17943"/>
    </w:p>
    <w:p>
      <w:pPr>
        <w:pStyle w:val="4"/>
        <w:bidi w:val="0"/>
      </w:pPr>
      <w:bookmarkStart w:id="16" w:name="_Toc22491"/>
      <w:r>
        <w:rPr>
          <w:rFonts w:hint="eastAsia"/>
        </w:rPr>
        <w:t>（二）</w:t>
      </w:r>
      <w:bookmarkEnd w:id="12"/>
      <w:bookmarkEnd w:id="13"/>
      <w:r>
        <w:rPr>
          <w:rFonts w:hint="eastAsia"/>
        </w:rPr>
        <w:t>招标情况</w:t>
      </w:r>
      <w:bookmarkEnd w:id="15"/>
      <w:bookmarkEnd w:id="16"/>
    </w:p>
    <w:p>
      <w:pPr>
        <w:bidi w:val="0"/>
        <w:rPr>
          <w:rFonts w:hint="default" w:eastAsia="仿宋"/>
          <w:lang w:val="en-US" w:eastAsia="zh-CN"/>
        </w:rPr>
      </w:pPr>
      <w:r>
        <w:rPr>
          <w:rFonts w:hint="eastAsia"/>
        </w:rPr>
        <w:t>2019年5月16日无极县城市管理综合行政执法局（以下简称城管局）对无极县农村生活垃圾清运采购项目进行公开招标，中标单位3家，分别为合骏环境科技（河北）有限公司（以下简称合骏</w:t>
      </w:r>
      <w:r>
        <w:rPr>
          <w:rFonts w:hint="eastAsia"/>
          <w:lang w:val="en-US" w:eastAsia="zh-CN"/>
        </w:rPr>
        <w:t>公司</w:t>
      </w:r>
      <w:r>
        <w:rPr>
          <w:rFonts w:hint="eastAsia"/>
        </w:rPr>
        <w:t>）、河北广拓环境工程有限公司（以下简称广拓</w:t>
      </w:r>
      <w:r>
        <w:rPr>
          <w:rFonts w:hint="eastAsia"/>
          <w:lang w:val="en-US" w:eastAsia="zh-CN"/>
        </w:rPr>
        <w:t>公司</w:t>
      </w:r>
      <w:r>
        <w:rPr>
          <w:rFonts w:hint="eastAsia"/>
        </w:rPr>
        <w:t>）、志程洁环保科技集团有限公司（以下简称志程洁</w:t>
      </w:r>
      <w:r>
        <w:rPr>
          <w:rFonts w:hint="eastAsia"/>
          <w:lang w:val="en-US" w:eastAsia="zh-CN"/>
        </w:rPr>
        <w:t>公司</w:t>
      </w:r>
      <w:r>
        <w:rPr>
          <w:rFonts w:hint="eastAsia"/>
        </w:rPr>
        <w:t>），一年的</w:t>
      </w:r>
      <w:r>
        <w:rPr>
          <w:rFonts w:hint="eastAsia"/>
          <w:color w:val="auto"/>
          <w:highlight w:val="none"/>
        </w:rPr>
        <w:t>中标总金额为</w:t>
      </w:r>
      <w:r>
        <w:rPr>
          <w:rFonts w:hint="eastAsia"/>
          <w:color w:val="auto"/>
          <w:highlight w:val="none"/>
          <w:lang w:val="en-US" w:eastAsia="zh-CN"/>
        </w:rPr>
        <w:t>2624.51</w:t>
      </w:r>
      <w:r>
        <w:rPr>
          <w:rFonts w:hint="eastAsia"/>
          <w:color w:val="auto"/>
          <w:highlight w:val="none"/>
        </w:rPr>
        <w:t>万</w:t>
      </w:r>
      <w:r>
        <w:rPr>
          <w:rFonts w:hint="eastAsia"/>
        </w:rPr>
        <w:t>元。服务周期均为一年：2020年6月1日-2021年6月1日。</w:t>
      </w:r>
      <w:r>
        <w:rPr>
          <w:rFonts w:hint="eastAsia"/>
          <w:lang w:val="en-US" w:eastAsia="zh-CN"/>
        </w:rPr>
        <w:t>合同支付方式：甲方（城管局）每月对乙方工作完成情况进行考评，根据考评结果按月支付乙方服务费用，甲方在每月10日前向乙方支付上月的服务费用。</w:t>
      </w:r>
    </w:p>
    <w:p>
      <w:pPr>
        <w:bidi w:val="0"/>
        <w:rPr>
          <w:rFonts w:hint="eastAsia"/>
        </w:rPr>
      </w:pPr>
      <w:r>
        <w:rPr>
          <w:rFonts w:hint="eastAsia"/>
        </w:rPr>
        <w:t>上述3家中标企业均按照招标要求在无极县专门设立分公司，具体中标情况如下表：</w:t>
      </w:r>
    </w:p>
    <w:p>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hint="eastAsia" w:ascii="仿宋" w:hAnsi="仿宋" w:eastAsia="仿宋" w:cs="仿宋"/>
          <w:b/>
          <w:bCs/>
          <w:kern w:val="0"/>
          <w:sz w:val="28"/>
          <w:szCs w:val="28"/>
          <w:lang w:val="en-US" w:eastAsia="zh-CN"/>
        </w:rPr>
      </w:pPr>
      <w:r>
        <w:rPr>
          <w:rFonts w:hint="eastAsia" w:ascii="仿宋" w:hAnsi="仿宋" w:eastAsia="仿宋" w:cs="仿宋"/>
          <w:b/>
          <w:bCs/>
          <w:kern w:val="0"/>
          <w:sz w:val="28"/>
          <w:szCs w:val="28"/>
          <w:lang w:val="en-US" w:eastAsia="zh-CN"/>
        </w:rPr>
        <w:t>企业签订合同情况表</w:t>
      </w:r>
    </w:p>
    <w:tbl>
      <w:tblPr>
        <w:tblStyle w:val="9"/>
        <w:tblW w:w="4997" w:type="pct"/>
        <w:tblInd w:w="0" w:type="dxa"/>
        <w:shd w:val="clear" w:color="auto" w:fill="auto"/>
        <w:tblLayout w:type="autofit"/>
        <w:tblCellMar>
          <w:top w:w="0" w:type="dxa"/>
          <w:left w:w="108" w:type="dxa"/>
          <w:bottom w:w="0" w:type="dxa"/>
          <w:right w:w="108" w:type="dxa"/>
        </w:tblCellMar>
      </w:tblPr>
      <w:tblGrid>
        <w:gridCol w:w="721"/>
        <w:gridCol w:w="1529"/>
        <w:gridCol w:w="1511"/>
        <w:gridCol w:w="2479"/>
        <w:gridCol w:w="1426"/>
        <w:gridCol w:w="1389"/>
      </w:tblGrid>
      <w:tr>
        <w:tblPrEx>
          <w:shd w:val="clear" w:color="auto" w:fill="auto"/>
          <w:tblCellMar>
            <w:top w:w="0" w:type="dxa"/>
            <w:left w:w="108" w:type="dxa"/>
            <w:bottom w:w="0" w:type="dxa"/>
            <w:right w:w="108" w:type="dxa"/>
          </w:tblCellMar>
        </w:tblPrEx>
        <w:trPr>
          <w:trHeight w:val="570" w:hRule="atLeast"/>
        </w:trPr>
        <w:tc>
          <w:tcPr>
            <w:tcW w:w="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序号</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公司名称</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合同金额(万元）</w:t>
            </w:r>
          </w:p>
        </w:tc>
        <w:tc>
          <w:tcPr>
            <w:tcW w:w="1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负责乡镇</w:t>
            </w:r>
          </w:p>
        </w:tc>
        <w:tc>
          <w:tcPr>
            <w:tcW w:w="7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人数</w:t>
            </w:r>
          </w:p>
        </w:tc>
        <w:tc>
          <w:tcPr>
            <w:tcW w:w="7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行政村数量</w:t>
            </w:r>
          </w:p>
        </w:tc>
      </w:tr>
      <w:tr>
        <w:tblPrEx>
          <w:shd w:val="clear" w:color="auto" w:fill="auto"/>
          <w:tblCellMar>
            <w:top w:w="0" w:type="dxa"/>
            <w:left w:w="108" w:type="dxa"/>
            <w:bottom w:w="0" w:type="dxa"/>
            <w:right w:w="108" w:type="dxa"/>
          </w:tblCellMar>
        </w:tblPrEx>
        <w:trPr>
          <w:trHeight w:val="835" w:hRule="atLeast"/>
        </w:trPr>
        <w:tc>
          <w:tcPr>
            <w:tcW w:w="39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合骏公司</w:t>
            </w:r>
          </w:p>
        </w:tc>
        <w:tc>
          <w:tcPr>
            <w:tcW w:w="8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760.98</w:t>
            </w:r>
          </w:p>
        </w:tc>
        <w:tc>
          <w:tcPr>
            <w:tcW w:w="1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无极镇、七汲镇、大陈镇、南流乡</w:t>
            </w:r>
          </w:p>
        </w:tc>
        <w:tc>
          <w:tcPr>
            <w:tcW w:w="7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124791</w:t>
            </w:r>
          </w:p>
        </w:tc>
        <w:tc>
          <w:tcPr>
            <w:tcW w:w="7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63</w:t>
            </w:r>
          </w:p>
        </w:tc>
      </w:tr>
      <w:tr>
        <w:tblPrEx>
          <w:shd w:val="clear" w:color="auto" w:fill="auto"/>
          <w:tblCellMar>
            <w:top w:w="0" w:type="dxa"/>
            <w:left w:w="108" w:type="dxa"/>
            <w:bottom w:w="0" w:type="dxa"/>
            <w:right w:w="108" w:type="dxa"/>
          </w:tblCellMar>
        </w:tblPrEx>
        <w:trPr>
          <w:trHeight w:val="850" w:hRule="atLeast"/>
        </w:trPr>
        <w:tc>
          <w:tcPr>
            <w:tcW w:w="39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广拓公司</w:t>
            </w:r>
          </w:p>
        </w:tc>
        <w:tc>
          <w:tcPr>
            <w:tcW w:w="8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default"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974.2</w:t>
            </w:r>
            <w:r>
              <w:rPr>
                <w:rFonts w:hint="eastAsia" w:cs="仿宋"/>
                <w:i w:val="0"/>
                <w:iCs w:val="0"/>
                <w:color w:val="000000"/>
                <w:kern w:val="0"/>
                <w:sz w:val="24"/>
                <w:szCs w:val="24"/>
                <w:u w:val="none"/>
                <w:lang w:val="en-US" w:eastAsia="zh-CN" w:bidi="ar"/>
              </w:rPr>
              <w:t>0</w:t>
            </w:r>
          </w:p>
        </w:tc>
        <w:tc>
          <w:tcPr>
            <w:tcW w:w="1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郭庄镇、北苏镇、里城道乡、高头乡</w:t>
            </w:r>
          </w:p>
        </w:tc>
        <w:tc>
          <w:tcPr>
            <w:tcW w:w="7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159914</w:t>
            </w:r>
          </w:p>
        </w:tc>
        <w:tc>
          <w:tcPr>
            <w:tcW w:w="7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79</w:t>
            </w:r>
          </w:p>
        </w:tc>
      </w:tr>
      <w:tr>
        <w:tblPrEx>
          <w:tblCellMar>
            <w:top w:w="0" w:type="dxa"/>
            <w:left w:w="108" w:type="dxa"/>
            <w:bottom w:w="0" w:type="dxa"/>
            <w:right w:w="108" w:type="dxa"/>
          </w:tblCellMar>
        </w:tblPrEx>
        <w:trPr>
          <w:trHeight w:val="790" w:hRule="atLeast"/>
        </w:trPr>
        <w:tc>
          <w:tcPr>
            <w:tcW w:w="39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志程洁公司</w:t>
            </w:r>
          </w:p>
        </w:tc>
        <w:tc>
          <w:tcPr>
            <w:tcW w:w="8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889.33</w:t>
            </w:r>
          </w:p>
        </w:tc>
        <w:tc>
          <w:tcPr>
            <w:tcW w:w="1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张段固镇、东候坊乡、郝庄乡</w:t>
            </w:r>
          </w:p>
        </w:tc>
        <w:tc>
          <w:tcPr>
            <w:tcW w:w="7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145792</w:t>
            </w:r>
          </w:p>
        </w:tc>
        <w:tc>
          <w:tcPr>
            <w:tcW w:w="7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64</w:t>
            </w:r>
          </w:p>
        </w:tc>
      </w:tr>
      <w:tr>
        <w:tblPrEx>
          <w:shd w:val="clear" w:color="auto" w:fill="auto"/>
          <w:tblCellMar>
            <w:top w:w="0" w:type="dxa"/>
            <w:left w:w="108" w:type="dxa"/>
            <w:bottom w:w="0" w:type="dxa"/>
            <w:right w:w="108" w:type="dxa"/>
          </w:tblCellMar>
        </w:tblPrEx>
        <w:trPr>
          <w:trHeight w:val="340" w:hRule="atLeast"/>
        </w:trPr>
        <w:tc>
          <w:tcPr>
            <w:tcW w:w="124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合计</w:t>
            </w:r>
          </w:p>
        </w:tc>
        <w:tc>
          <w:tcPr>
            <w:tcW w:w="8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2624.51</w:t>
            </w:r>
          </w:p>
        </w:tc>
        <w:tc>
          <w:tcPr>
            <w:tcW w:w="13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center"/>
              <w:rPr>
                <w:rFonts w:hint="eastAsia" w:ascii="仿宋" w:hAnsi="仿宋" w:eastAsia="仿宋" w:cs="仿宋"/>
                <w:b/>
                <w:bCs/>
                <w:i w:val="0"/>
                <w:iCs w:val="0"/>
                <w:color w:val="000000"/>
                <w:sz w:val="24"/>
                <w:szCs w:val="24"/>
                <w:u w:val="none"/>
              </w:rPr>
            </w:pP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430497</w:t>
            </w:r>
          </w:p>
        </w:tc>
        <w:tc>
          <w:tcPr>
            <w:tcW w:w="7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206</w:t>
            </w:r>
          </w:p>
        </w:tc>
      </w:tr>
    </w:tbl>
    <w:p>
      <w:pPr>
        <w:bidi w:val="0"/>
        <w:ind w:left="0" w:leftChars="0" w:firstLine="0" w:firstLineChars="0"/>
        <w:rPr>
          <w:rFonts w:hint="eastAsia"/>
          <w:lang w:val="en-US" w:eastAsia="zh-CN"/>
        </w:rPr>
      </w:pPr>
    </w:p>
    <w:p>
      <w:pPr>
        <w:pStyle w:val="4"/>
        <w:bidi w:val="0"/>
      </w:pPr>
      <w:bookmarkStart w:id="17" w:name="_Toc28810"/>
      <w:bookmarkStart w:id="18" w:name="_Toc7391"/>
      <w:bookmarkStart w:id="19" w:name="_Toc13905"/>
      <w:bookmarkStart w:id="20" w:name="_Toc25693"/>
      <w:r>
        <w:rPr>
          <w:rFonts w:hint="eastAsia"/>
        </w:rPr>
        <w:t>（三）资金投入和使用情况</w:t>
      </w:r>
      <w:bookmarkEnd w:id="17"/>
      <w:bookmarkEnd w:id="18"/>
    </w:p>
    <w:p>
      <w:pPr>
        <w:spacing w:line="600" w:lineRule="exact"/>
        <w:ind w:firstLine="640" w:firstLineChars="200"/>
        <w:rPr>
          <w:rFonts w:ascii="仿宋" w:hAnsi="仿宋" w:eastAsia="仿宋" w:cs="仿宋_GB2312"/>
          <w:sz w:val="32"/>
          <w:szCs w:val="32"/>
          <w:highlight w:val="none"/>
        </w:rPr>
      </w:pPr>
      <w:bookmarkStart w:id="21" w:name="_Toc26740"/>
      <w:r>
        <w:rPr>
          <w:rFonts w:hint="eastAsia" w:ascii="仿宋" w:hAnsi="仿宋" w:eastAsia="仿宋" w:cs="仿宋_GB2312"/>
          <w:sz w:val="32"/>
          <w:szCs w:val="32"/>
          <w:highlight w:val="none"/>
        </w:rPr>
        <w:t>该项目共申请财政资金26</w:t>
      </w:r>
      <w:r>
        <w:rPr>
          <w:rFonts w:hint="eastAsia" w:cs="仿宋_GB2312"/>
          <w:sz w:val="32"/>
          <w:szCs w:val="32"/>
          <w:highlight w:val="none"/>
          <w:lang w:val="en-US" w:eastAsia="zh-CN"/>
        </w:rPr>
        <w:t>24.51</w:t>
      </w:r>
      <w:r>
        <w:rPr>
          <w:rFonts w:hint="eastAsia" w:ascii="仿宋" w:hAnsi="仿宋" w:eastAsia="仿宋" w:cs="仿宋_GB2312"/>
          <w:sz w:val="32"/>
          <w:szCs w:val="32"/>
          <w:highlight w:val="none"/>
        </w:rPr>
        <w:t>万元，</w:t>
      </w:r>
      <w:r>
        <w:rPr>
          <w:rFonts w:hint="eastAsia" w:cs="仿宋_GB2312"/>
          <w:sz w:val="32"/>
          <w:szCs w:val="32"/>
          <w:highlight w:val="none"/>
          <w:lang w:val="en-US" w:eastAsia="zh-CN"/>
        </w:rPr>
        <w:t>截止2021年9月30日，</w:t>
      </w:r>
      <w:r>
        <w:rPr>
          <w:rFonts w:hint="eastAsia" w:ascii="仿宋" w:hAnsi="仿宋" w:eastAsia="仿宋" w:cs="仿宋_GB2312"/>
          <w:sz w:val="32"/>
          <w:szCs w:val="32"/>
          <w:highlight w:val="none"/>
        </w:rPr>
        <w:t>资金投入共</w:t>
      </w:r>
      <w:r>
        <w:rPr>
          <w:rFonts w:hint="eastAsia" w:cs="仿宋_GB2312"/>
          <w:sz w:val="32"/>
          <w:szCs w:val="32"/>
          <w:highlight w:val="none"/>
          <w:lang w:val="en-US" w:eastAsia="zh-CN"/>
        </w:rPr>
        <w:t>2161.12</w:t>
      </w:r>
      <w:r>
        <w:rPr>
          <w:rFonts w:hint="eastAsia" w:ascii="仿宋" w:hAnsi="仿宋" w:eastAsia="仿宋" w:cs="仿宋_GB2312"/>
          <w:sz w:val="32"/>
          <w:szCs w:val="32"/>
          <w:highlight w:val="none"/>
        </w:rPr>
        <w:t>万元。</w:t>
      </w:r>
    </w:p>
    <w:p>
      <w:pPr>
        <w:bidi w:val="0"/>
      </w:pPr>
      <w:r>
        <w:rPr>
          <w:rFonts w:hint="eastAsia"/>
        </w:rPr>
        <w:t>2020年</w:t>
      </w:r>
      <w:r>
        <w:rPr>
          <w:rFonts w:hint="eastAsia"/>
          <w:lang w:val="en-US" w:eastAsia="zh-CN"/>
        </w:rPr>
        <w:t>共支出</w:t>
      </w:r>
      <w:r>
        <w:rPr>
          <w:rFonts w:hint="eastAsia"/>
        </w:rPr>
        <w:t>项目资金876</w:t>
      </w:r>
      <w:r>
        <w:rPr>
          <w:rFonts w:hint="eastAsia"/>
          <w:lang w:val="en-US" w:eastAsia="zh-CN"/>
        </w:rPr>
        <w:t>.</w:t>
      </w:r>
      <w:r>
        <w:rPr>
          <w:rFonts w:hint="eastAsia"/>
        </w:rPr>
        <w:t>92万元</w:t>
      </w:r>
      <w:r>
        <w:rPr>
          <w:rFonts w:hint="eastAsia"/>
          <w:lang w:eastAsia="zh-CN"/>
        </w:rPr>
        <w:t>，</w:t>
      </w:r>
      <w:r>
        <w:rPr>
          <w:rFonts w:hint="eastAsia"/>
        </w:rPr>
        <w:t>2021年</w:t>
      </w:r>
      <w:r>
        <w:rPr>
          <w:rFonts w:hint="eastAsia"/>
          <w:lang w:val="en-US" w:eastAsia="zh-CN"/>
        </w:rPr>
        <w:t>共支出</w:t>
      </w:r>
      <w:r>
        <w:rPr>
          <w:rFonts w:hint="eastAsia"/>
        </w:rPr>
        <w:t>项目资金1284</w:t>
      </w:r>
      <w:r>
        <w:rPr>
          <w:rFonts w:hint="eastAsia"/>
          <w:lang w:val="en-US" w:eastAsia="zh-CN"/>
        </w:rPr>
        <w:t>.20</w:t>
      </w:r>
      <w:r>
        <w:rPr>
          <w:rFonts w:hint="eastAsia"/>
        </w:rPr>
        <w:t>万元，</w:t>
      </w:r>
      <w:r>
        <w:rPr>
          <w:rFonts w:hint="eastAsia"/>
          <w:lang w:val="en-US" w:eastAsia="zh-CN"/>
        </w:rPr>
        <w:t>共支出</w:t>
      </w:r>
      <w:r>
        <w:rPr>
          <w:rFonts w:hint="eastAsia"/>
        </w:rPr>
        <w:t>2161.12</w:t>
      </w:r>
      <w:r>
        <w:rPr>
          <w:rFonts w:hint="eastAsia"/>
          <w:lang w:val="en-US" w:eastAsia="zh-CN"/>
        </w:rPr>
        <w:t>万元，合同</w:t>
      </w:r>
      <w:r>
        <w:rPr>
          <w:rFonts w:hint="eastAsia"/>
        </w:rPr>
        <w:t>资金支出率为82.34%。具体支出明细如下表：</w:t>
      </w:r>
    </w:p>
    <w:bookmarkEnd w:id="21"/>
    <w:p>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hint="eastAsia" w:ascii="仿宋" w:hAnsi="仿宋" w:eastAsia="仿宋" w:cs="仿宋"/>
          <w:b/>
          <w:bCs/>
          <w:kern w:val="0"/>
          <w:sz w:val="28"/>
          <w:szCs w:val="28"/>
          <w:lang w:val="en-US" w:eastAsia="zh-CN"/>
        </w:rPr>
      </w:pPr>
      <w:r>
        <w:rPr>
          <w:rFonts w:hint="eastAsia" w:ascii="仿宋" w:hAnsi="仿宋" w:eastAsia="仿宋" w:cs="仿宋"/>
          <w:b/>
          <w:bCs/>
          <w:kern w:val="0"/>
          <w:sz w:val="28"/>
          <w:szCs w:val="28"/>
          <w:lang w:val="en-US" w:eastAsia="zh-CN"/>
        </w:rPr>
        <w:t>项目资金支出情况表</w:t>
      </w:r>
    </w:p>
    <w:p>
      <w:pPr>
        <w:pStyle w:val="2"/>
        <w:keepNext/>
        <w:keepLines/>
        <w:pageBreakBefore w:val="0"/>
        <w:widowControl w:val="0"/>
        <w:kinsoku/>
        <w:wordWrap/>
        <w:overflowPunct/>
        <w:topLinePunct w:val="0"/>
        <w:autoSpaceDE/>
        <w:autoSpaceDN/>
        <w:bidi w:val="0"/>
        <w:adjustRightInd/>
        <w:snapToGrid/>
        <w:spacing w:before="0" w:after="0" w:line="400" w:lineRule="exact"/>
        <w:ind w:left="0" w:firstLine="0" w:firstLineChars="0"/>
        <w:jc w:val="right"/>
        <w:textAlignment w:val="auto"/>
        <w:rPr>
          <w:rFonts w:hint="default"/>
          <w:b w:val="0"/>
          <w:bCs w:val="0"/>
          <w:sz w:val="24"/>
          <w:szCs w:val="24"/>
          <w:lang w:val="en-US" w:eastAsia="zh-CN"/>
        </w:rPr>
      </w:pPr>
      <w:r>
        <w:rPr>
          <w:rFonts w:hint="eastAsia"/>
          <w:b w:val="0"/>
          <w:bCs w:val="0"/>
          <w:sz w:val="24"/>
          <w:szCs w:val="24"/>
          <w:lang w:val="en-US" w:eastAsia="zh-CN"/>
        </w:rPr>
        <w:t>单位：万元</w:t>
      </w:r>
    </w:p>
    <w:tbl>
      <w:tblPr>
        <w:tblStyle w:val="9"/>
        <w:tblW w:w="4997" w:type="pct"/>
        <w:tblInd w:w="0" w:type="dxa"/>
        <w:shd w:val="clear" w:color="auto" w:fill="auto"/>
        <w:tblLayout w:type="autofit"/>
        <w:tblCellMar>
          <w:top w:w="0" w:type="dxa"/>
          <w:left w:w="108" w:type="dxa"/>
          <w:bottom w:w="0" w:type="dxa"/>
          <w:right w:w="108" w:type="dxa"/>
        </w:tblCellMar>
      </w:tblPr>
      <w:tblGrid>
        <w:gridCol w:w="2308"/>
        <w:gridCol w:w="2222"/>
        <w:gridCol w:w="2279"/>
        <w:gridCol w:w="2246"/>
      </w:tblGrid>
      <w:tr>
        <w:tblPrEx>
          <w:shd w:val="clear" w:color="auto" w:fill="auto"/>
          <w:tblCellMar>
            <w:top w:w="0" w:type="dxa"/>
            <w:left w:w="108" w:type="dxa"/>
            <w:bottom w:w="0" w:type="dxa"/>
            <w:right w:w="108" w:type="dxa"/>
          </w:tblCellMar>
        </w:tblPrEx>
        <w:trPr>
          <w:trHeight w:val="425" w:hRule="atLeast"/>
        </w:trPr>
        <w:tc>
          <w:tcPr>
            <w:tcW w:w="12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公司名称</w:t>
            </w:r>
          </w:p>
        </w:tc>
        <w:tc>
          <w:tcPr>
            <w:tcW w:w="1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2020年支出资金</w:t>
            </w:r>
          </w:p>
        </w:tc>
        <w:tc>
          <w:tcPr>
            <w:tcW w:w="12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2021年支出资金</w:t>
            </w:r>
          </w:p>
        </w:tc>
        <w:tc>
          <w:tcPr>
            <w:tcW w:w="12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支出金额合计</w:t>
            </w:r>
          </w:p>
        </w:tc>
      </w:tr>
      <w:tr>
        <w:tblPrEx>
          <w:shd w:val="clear" w:color="auto" w:fill="auto"/>
          <w:tblCellMar>
            <w:top w:w="0" w:type="dxa"/>
            <w:left w:w="108" w:type="dxa"/>
            <w:bottom w:w="0" w:type="dxa"/>
            <w:right w:w="108" w:type="dxa"/>
          </w:tblCellMar>
        </w:tblPrEx>
        <w:trPr>
          <w:trHeight w:val="23" w:hRule="atLeast"/>
        </w:trPr>
        <w:tc>
          <w:tcPr>
            <w:tcW w:w="12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合骏公司</w:t>
            </w:r>
          </w:p>
        </w:tc>
        <w:tc>
          <w:tcPr>
            <w:tcW w:w="1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righ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250.90</w:t>
            </w:r>
          </w:p>
        </w:tc>
        <w:tc>
          <w:tcPr>
            <w:tcW w:w="12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righ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376.22</w:t>
            </w:r>
          </w:p>
        </w:tc>
        <w:tc>
          <w:tcPr>
            <w:tcW w:w="12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righ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627.1</w:t>
            </w:r>
            <w:r>
              <w:rPr>
                <w:rFonts w:hint="eastAsia" w:cs="仿宋"/>
                <w:i w:val="0"/>
                <w:iCs w:val="0"/>
                <w:color w:val="000000"/>
                <w:kern w:val="0"/>
                <w:sz w:val="24"/>
                <w:szCs w:val="24"/>
                <w:u w:val="none"/>
                <w:lang w:val="en-US" w:eastAsia="zh-CN" w:bidi="ar"/>
              </w:rPr>
              <w:t>2</w:t>
            </w:r>
          </w:p>
        </w:tc>
      </w:tr>
      <w:tr>
        <w:tblPrEx>
          <w:shd w:val="clear" w:color="auto" w:fill="auto"/>
          <w:tblCellMar>
            <w:top w:w="0" w:type="dxa"/>
            <w:left w:w="108" w:type="dxa"/>
            <w:bottom w:w="0" w:type="dxa"/>
            <w:right w:w="108" w:type="dxa"/>
          </w:tblCellMar>
        </w:tblPrEx>
        <w:trPr>
          <w:trHeight w:val="23" w:hRule="atLeast"/>
        </w:trPr>
        <w:tc>
          <w:tcPr>
            <w:tcW w:w="12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广拓公司</w:t>
            </w:r>
          </w:p>
        </w:tc>
        <w:tc>
          <w:tcPr>
            <w:tcW w:w="1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righ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314.35</w:t>
            </w:r>
          </w:p>
        </w:tc>
        <w:tc>
          <w:tcPr>
            <w:tcW w:w="12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righ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484.07</w:t>
            </w:r>
          </w:p>
        </w:tc>
        <w:tc>
          <w:tcPr>
            <w:tcW w:w="12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righ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798.42</w:t>
            </w:r>
          </w:p>
        </w:tc>
      </w:tr>
      <w:tr>
        <w:tblPrEx>
          <w:shd w:val="clear" w:color="auto" w:fill="auto"/>
          <w:tblCellMar>
            <w:top w:w="0" w:type="dxa"/>
            <w:left w:w="108" w:type="dxa"/>
            <w:bottom w:w="0" w:type="dxa"/>
            <w:right w:w="108" w:type="dxa"/>
          </w:tblCellMar>
        </w:tblPrEx>
        <w:trPr>
          <w:trHeight w:val="23" w:hRule="atLeast"/>
        </w:trPr>
        <w:tc>
          <w:tcPr>
            <w:tcW w:w="12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志程洁公司</w:t>
            </w:r>
          </w:p>
        </w:tc>
        <w:tc>
          <w:tcPr>
            <w:tcW w:w="1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righ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311.67</w:t>
            </w:r>
          </w:p>
        </w:tc>
        <w:tc>
          <w:tcPr>
            <w:tcW w:w="12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righ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423.91</w:t>
            </w:r>
          </w:p>
        </w:tc>
        <w:tc>
          <w:tcPr>
            <w:tcW w:w="12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righ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735.58</w:t>
            </w:r>
          </w:p>
        </w:tc>
      </w:tr>
      <w:tr>
        <w:tblPrEx>
          <w:shd w:val="clear" w:color="auto" w:fill="auto"/>
          <w:tblCellMar>
            <w:top w:w="0" w:type="dxa"/>
            <w:left w:w="108" w:type="dxa"/>
            <w:bottom w:w="0" w:type="dxa"/>
            <w:right w:w="108" w:type="dxa"/>
          </w:tblCellMar>
        </w:tblPrEx>
        <w:trPr>
          <w:trHeight w:val="23" w:hRule="atLeast"/>
        </w:trPr>
        <w:tc>
          <w:tcPr>
            <w:tcW w:w="12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合计</w:t>
            </w:r>
          </w:p>
        </w:tc>
        <w:tc>
          <w:tcPr>
            <w:tcW w:w="1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right"/>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876.9</w:t>
            </w:r>
            <w:r>
              <w:rPr>
                <w:rFonts w:hint="eastAsia" w:cs="仿宋"/>
                <w:b/>
                <w:bCs/>
                <w:i w:val="0"/>
                <w:iCs w:val="0"/>
                <w:color w:val="000000"/>
                <w:kern w:val="0"/>
                <w:sz w:val="24"/>
                <w:szCs w:val="24"/>
                <w:u w:val="none"/>
                <w:lang w:val="en-US" w:eastAsia="zh-CN" w:bidi="ar"/>
              </w:rPr>
              <w:t>2</w:t>
            </w:r>
          </w:p>
        </w:tc>
        <w:tc>
          <w:tcPr>
            <w:tcW w:w="12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right"/>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1284.20</w:t>
            </w:r>
          </w:p>
        </w:tc>
        <w:tc>
          <w:tcPr>
            <w:tcW w:w="12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right"/>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2161.12</w:t>
            </w:r>
          </w:p>
        </w:tc>
      </w:tr>
    </w:tbl>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lang w:val="en-US" w:eastAsia="zh-CN"/>
        </w:rPr>
      </w:pPr>
    </w:p>
    <w:bookmarkEnd w:id="14"/>
    <w:bookmarkEnd w:id="19"/>
    <w:bookmarkEnd w:id="20"/>
    <w:p>
      <w:pPr>
        <w:adjustRightInd w:val="0"/>
        <w:snapToGrid w:val="0"/>
        <w:spacing w:line="600" w:lineRule="exact"/>
        <w:ind w:firstLine="640" w:firstLineChars="200"/>
        <w:outlineLvl w:val="0"/>
        <w:rPr>
          <w:rFonts w:ascii="黑体" w:eastAsia="黑体"/>
          <w:sz w:val="32"/>
          <w:szCs w:val="32"/>
        </w:rPr>
      </w:pPr>
      <w:bookmarkStart w:id="22" w:name="_Toc10357"/>
      <w:bookmarkStart w:id="23" w:name="_Toc7637"/>
      <w:bookmarkStart w:id="24" w:name="_Toc30114"/>
      <w:r>
        <w:rPr>
          <w:rFonts w:hint="eastAsia" w:ascii="黑体" w:eastAsia="黑体"/>
          <w:sz w:val="32"/>
          <w:szCs w:val="32"/>
        </w:rPr>
        <w:t>二、绩效</w:t>
      </w:r>
      <w:bookmarkEnd w:id="22"/>
      <w:r>
        <w:rPr>
          <w:rFonts w:hint="eastAsia" w:ascii="黑体" w:eastAsia="黑体"/>
          <w:sz w:val="32"/>
          <w:szCs w:val="32"/>
        </w:rPr>
        <w:t>工作组织实施</w:t>
      </w:r>
      <w:bookmarkEnd w:id="23"/>
      <w:bookmarkEnd w:id="24"/>
    </w:p>
    <w:p>
      <w:pPr>
        <w:adjustRightInd w:val="0"/>
        <w:snapToGrid w:val="0"/>
        <w:spacing w:line="600" w:lineRule="exact"/>
        <w:ind w:firstLine="640" w:firstLineChars="200"/>
        <w:outlineLvl w:val="1"/>
        <w:rPr>
          <w:rFonts w:ascii="楷体_GB2312" w:hAnsi="楷体_GB2312" w:eastAsia="楷体_GB2312" w:cs="楷体_GB2312"/>
          <w:sz w:val="32"/>
          <w:szCs w:val="32"/>
        </w:rPr>
      </w:pPr>
      <w:bookmarkStart w:id="25" w:name="_Toc4298"/>
      <w:bookmarkStart w:id="26" w:name="_Toc14108"/>
      <w:bookmarkStart w:id="27" w:name="_Toc21428"/>
      <w:r>
        <w:rPr>
          <w:rFonts w:hint="eastAsia" w:ascii="楷体_GB2312" w:hAnsi="楷体_GB2312" w:eastAsia="楷体_GB2312" w:cs="楷体_GB2312"/>
          <w:sz w:val="32"/>
          <w:szCs w:val="32"/>
        </w:rPr>
        <w:t>（一）评价</w:t>
      </w:r>
      <w:r>
        <w:rPr>
          <w:rFonts w:ascii="楷体_GB2312" w:hAnsi="楷体_GB2312" w:eastAsia="楷体_GB2312" w:cs="楷体_GB2312"/>
          <w:sz w:val="32"/>
          <w:szCs w:val="32"/>
        </w:rPr>
        <w:t>目的</w:t>
      </w:r>
      <w:bookmarkEnd w:id="25"/>
      <w:bookmarkEnd w:id="26"/>
      <w:bookmarkEnd w:id="27"/>
    </w:p>
    <w:p>
      <w:pPr>
        <w:bidi w:val="0"/>
      </w:pPr>
      <w:r>
        <w:rPr>
          <w:rFonts w:hint="eastAsia"/>
          <w:b/>
          <w:bCs/>
        </w:rPr>
        <w:t>一是</w:t>
      </w:r>
      <w:r>
        <w:rPr>
          <w:rFonts w:hint="eastAsia"/>
        </w:rPr>
        <w:t>加强预算绩效管理，强化支出责任，提高财政资金使用效益；</w:t>
      </w:r>
      <w:r>
        <w:rPr>
          <w:rFonts w:hint="eastAsia"/>
          <w:b/>
          <w:bCs/>
        </w:rPr>
        <w:t>二是</w:t>
      </w:r>
      <w:r>
        <w:rPr>
          <w:rFonts w:hint="eastAsia"/>
        </w:rPr>
        <w:t>进一步总结和分析财政资金支出效果，了解、分析、检验资金使用是否达到预期目标，资金管理是否规范，资金使用是否有效，考核财政支出效率和综合效果；</w:t>
      </w:r>
      <w:r>
        <w:rPr>
          <w:rFonts w:hint="eastAsia"/>
          <w:b/>
          <w:bCs/>
        </w:rPr>
        <w:t>三是</w:t>
      </w:r>
      <w:r>
        <w:rPr>
          <w:rFonts w:hint="eastAsia"/>
        </w:rPr>
        <w:t>通过绩效评价，促进项目单位发现问题、总结经验、改进工作，进一步加强项目管理，提高预算绩效质量水平；</w:t>
      </w:r>
      <w:r>
        <w:rPr>
          <w:rFonts w:hint="eastAsia"/>
          <w:b/>
          <w:bCs/>
        </w:rPr>
        <w:t>四是</w:t>
      </w:r>
      <w:r>
        <w:rPr>
          <w:rFonts w:hint="eastAsia"/>
        </w:rPr>
        <w:t>为今后财政部门相关项目的资金拨付提供参考依据。</w:t>
      </w:r>
    </w:p>
    <w:p>
      <w:pPr>
        <w:pStyle w:val="4"/>
        <w:bidi w:val="0"/>
      </w:pPr>
      <w:bookmarkStart w:id="28" w:name="_Toc18095"/>
      <w:bookmarkStart w:id="29" w:name="_Toc16731"/>
      <w:bookmarkStart w:id="30" w:name="_Toc12864"/>
      <w:r>
        <w:rPr>
          <w:rFonts w:hint="eastAsia"/>
        </w:rPr>
        <w:t>（二）</w:t>
      </w:r>
      <w:bookmarkEnd w:id="28"/>
      <w:r>
        <w:rPr>
          <w:rFonts w:hint="eastAsia"/>
        </w:rPr>
        <w:t>评价工作组织实施情况</w:t>
      </w:r>
      <w:bookmarkEnd w:id="29"/>
      <w:bookmarkEnd w:id="30"/>
    </w:p>
    <w:p>
      <w:pPr>
        <w:bidi w:val="0"/>
      </w:pPr>
      <w:r>
        <w:rPr>
          <w:rFonts w:hint="eastAsia"/>
        </w:rPr>
        <w:t>根据财政资金绩效评价的基本要求和规定，结合项目特点，制定详细的工作实施方案，设计指标体系，确定了评价方法、工作流程、工作进度安排等内容。</w:t>
      </w:r>
    </w:p>
    <w:p>
      <w:pPr>
        <w:bidi w:val="0"/>
        <w:rPr>
          <w:rFonts w:ascii="仿宋" w:hAnsi="仿宋" w:eastAsia="仿宋" w:cs="Times New Roman"/>
          <w:szCs w:val="32"/>
          <w:highlight w:val="green"/>
        </w:rPr>
      </w:pPr>
      <w:r>
        <w:rPr>
          <w:rFonts w:hint="eastAsia"/>
        </w:rPr>
        <w:t>本次</w:t>
      </w:r>
      <w:r>
        <w:t>绩效评价采用</w:t>
      </w:r>
      <w:r>
        <w:rPr>
          <w:rFonts w:hint="eastAsia"/>
        </w:rPr>
        <w:t>因素分析法、数据采集法、逻辑分析法、公众评判法，对</w:t>
      </w:r>
      <w:r>
        <w:t>预期目标进行定性和定量分析，</w:t>
      </w:r>
      <w:r>
        <w:rPr>
          <w:rFonts w:hint="eastAsia"/>
        </w:rPr>
        <w:t>并对</w:t>
      </w:r>
      <w:r>
        <w:t>支出效益和效果进行考核</w:t>
      </w:r>
      <w:r>
        <w:rPr>
          <w:rFonts w:hint="eastAsia"/>
        </w:rPr>
        <w:t>。具体过程</w:t>
      </w:r>
      <w:r>
        <w:t>如下</w:t>
      </w:r>
      <w:r>
        <w:rPr>
          <w:rFonts w:hint="eastAsia"/>
        </w:rPr>
        <w:t>：</w:t>
      </w:r>
      <w:r>
        <w:rPr>
          <w:rFonts w:hint="eastAsia"/>
          <w:b/>
          <w:bCs/>
        </w:rPr>
        <w:t>一是</w:t>
      </w:r>
      <w:r>
        <w:rPr>
          <w:rFonts w:hint="eastAsia"/>
        </w:rPr>
        <w:t>对项目的基本情况、人员支撑材料及</w:t>
      </w:r>
      <w:r>
        <w:t>重点核实原始账页，支出凭证</w:t>
      </w:r>
      <w:r>
        <w:rPr>
          <w:rFonts w:hint="eastAsia"/>
        </w:rPr>
        <w:t>，了解项目资金到位、资金管理使用情况及组织管理水平；</w:t>
      </w:r>
      <w:r>
        <w:rPr>
          <w:rFonts w:hint="eastAsia"/>
          <w:b/>
          <w:bCs/>
        </w:rPr>
        <w:t>二是</w:t>
      </w:r>
      <w:r>
        <w:rPr>
          <w:rFonts w:hint="eastAsia"/>
        </w:rPr>
        <w:t>延伸至中标单位，查阅合骏环境科技（河北）有限公司、河北广拓环境工程有限公司、志程洁环保科技集团有限公司3家无极分公司的运营成本，计算利润率；</w:t>
      </w:r>
      <w:r>
        <w:rPr>
          <w:rFonts w:hint="eastAsia"/>
          <w:b/>
          <w:bCs/>
        </w:rPr>
        <w:t>三是</w:t>
      </w:r>
      <w:r>
        <w:rPr>
          <w:rFonts w:hint="eastAsia"/>
        </w:rPr>
        <w:t>对获取的资料进行整理、分类和分析，评价组成员反复商讨确定统一衡量标准，统计定量指标，对定性指标做出经验判断，并运用相应的评价方法对绩效情况进行综合性评价。</w:t>
      </w:r>
      <w:r>
        <w:rPr>
          <w:rFonts w:hint="eastAsia" w:ascii="仿宋" w:hAnsi="仿宋" w:eastAsia="仿宋" w:cs="Times New Roman"/>
          <w:szCs w:val="32"/>
          <w:highlight w:val="none"/>
        </w:rPr>
        <w:t>召开评价组会议，组织讨论，</w:t>
      </w:r>
      <w:r>
        <w:rPr>
          <w:rFonts w:hint="eastAsia" w:cs="Times New Roman"/>
          <w:szCs w:val="32"/>
          <w:highlight w:val="none"/>
          <w:lang w:val="en-US" w:eastAsia="zh-CN"/>
        </w:rPr>
        <w:t>根据</w:t>
      </w:r>
      <w:r>
        <w:rPr>
          <w:rFonts w:hint="eastAsia" w:ascii="仿宋" w:hAnsi="仿宋" w:eastAsia="仿宋" w:cs="Times New Roman"/>
          <w:szCs w:val="32"/>
          <w:highlight w:val="none"/>
          <w:lang w:eastAsia="zh-CN"/>
        </w:rPr>
        <w:t>评分表</w:t>
      </w:r>
      <w:r>
        <w:rPr>
          <w:rFonts w:hint="eastAsia" w:cs="Times New Roman"/>
          <w:szCs w:val="32"/>
          <w:highlight w:val="none"/>
          <w:lang w:val="en-US" w:eastAsia="zh-CN"/>
        </w:rPr>
        <w:t>评分，</w:t>
      </w:r>
      <w:r>
        <w:rPr>
          <w:rFonts w:hint="eastAsia" w:ascii="仿宋" w:hAnsi="仿宋" w:eastAsia="仿宋" w:cs="Times New Roman"/>
          <w:szCs w:val="32"/>
          <w:highlight w:val="none"/>
        </w:rPr>
        <w:t>提出存在问题、建议和意见，撰写评价报告。</w:t>
      </w:r>
    </w:p>
    <w:p>
      <w:pPr>
        <w:pStyle w:val="4"/>
        <w:bidi w:val="0"/>
      </w:pPr>
      <w:bookmarkStart w:id="31" w:name="_Toc11418"/>
      <w:bookmarkStart w:id="32" w:name="_Toc24063"/>
      <w:bookmarkStart w:id="33" w:name="_Toc6955"/>
      <w:r>
        <w:rPr>
          <w:rFonts w:hint="eastAsia"/>
        </w:rPr>
        <w:t>（三）评价指标体系</w:t>
      </w:r>
      <w:bookmarkEnd w:id="31"/>
      <w:bookmarkEnd w:id="32"/>
    </w:p>
    <w:p>
      <w:pPr>
        <w:bidi w:val="0"/>
      </w:pPr>
      <w:r>
        <w:rPr>
          <w:rFonts w:hint="eastAsia"/>
        </w:rPr>
        <w:t>依据《项目支出绩效评价管理办法》（财预〔2020〕10号）、《石家庄市市级预算绩效重点评价管理办法》的通知（石财绩〔2020〕6号）进行指标细化和分值设定。本绩效指标评价总分设定为100分。一级指标共设4个，包括项目决策20分、项目过程20分、项目产出40分、项目效益20分，各项一级指标结合实际情况进行二级、三级指标设定。</w:t>
      </w:r>
    </w:p>
    <w:p>
      <w:pPr>
        <w:bidi w:val="0"/>
      </w:pPr>
      <w:r>
        <w:rPr>
          <w:rFonts w:hint="eastAsia"/>
        </w:rPr>
        <w:t>综合评价分为四个等级，得分≥85分为优秀，75分≤得分＜85分为良好，60分≤得分＜75分为一般，得分＜60分为差。</w:t>
      </w:r>
    </w:p>
    <w:p>
      <w:pPr>
        <w:pStyle w:val="3"/>
        <w:bidi w:val="0"/>
      </w:pPr>
      <w:bookmarkStart w:id="34" w:name="_Toc8124"/>
      <w:bookmarkStart w:id="35" w:name="_Toc30761"/>
      <w:r>
        <w:rPr>
          <w:rFonts w:hint="eastAsia"/>
        </w:rPr>
        <w:t>三、评价</w:t>
      </w:r>
      <w:bookmarkEnd w:id="33"/>
      <w:r>
        <w:rPr>
          <w:rFonts w:hint="eastAsia"/>
        </w:rPr>
        <w:t>指标分析</w:t>
      </w:r>
      <w:bookmarkEnd w:id="34"/>
      <w:bookmarkEnd w:id="35"/>
    </w:p>
    <w:p>
      <w:pPr>
        <w:pStyle w:val="4"/>
        <w:bidi w:val="0"/>
      </w:pPr>
      <w:bookmarkStart w:id="36" w:name="_Toc11224"/>
      <w:bookmarkStart w:id="37" w:name="_Toc31286"/>
      <w:bookmarkStart w:id="38" w:name="_Toc51419124"/>
      <w:r>
        <w:rPr>
          <w:rFonts w:hint="eastAsia"/>
        </w:rPr>
        <w:t>（一）项目决策</w:t>
      </w:r>
      <w:bookmarkEnd w:id="36"/>
      <w:bookmarkEnd w:id="37"/>
      <w:bookmarkEnd w:id="38"/>
    </w:p>
    <w:p>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hint="eastAsia" w:ascii="仿宋" w:hAnsi="仿宋" w:eastAsia="仿宋" w:cs="仿宋"/>
          <w:b/>
          <w:bCs/>
          <w:kern w:val="0"/>
          <w:sz w:val="28"/>
          <w:szCs w:val="28"/>
          <w:lang w:val="en-US" w:eastAsia="zh-CN"/>
        </w:rPr>
      </w:pPr>
      <w:r>
        <w:rPr>
          <w:rFonts w:hint="eastAsia" w:ascii="仿宋" w:hAnsi="仿宋" w:eastAsia="仿宋" w:cs="仿宋"/>
          <w:b/>
          <w:bCs/>
          <w:kern w:val="0"/>
          <w:sz w:val="28"/>
          <w:szCs w:val="28"/>
          <w:lang w:val="en-US" w:eastAsia="zh-CN"/>
        </w:rPr>
        <w:t>项目决策绩效得分情况表</w:t>
      </w:r>
    </w:p>
    <w:tbl>
      <w:tblPr>
        <w:tblStyle w:val="9"/>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03"/>
        <w:gridCol w:w="1726"/>
        <w:gridCol w:w="4411"/>
        <w:gridCol w:w="13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85" w:type="pct"/>
            <w:shd w:val="clear" w:color="auto" w:fill="BEBEB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bCs/>
                <w:sz w:val="24"/>
                <w:lang w:val="en-US" w:eastAsia="zh-CN"/>
              </w:rPr>
            </w:pPr>
            <w:r>
              <w:rPr>
                <w:rFonts w:hint="eastAsia" w:cs="仿宋"/>
                <w:b/>
                <w:bCs/>
                <w:sz w:val="24"/>
                <w:lang w:val="en-US" w:eastAsia="zh-CN"/>
              </w:rPr>
              <w:t>一级指标</w:t>
            </w:r>
          </w:p>
        </w:tc>
        <w:tc>
          <w:tcPr>
            <w:tcW w:w="953" w:type="pct"/>
            <w:shd w:val="clear" w:color="auto" w:fill="BEBEB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bCs/>
                <w:sz w:val="24"/>
                <w:lang w:val="en-US" w:eastAsia="zh-CN"/>
              </w:rPr>
            </w:pPr>
            <w:r>
              <w:rPr>
                <w:rFonts w:hint="eastAsia" w:cs="仿宋"/>
                <w:b/>
                <w:bCs/>
                <w:sz w:val="24"/>
                <w:lang w:val="en-US" w:eastAsia="zh-CN"/>
              </w:rPr>
              <w:t>二级指标</w:t>
            </w:r>
          </w:p>
        </w:tc>
        <w:tc>
          <w:tcPr>
            <w:tcW w:w="2435" w:type="pct"/>
            <w:shd w:val="clear" w:color="auto" w:fill="BEBEB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bCs/>
                <w:sz w:val="24"/>
                <w:lang w:val="en-US" w:eastAsia="zh-CN"/>
              </w:rPr>
            </w:pPr>
            <w:r>
              <w:rPr>
                <w:rFonts w:hint="eastAsia" w:cs="仿宋"/>
                <w:b/>
                <w:bCs/>
                <w:sz w:val="24"/>
                <w:lang w:val="en-US" w:eastAsia="zh-CN"/>
              </w:rPr>
              <w:t>三级指标</w:t>
            </w:r>
          </w:p>
        </w:tc>
        <w:tc>
          <w:tcPr>
            <w:tcW w:w="726" w:type="pct"/>
            <w:shd w:val="clear" w:color="auto" w:fill="BEBEB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bCs/>
                <w:sz w:val="24"/>
                <w:lang w:val="en-US" w:eastAsia="zh-CN"/>
              </w:rPr>
            </w:pPr>
            <w:r>
              <w:rPr>
                <w:rFonts w:hint="eastAsia" w:cs="仿宋"/>
                <w:b/>
                <w:bCs/>
                <w:sz w:val="24"/>
                <w:lang w:val="en-US" w:eastAsia="zh-CN"/>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85" w:type="pct"/>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lang w:val="en-US" w:eastAsia="zh-CN"/>
              </w:rPr>
            </w:pPr>
            <w:r>
              <w:rPr>
                <w:rFonts w:hint="eastAsia" w:cs="仿宋"/>
                <w:b w:val="0"/>
                <w:bCs w:val="0"/>
                <w:sz w:val="24"/>
                <w:lang w:val="en-US" w:eastAsia="zh-CN"/>
              </w:rPr>
              <w:t>决策（20分）</w:t>
            </w:r>
          </w:p>
        </w:tc>
        <w:tc>
          <w:tcPr>
            <w:tcW w:w="953"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lang w:val="en-US" w:eastAsia="zh-CN"/>
              </w:rPr>
            </w:pPr>
            <w:r>
              <w:rPr>
                <w:rFonts w:hint="eastAsia" w:cs="仿宋"/>
                <w:b w:val="0"/>
                <w:bCs w:val="0"/>
                <w:sz w:val="24"/>
                <w:lang w:val="en-US" w:eastAsia="zh-CN"/>
              </w:rPr>
              <w:t>项目立项</w:t>
            </w:r>
          </w:p>
        </w:tc>
        <w:tc>
          <w:tcPr>
            <w:tcW w:w="2435"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lang w:val="en-US" w:eastAsia="zh-CN"/>
              </w:rPr>
            </w:pPr>
            <w:r>
              <w:rPr>
                <w:rFonts w:hint="eastAsia" w:cs="仿宋"/>
                <w:b w:val="0"/>
                <w:bCs w:val="0"/>
                <w:sz w:val="24"/>
                <w:lang w:val="en-US" w:eastAsia="zh-CN"/>
              </w:rPr>
              <w:t>立项依据充分性（6分）</w:t>
            </w:r>
          </w:p>
        </w:tc>
        <w:tc>
          <w:tcPr>
            <w:tcW w:w="726"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highlight w:val="none"/>
                <w:lang w:val="en-US" w:eastAsia="zh-CN"/>
              </w:rPr>
            </w:pPr>
            <w:r>
              <w:rPr>
                <w:rFonts w:hint="eastAsia" w:cs="仿宋"/>
                <w:b w:val="0"/>
                <w:bCs w:val="0"/>
                <w:sz w:val="24"/>
                <w:highlight w:val="none"/>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85" w:type="pct"/>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lang w:val="en-US" w:eastAsia="zh-CN"/>
              </w:rPr>
            </w:pPr>
          </w:p>
        </w:tc>
        <w:tc>
          <w:tcPr>
            <w:tcW w:w="953"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lang w:val="en-US" w:eastAsia="zh-CN"/>
              </w:rPr>
            </w:pPr>
            <w:r>
              <w:rPr>
                <w:rFonts w:hint="eastAsia" w:cs="仿宋"/>
                <w:b w:val="0"/>
                <w:bCs w:val="0"/>
                <w:sz w:val="24"/>
                <w:lang w:val="en-US" w:eastAsia="zh-CN"/>
              </w:rPr>
              <w:t>资金投入</w:t>
            </w:r>
          </w:p>
        </w:tc>
        <w:tc>
          <w:tcPr>
            <w:tcW w:w="2435"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lang w:val="en-US" w:eastAsia="zh-CN"/>
              </w:rPr>
            </w:pPr>
            <w:r>
              <w:rPr>
                <w:rFonts w:hint="eastAsia" w:cs="仿宋"/>
                <w:b w:val="0"/>
                <w:bCs w:val="0"/>
                <w:sz w:val="24"/>
                <w:lang w:val="en-US" w:eastAsia="zh-CN"/>
              </w:rPr>
              <w:t>资金分配合理性（6分）</w:t>
            </w:r>
          </w:p>
        </w:tc>
        <w:tc>
          <w:tcPr>
            <w:tcW w:w="726"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highlight w:val="none"/>
                <w:lang w:val="en-US" w:eastAsia="zh-CN"/>
              </w:rPr>
            </w:pPr>
            <w:r>
              <w:rPr>
                <w:rFonts w:hint="eastAsia" w:cs="仿宋"/>
                <w:b w:val="0"/>
                <w:bCs w:val="0"/>
                <w:sz w:val="24"/>
                <w:highlight w:val="no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85" w:type="pct"/>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lang w:val="en-US" w:eastAsia="zh-CN"/>
              </w:rPr>
            </w:pPr>
          </w:p>
        </w:tc>
        <w:tc>
          <w:tcPr>
            <w:tcW w:w="953" w:type="pct"/>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lang w:val="en-US" w:eastAsia="zh-CN"/>
              </w:rPr>
            </w:pPr>
            <w:r>
              <w:rPr>
                <w:rFonts w:hint="eastAsia" w:cs="仿宋"/>
                <w:b w:val="0"/>
                <w:bCs w:val="0"/>
                <w:sz w:val="24"/>
                <w:lang w:val="en-US" w:eastAsia="zh-CN"/>
              </w:rPr>
              <w:t>绩效目标</w:t>
            </w:r>
          </w:p>
        </w:tc>
        <w:tc>
          <w:tcPr>
            <w:tcW w:w="2435"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lang w:val="en-US" w:eastAsia="zh-CN"/>
              </w:rPr>
            </w:pPr>
            <w:r>
              <w:rPr>
                <w:rFonts w:hint="eastAsia" w:cs="仿宋"/>
                <w:b w:val="0"/>
                <w:bCs w:val="0"/>
                <w:sz w:val="24"/>
                <w:lang w:val="en-US" w:eastAsia="zh-CN"/>
              </w:rPr>
              <w:t>绩效目标合理性（2分）</w:t>
            </w:r>
          </w:p>
        </w:tc>
        <w:tc>
          <w:tcPr>
            <w:tcW w:w="726"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lang w:val="en-US" w:eastAsia="zh-CN"/>
              </w:rPr>
            </w:pPr>
            <w:r>
              <w:rPr>
                <w:rFonts w:hint="eastAsia" w:cs="仿宋"/>
                <w:b w:val="0"/>
                <w:bCs w:val="0"/>
                <w:sz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85" w:type="pct"/>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lang w:val="en-US" w:eastAsia="zh-CN"/>
              </w:rPr>
            </w:pPr>
          </w:p>
        </w:tc>
        <w:tc>
          <w:tcPr>
            <w:tcW w:w="953" w:type="pct"/>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lang w:val="en-US" w:eastAsia="zh-CN"/>
              </w:rPr>
            </w:pPr>
          </w:p>
        </w:tc>
        <w:tc>
          <w:tcPr>
            <w:tcW w:w="2435"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lang w:val="en-US" w:eastAsia="zh-CN"/>
              </w:rPr>
            </w:pPr>
            <w:r>
              <w:rPr>
                <w:rFonts w:hint="eastAsia" w:cs="仿宋"/>
                <w:b w:val="0"/>
                <w:bCs w:val="0"/>
                <w:sz w:val="24"/>
                <w:lang w:val="en-US" w:eastAsia="zh-CN"/>
              </w:rPr>
              <w:t>绩效目标明确性（6分）</w:t>
            </w:r>
          </w:p>
        </w:tc>
        <w:tc>
          <w:tcPr>
            <w:tcW w:w="726"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lang w:val="en-US" w:eastAsia="zh-CN"/>
              </w:rPr>
            </w:pPr>
            <w:r>
              <w:rPr>
                <w:rFonts w:hint="eastAsia" w:cs="仿宋"/>
                <w:b w:val="0"/>
                <w:bCs w:val="0"/>
                <w:sz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4273" w:type="pct"/>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bCs/>
                <w:sz w:val="24"/>
                <w:lang w:val="en-US" w:eastAsia="zh-CN"/>
              </w:rPr>
            </w:pPr>
            <w:r>
              <w:rPr>
                <w:rFonts w:hint="eastAsia" w:cs="仿宋"/>
                <w:b/>
                <w:bCs/>
                <w:sz w:val="24"/>
                <w:lang w:val="en-US" w:eastAsia="zh-CN"/>
              </w:rPr>
              <w:t>合计</w:t>
            </w:r>
          </w:p>
        </w:tc>
        <w:tc>
          <w:tcPr>
            <w:tcW w:w="726"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bCs/>
                <w:sz w:val="24"/>
                <w:lang w:val="en-US" w:eastAsia="zh-CN"/>
              </w:rPr>
            </w:pPr>
            <w:r>
              <w:rPr>
                <w:rFonts w:hint="eastAsia" w:cs="仿宋"/>
                <w:b/>
                <w:bCs/>
                <w:sz w:val="24"/>
                <w:lang w:val="en-US" w:eastAsia="zh-CN"/>
              </w:rPr>
              <w:t>15</w:t>
            </w:r>
          </w:p>
        </w:tc>
      </w:tr>
    </w:tbl>
    <w:p>
      <w:pPr>
        <w:pStyle w:val="5"/>
        <w:bidi w:val="0"/>
        <w:rPr>
          <w:rFonts w:hint="eastAsia"/>
        </w:rPr>
      </w:pPr>
      <w:r>
        <w:rPr>
          <w:rFonts w:hint="eastAsia"/>
          <w:lang w:val="en-US" w:eastAsia="zh-CN"/>
        </w:rPr>
        <w:t>1</w:t>
      </w:r>
      <w:r>
        <w:rPr>
          <w:rFonts w:hint="eastAsia"/>
        </w:rPr>
        <w:t>.</w:t>
      </w:r>
      <w:r>
        <w:rPr>
          <w:rFonts w:hint="eastAsia"/>
          <w:lang w:val="en-US" w:eastAsia="zh-CN"/>
        </w:rPr>
        <w:t>项目立项</w:t>
      </w:r>
      <w:r>
        <w:rPr>
          <w:rFonts w:hint="eastAsia"/>
        </w:rPr>
        <w:t>指标（满分6分，评价得分</w:t>
      </w:r>
      <w:r>
        <w:rPr>
          <w:rFonts w:hint="eastAsia"/>
          <w:lang w:val="en-US" w:eastAsia="zh-CN"/>
        </w:rPr>
        <w:t>6</w:t>
      </w:r>
      <w:r>
        <w:rPr>
          <w:rFonts w:hint="eastAsia"/>
        </w:rPr>
        <w:t>分）</w:t>
      </w:r>
    </w:p>
    <w:p>
      <w:pPr>
        <w:pStyle w:val="11"/>
        <w:spacing w:line="600" w:lineRule="exact"/>
        <w:ind w:firstLine="640"/>
        <w:rPr>
          <w:rFonts w:ascii="仿宋" w:hAnsi="仿宋" w:eastAsia="仿宋" w:cs="仿宋_GB2312"/>
          <w:sz w:val="32"/>
          <w:szCs w:val="32"/>
          <w:highlight w:val="none"/>
        </w:rPr>
      </w:pPr>
      <w:r>
        <w:rPr>
          <w:rFonts w:hint="eastAsia" w:ascii="仿宋" w:hAnsi="仿宋" w:eastAsia="仿宋" w:cs="仿宋_GB2312"/>
          <w:sz w:val="32"/>
          <w:szCs w:val="32"/>
          <w:highlight w:val="none"/>
        </w:rPr>
        <w:t>2019年1月14日，无极县人民政府关于印发《无极县城乡垃圾治理推进工作领导小组成员单位职责分工》的通知，明确了城管局负责牵头指导和推进城乡垃圾治理各项工作</w:t>
      </w:r>
      <w:r>
        <w:rPr>
          <w:rFonts w:hint="eastAsia" w:cs="仿宋_GB2312"/>
          <w:sz w:val="32"/>
          <w:szCs w:val="32"/>
          <w:highlight w:val="none"/>
          <w:lang w:eastAsia="zh-CN"/>
        </w:rPr>
        <w:t>。</w:t>
      </w:r>
      <w:r>
        <w:rPr>
          <w:rFonts w:hint="eastAsia" w:cs="仿宋_GB2312"/>
          <w:sz w:val="32"/>
          <w:szCs w:val="32"/>
          <w:highlight w:val="none"/>
          <w:lang w:val="en-US" w:eastAsia="zh-CN"/>
        </w:rPr>
        <w:t>2019年2月26日，无极县人民政府印发《关于建立全县城乡垃圾治理一体化长效管理机制的实施意见》</w:t>
      </w:r>
      <w:r>
        <w:rPr>
          <w:rFonts w:hint="eastAsia" w:ascii="仿宋" w:hAnsi="仿宋" w:eastAsia="仿宋" w:cs="仿宋_GB2312"/>
          <w:sz w:val="32"/>
          <w:szCs w:val="32"/>
          <w:highlight w:val="none"/>
        </w:rPr>
        <w:t>。2019年3月13日，城管局向无极县人民政府《关于农村环卫保洁购买服务》的请示经副市长审阅并通过中共无极县委常委扩大会议审议通过。该</w:t>
      </w:r>
      <w:r>
        <w:rPr>
          <w:rFonts w:hint="eastAsia" w:cs="仿宋_GB2312"/>
          <w:sz w:val="32"/>
          <w:szCs w:val="32"/>
          <w:highlight w:val="none"/>
          <w:lang w:val="en-US" w:eastAsia="zh-CN"/>
        </w:rPr>
        <w:t>项目可促进人居环境明显改善，有效巩固美丽乡村建设成果，有利于营造整洁、有序、美丽新形象。该项目</w:t>
      </w:r>
      <w:r>
        <w:rPr>
          <w:rFonts w:hint="eastAsia" w:ascii="仿宋" w:hAnsi="仿宋" w:eastAsia="仿宋" w:cs="仿宋_GB2312"/>
          <w:sz w:val="32"/>
          <w:szCs w:val="32"/>
          <w:highlight w:val="none"/>
        </w:rPr>
        <w:t>符合行业发展规划和政策要求，与部门职责范围相符,属于部门履职所需，属于公共财政支持范围,符合中央、地方事权支出责任划分原则。</w:t>
      </w:r>
    </w:p>
    <w:p>
      <w:pPr>
        <w:pStyle w:val="11"/>
        <w:spacing w:line="600" w:lineRule="exact"/>
        <w:ind w:firstLine="640"/>
        <w:rPr>
          <w:rFonts w:ascii="仿宋" w:hAnsi="仿宋" w:eastAsia="仿宋" w:cs="仿宋_GB2312"/>
          <w:sz w:val="32"/>
          <w:szCs w:val="32"/>
        </w:rPr>
      </w:pPr>
      <w:r>
        <w:rPr>
          <w:rFonts w:hint="eastAsia" w:ascii="仿宋" w:hAnsi="仿宋" w:eastAsia="仿宋" w:cs="仿宋_GB2312"/>
          <w:sz w:val="32"/>
          <w:szCs w:val="32"/>
        </w:rPr>
        <w:t>经评价，该项指标得分6分。</w:t>
      </w:r>
    </w:p>
    <w:p>
      <w:pPr>
        <w:pStyle w:val="5"/>
        <w:bidi w:val="0"/>
      </w:pPr>
      <w:r>
        <w:rPr>
          <w:rFonts w:hint="eastAsia"/>
        </w:rPr>
        <w:t>2.资金投入指标（满分6分，评价得分3分）</w:t>
      </w:r>
    </w:p>
    <w:p>
      <w:pPr>
        <w:pStyle w:val="11"/>
        <w:spacing w:line="600" w:lineRule="exact"/>
        <w:ind w:firstLine="640"/>
        <w:rPr>
          <w:rFonts w:ascii="仿宋" w:hAnsi="仿宋" w:eastAsia="仿宋" w:cs="仿宋_GB2312"/>
          <w:sz w:val="32"/>
          <w:szCs w:val="32"/>
        </w:rPr>
      </w:pPr>
      <w:r>
        <w:rPr>
          <w:rFonts w:hint="eastAsia" w:ascii="仿宋" w:hAnsi="仿宋" w:eastAsia="仿宋" w:cs="仿宋_GB2312"/>
          <w:sz w:val="32"/>
          <w:szCs w:val="32"/>
        </w:rPr>
        <w:t>该项目采购计划备案表预算</w:t>
      </w:r>
      <w:r>
        <w:rPr>
          <w:rFonts w:hint="eastAsia" w:cs="仿宋_GB2312"/>
          <w:sz w:val="32"/>
          <w:szCs w:val="32"/>
          <w:lang w:val="en-US" w:eastAsia="zh-CN"/>
        </w:rPr>
        <w:t>申请</w:t>
      </w:r>
      <w:r>
        <w:rPr>
          <w:rFonts w:hint="eastAsia" w:ascii="仿宋" w:hAnsi="仿宋" w:eastAsia="仿宋" w:cs="仿宋_GB2312"/>
          <w:sz w:val="32"/>
          <w:szCs w:val="32"/>
        </w:rPr>
        <w:t>金额为2627.02万元，城管局通过咨询其他县市，并结合实际，建议招标价格定为：农村环卫61元/人/年。测算资金为：</w:t>
      </w:r>
      <w:r>
        <w:rPr>
          <w:rFonts w:ascii="仿宋" w:hAnsi="仿宋" w:eastAsia="仿宋" w:cs="仿宋_GB2312"/>
          <w:sz w:val="32"/>
          <w:szCs w:val="32"/>
        </w:rPr>
        <w:t>61.02</w:t>
      </w:r>
      <w:r>
        <w:rPr>
          <w:rFonts w:hint="eastAsia" w:ascii="仿宋" w:hAnsi="仿宋" w:eastAsia="仿宋" w:cs="仿宋_GB2312"/>
          <w:sz w:val="32"/>
          <w:szCs w:val="32"/>
        </w:rPr>
        <w:t>*430497（人口数）≈2627万元/年。</w:t>
      </w:r>
    </w:p>
    <w:p>
      <w:pPr>
        <w:pStyle w:val="11"/>
        <w:spacing w:line="600" w:lineRule="exact"/>
        <w:ind w:firstLine="640"/>
        <w:rPr>
          <w:rFonts w:hint="eastAsia" w:ascii="仿宋" w:hAnsi="仿宋" w:eastAsia="仿宋" w:cs="仿宋_GB2312"/>
          <w:sz w:val="32"/>
          <w:szCs w:val="32"/>
          <w:lang w:eastAsia="zh-CN"/>
        </w:rPr>
      </w:pPr>
      <w:r>
        <w:rPr>
          <w:rFonts w:hint="eastAsia" w:ascii="仿宋" w:hAnsi="仿宋" w:eastAsia="仿宋" w:cs="仿宋_GB2312"/>
          <w:sz w:val="32"/>
          <w:szCs w:val="32"/>
        </w:rPr>
        <w:t>该计算方式：</w:t>
      </w:r>
      <w:r>
        <w:rPr>
          <w:rFonts w:hint="eastAsia" w:cs="仿宋_GB2312"/>
          <w:sz w:val="32"/>
          <w:szCs w:val="32"/>
          <w:lang w:eastAsia="zh-CN"/>
        </w:rPr>
        <w:t>（</w:t>
      </w:r>
      <w:r>
        <w:rPr>
          <w:rFonts w:hint="eastAsia" w:cs="仿宋_GB2312"/>
          <w:sz w:val="32"/>
          <w:szCs w:val="32"/>
          <w:lang w:val="en-US" w:eastAsia="zh-CN"/>
        </w:rPr>
        <w:t>1</w:t>
      </w:r>
      <w:r>
        <w:rPr>
          <w:rFonts w:hint="eastAsia" w:cs="仿宋_GB2312"/>
          <w:sz w:val="32"/>
          <w:szCs w:val="32"/>
          <w:lang w:eastAsia="zh-CN"/>
        </w:rPr>
        <w:t>）</w:t>
      </w:r>
      <w:r>
        <w:rPr>
          <w:rFonts w:hint="eastAsia" w:ascii="仿宋" w:hAnsi="仿宋" w:eastAsia="仿宋" w:cs="仿宋_GB2312"/>
          <w:sz w:val="32"/>
          <w:szCs w:val="32"/>
        </w:rPr>
        <w:t>“人口数”为变量，在实际签订合同时，又对人口数重新进行了摸排统计；</w:t>
      </w:r>
      <w:r>
        <w:rPr>
          <w:rFonts w:hint="eastAsia" w:cs="仿宋_GB2312"/>
          <w:sz w:val="32"/>
          <w:szCs w:val="32"/>
          <w:lang w:eastAsia="zh-CN"/>
        </w:rPr>
        <w:t>（</w:t>
      </w:r>
      <w:r>
        <w:rPr>
          <w:rFonts w:hint="eastAsia" w:cs="仿宋_GB2312"/>
          <w:sz w:val="32"/>
          <w:szCs w:val="32"/>
          <w:lang w:val="en-US" w:eastAsia="zh-CN"/>
        </w:rPr>
        <w:t>2</w:t>
      </w:r>
      <w:r>
        <w:rPr>
          <w:rFonts w:hint="eastAsia" w:cs="仿宋_GB2312"/>
          <w:sz w:val="32"/>
          <w:szCs w:val="32"/>
          <w:lang w:eastAsia="zh-CN"/>
        </w:rPr>
        <w:t>）</w:t>
      </w:r>
      <w:r>
        <w:rPr>
          <w:rFonts w:hint="eastAsia" w:ascii="仿宋" w:hAnsi="仿宋" w:eastAsia="仿宋" w:cs="仿宋_GB2312"/>
          <w:sz w:val="32"/>
          <w:szCs w:val="32"/>
        </w:rPr>
        <w:t>61.02元/人/年的标准没有正式的批文；</w:t>
      </w:r>
      <w:r>
        <w:rPr>
          <w:rFonts w:hint="eastAsia" w:cs="仿宋_GB2312"/>
          <w:sz w:val="32"/>
          <w:szCs w:val="32"/>
          <w:lang w:eastAsia="zh-CN"/>
        </w:rPr>
        <w:t>（</w:t>
      </w:r>
      <w:r>
        <w:rPr>
          <w:rFonts w:hint="eastAsia" w:cs="仿宋_GB2312"/>
          <w:sz w:val="32"/>
          <w:szCs w:val="32"/>
          <w:lang w:val="en-US" w:eastAsia="zh-CN"/>
        </w:rPr>
        <w:t>3</w:t>
      </w:r>
      <w:r>
        <w:rPr>
          <w:rFonts w:hint="eastAsia" w:cs="仿宋_GB2312"/>
          <w:sz w:val="32"/>
          <w:szCs w:val="32"/>
          <w:lang w:eastAsia="zh-CN"/>
        </w:rPr>
        <w:t>）</w:t>
      </w:r>
      <w:r>
        <w:rPr>
          <w:rFonts w:hint="eastAsia" w:ascii="仿宋" w:hAnsi="仿宋" w:eastAsia="仿宋" w:cs="仿宋_GB2312"/>
          <w:sz w:val="32"/>
          <w:szCs w:val="32"/>
        </w:rPr>
        <w:t>从现实考虑，按照我国农村现状，常住人口与农村户口人数往往存在差异；</w:t>
      </w:r>
      <w:r>
        <w:rPr>
          <w:rFonts w:hint="eastAsia" w:cs="仿宋_GB2312"/>
          <w:sz w:val="32"/>
          <w:szCs w:val="32"/>
          <w:lang w:eastAsia="zh-CN"/>
        </w:rPr>
        <w:t>（</w:t>
      </w:r>
      <w:r>
        <w:rPr>
          <w:rFonts w:hint="eastAsia" w:cs="仿宋_GB2312"/>
          <w:sz w:val="32"/>
          <w:szCs w:val="32"/>
          <w:lang w:val="en-US" w:eastAsia="zh-CN"/>
        </w:rPr>
        <w:t>4</w:t>
      </w:r>
      <w:r>
        <w:rPr>
          <w:rFonts w:hint="eastAsia" w:cs="仿宋_GB2312"/>
          <w:sz w:val="32"/>
          <w:szCs w:val="32"/>
          <w:lang w:eastAsia="zh-CN"/>
        </w:rPr>
        <w:t>）</w:t>
      </w:r>
      <w:r>
        <w:rPr>
          <w:rFonts w:hint="eastAsia" w:ascii="仿宋" w:hAnsi="仿宋" w:eastAsia="仿宋" w:cs="仿宋_GB2312"/>
          <w:sz w:val="32"/>
          <w:szCs w:val="32"/>
        </w:rPr>
        <w:t>不同人群对垃圾的“生产量”也不同。对于该</w:t>
      </w:r>
      <w:r>
        <w:rPr>
          <w:rFonts w:hint="eastAsia" w:cs="仿宋_GB2312"/>
          <w:sz w:val="32"/>
          <w:szCs w:val="32"/>
          <w:lang w:val="en-US" w:eastAsia="zh-CN"/>
        </w:rPr>
        <w:t>项目</w:t>
      </w:r>
      <w:r>
        <w:rPr>
          <w:rFonts w:hint="eastAsia" w:ascii="仿宋" w:hAnsi="仿宋" w:eastAsia="仿宋" w:cs="仿宋_GB2312"/>
          <w:sz w:val="32"/>
          <w:szCs w:val="32"/>
        </w:rPr>
        <w:t>招标以人口数为基数的计算</w:t>
      </w:r>
      <w:r>
        <w:rPr>
          <w:rFonts w:hint="eastAsia" w:cs="仿宋_GB2312"/>
          <w:sz w:val="32"/>
          <w:szCs w:val="32"/>
          <w:lang w:val="en-US" w:eastAsia="zh-CN"/>
        </w:rPr>
        <w:t>费用标准的</w:t>
      </w:r>
      <w:r>
        <w:rPr>
          <w:rFonts w:hint="eastAsia" w:ascii="仿宋" w:hAnsi="仿宋" w:eastAsia="仿宋" w:cs="仿宋_GB2312"/>
          <w:sz w:val="32"/>
          <w:szCs w:val="32"/>
        </w:rPr>
        <w:t>方式依据不充分，不科学。资金分配额度</w:t>
      </w:r>
      <w:r>
        <w:rPr>
          <w:rFonts w:hint="eastAsia" w:cs="仿宋_GB2312"/>
          <w:sz w:val="32"/>
          <w:szCs w:val="32"/>
          <w:lang w:val="en-US" w:eastAsia="zh-CN"/>
        </w:rPr>
        <w:t>较</w:t>
      </w:r>
      <w:r>
        <w:rPr>
          <w:rFonts w:hint="eastAsia" w:ascii="仿宋" w:hAnsi="仿宋" w:eastAsia="仿宋" w:cs="仿宋_GB2312"/>
          <w:sz w:val="32"/>
          <w:szCs w:val="32"/>
        </w:rPr>
        <w:t>合理,与项目单位或地方实际相适应</w:t>
      </w:r>
      <w:r>
        <w:rPr>
          <w:rFonts w:hint="eastAsia" w:cs="仿宋_GB2312"/>
          <w:sz w:val="32"/>
          <w:szCs w:val="32"/>
          <w:lang w:eastAsia="zh-CN"/>
        </w:rPr>
        <w:t>。</w:t>
      </w:r>
    </w:p>
    <w:p>
      <w:pPr>
        <w:pStyle w:val="11"/>
        <w:spacing w:line="600" w:lineRule="exact"/>
        <w:ind w:firstLine="640"/>
        <w:rPr>
          <w:rFonts w:ascii="仿宋" w:hAnsi="仿宋" w:eastAsia="仿宋" w:cs="仿宋_GB2312"/>
          <w:sz w:val="32"/>
          <w:szCs w:val="32"/>
        </w:rPr>
      </w:pPr>
      <w:r>
        <w:rPr>
          <w:rFonts w:hint="eastAsia" w:ascii="仿宋" w:hAnsi="仿宋" w:eastAsia="仿宋" w:cs="仿宋_GB2312"/>
          <w:sz w:val="32"/>
          <w:szCs w:val="32"/>
        </w:rPr>
        <w:t>经评价，该项指标得分3分。</w:t>
      </w:r>
    </w:p>
    <w:p>
      <w:pPr>
        <w:pStyle w:val="5"/>
        <w:bidi w:val="0"/>
      </w:pPr>
      <w:r>
        <w:rPr>
          <w:rFonts w:hint="eastAsia"/>
        </w:rPr>
        <w:t>3.绩效目标指标（满分8分，评价得分</w:t>
      </w:r>
      <w:r>
        <w:rPr>
          <w:rFonts w:hint="eastAsia"/>
          <w:lang w:val="en-US" w:eastAsia="zh-CN"/>
        </w:rPr>
        <w:t>6</w:t>
      </w:r>
      <w:r>
        <w:rPr>
          <w:rFonts w:hint="eastAsia"/>
        </w:rPr>
        <w:t>分）</w:t>
      </w:r>
    </w:p>
    <w:p>
      <w:pPr>
        <w:bidi w:val="0"/>
        <w:rPr>
          <w:rFonts w:hint="eastAsia"/>
          <w:lang w:eastAsia="zh-CN"/>
        </w:rPr>
      </w:pPr>
      <w:r>
        <w:rPr>
          <w:rFonts w:hint="eastAsia"/>
          <w:lang w:eastAsia="zh-CN"/>
        </w:rPr>
        <w:t>（</w:t>
      </w:r>
      <w:r>
        <w:rPr>
          <w:rFonts w:hint="eastAsia"/>
          <w:lang w:val="en-US" w:eastAsia="zh-CN"/>
        </w:rPr>
        <w:t>1</w:t>
      </w:r>
      <w:r>
        <w:rPr>
          <w:rFonts w:hint="eastAsia"/>
          <w:lang w:eastAsia="zh-CN"/>
        </w:rPr>
        <w:t>）绩效目标合理性</w:t>
      </w:r>
      <w:r>
        <w:rPr>
          <w:rFonts w:hint="eastAsia"/>
        </w:rPr>
        <w:t>（满分</w:t>
      </w:r>
      <w:r>
        <w:rPr>
          <w:rFonts w:hint="eastAsia"/>
          <w:lang w:val="en-US" w:eastAsia="zh-CN"/>
        </w:rPr>
        <w:t>2</w:t>
      </w:r>
      <w:r>
        <w:rPr>
          <w:rFonts w:hint="eastAsia"/>
        </w:rPr>
        <w:t>分，评价得分</w:t>
      </w:r>
      <w:r>
        <w:rPr>
          <w:rFonts w:hint="eastAsia"/>
          <w:lang w:val="en-US" w:eastAsia="zh-CN"/>
        </w:rPr>
        <w:t>2</w:t>
      </w:r>
      <w:r>
        <w:rPr>
          <w:rFonts w:hint="eastAsia"/>
        </w:rPr>
        <w:t>分）</w:t>
      </w:r>
    </w:p>
    <w:p>
      <w:pPr>
        <w:bidi w:val="0"/>
        <w:rPr>
          <w:rFonts w:hint="eastAsia"/>
        </w:rPr>
      </w:pPr>
      <w:r>
        <w:rPr>
          <w:rFonts w:hint="eastAsia"/>
        </w:rPr>
        <w:t>项目总体目标：完成全区域保洁，包括各辖区内乡间道路、农村周边、所有街巷的生活垃圾清运保洁；通过提高设备配备、改善经营模式有效提高垃圾清运能力。绩效目标与实际工作内容具有相关性，预期产出效益和效果符合正常的业绩水平。</w:t>
      </w:r>
    </w:p>
    <w:p>
      <w:pPr>
        <w:bidi w:val="0"/>
        <w:rPr>
          <w:rFonts w:hint="eastAsia"/>
          <w:lang w:eastAsia="zh-CN"/>
        </w:rPr>
      </w:pPr>
      <w:r>
        <w:rPr>
          <w:rFonts w:hint="eastAsia"/>
        </w:rPr>
        <w:t>经评价，该项指标得分</w:t>
      </w:r>
      <w:r>
        <w:rPr>
          <w:rFonts w:hint="eastAsia"/>
          <w:lang w:val="en-US" w:eastAsia="zh-CN"/>
        </w:rPr>
        <w:t>2</w:t>
      </w:r>
      <w:r>
        <w:rPr>
          <w:rFonts w:hint="eastAsia"/>
        </w:rPr>
        <w:t>分。</w:t>
      </w:r>
    </w:p>
    <w:p>
      <w:pPr>
        <w:bidi w:val="0"/>
        <w:rPr>
          <w:rFonts w:hint="eastAsia"/>
        </w:rPr>
      </w:pPr>
      <w:r>
        <w:rPr>
          <w:rFonts w:hint="eastAsia"/>
          <w:lang w:eastAsia="zh-CN"/>
        </w:rPr>
        <w:t>（</w:t>
      </w:r>
      <w:r>
        <w:rPr>
          <w:rFonts w:hint="eastAsia"/>
          <w:lang w:val="en-US" w:eastAsia="zh-CN"/>
        </w:rPr>
        <w:t>2</w:t>
      </w:r>
      <w:r>
        <w:rPr>
          <w:rFonts w:hint="eastAsia"/>
          <w:lang w:eastAsia="zh-CN"/>
        </w:rPr>
        <w:t>）</w:t>
      </w:r>
      <w:r>
        <w:rPr>
          <w:rFonts w:hint="eastAsia"/>
        </w:rPr>
        <w:t>绩效目标明确性（满分</w:t>
      </w:r>
      <w:r>
        <w:rPr>
          <w:rFonts w:hint="eastAsia"/>
          <w:lang w:val="en-US" w:eastAsia="zh-CN"/>
        </w:rPr>
        <w:t>6</w:t>
      </w:r>
      <w:r>
        <w:rPr>
          <w:rFonts w:hint="eastAsia"/>
        </w:rPr>
        <w:t>分，评价得分</w:t>
      </w:r>
      <w:r>
        <w:rPr>
          <w:rFonts w:hint="eastAsia"/>
          <w:lang w:val="en-US" w:eastAsia="zh-CN"/>
        </w:rPr>
        <w:t>4</w:t>
      </w:r>
      <w:r>
        <w:rPr>
          <w:rFonts w:hint="eastAsia"/>
        </w:rPr>
        <w:t>分）</w:t>
      </w:r>
    </w:p>
    <w:p>
      <w:pPr>
        <w:bidi w:val="0"/>
      </w:pPr>
      <w:r>
        <w:rPr>
          <w:rFonts w:hint="eastAsia"/>
        </w:rPr>
        <w:t>城管局编制的</w:t>
      </w:r>
      <w:r>
        <w:rPr>
          <w:rFonts w:hint="eastAsia"/>
          <w:lang w:val="en-US" w:eastAsia="zh-CN"/>
        </w:rPr>
        <w:t>预算项目绩效信息表</w:t>
      </w:r>
      <w:r>
        <w:rPr>
          <w:rFonts w:hint="eastAsia"/>
        </w:rPr>
        <w:t>，</w:t>
      </w:r>
      <w:r>
        <w:rPr>
          <w:rFonts w:hint="eastAsia"/>
          <w:lang w:val="en-US" w:eastAsia="zh-CN"/>
        </w:rPr>
        <w:t>一级产出指标下的数量指标“村庄覆盖”与质量指标“按天处理当天产生的生活垃圾量”均未设定明确的指标值；已设定效益指标如“打造宜居的人居环境”不便于量化考核</w:t>
      </w:r>
      <w:r>
        <w:rPr>
          <w:rFonts w:hint="eastAsia"/>
          <w:lang w:eastAsia="zh-CN"/>
        </w:rPr>
        <w:t>，</w:t>
      </w:r>
      <w:r>
        <w:rPr>
          <w:rFonts w:hint="eastAsia"/>
        </w:rPr>
        <w:t>扣2分。</w:t>
      </w:r>
    </w:p>
    <w:p>
      <w:pPr>
        <w:bidi w:val="0"/>
      </w:pPr>
      <w:r>
        <w:rPr>
          <w:rFonts w:hint="eastAsia"/>
        </w:rPr>
        <w:t>经评价，该项指标得分</w:t>
      </w:r>
      <w:r>
        <w:rPr>
          <w:rFonts w:hint="eastAsia"/>
          <w:lang w:val="en-US" w:eastAsia="zh-CN"/>
        </w:rPr>
        <w:t>4</w:t>
      </w:r>
      <w:r>
        <w:rPr>
          <w:rFonts w:hint="eastAsia"/>
        </w:rPr>
        <w:t>分。</w:t>
      </w:r>
    </w:p>
    <w:p>
      <w:pPr>
        <w:pStyle w:val="4"/>
        <w:bidi w:val="0"/>
      </w:pPr>
      <w:bookmarkStart w:id="39" w:name="_Toc15142"/>
      <w:bookmarkStart w:id="40" w:name="_Toc6050"/>
      <w:r>
        <w:rPr>
          <w:rFonts w:hint="eastAsia"/>
        </w:rPr>
        <w:t>（二）过程指标</w:t>
      </w:r>
      <w:bookmarkEnd w:id="39"/>
      <w:bookmarkEnd w:id="40"/>
    </w:p>
    <w:p>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hint="eastAsia" w:ascii="仿宋" w:hAnsi="仿宋" w:eastAsia="仿宋" w:cs="仿宋"/>
          <w:b/>
          <w:bCs/>
          <w:kern w:val="0"/>
          <w:sz w:val="28"/>
          <w:szCs w:val="28"/>
          <w:lang w:val="en-US" w:eastAsia="zh-CN"/>
        </w:rPr>
      </w:pPr>
      <w:r>
        <w:rPr>
          <w:rFonts w:hint="eastAsia" w:ascii="仿宋" w:hAnsi="仿宋" w:eastAsia="仿宋" w:cs="仿宋"/>
          <w:b/>
          <w:bCs/>
          <w:kern w:val="0"/>
          <w:sz w:val="28"/>
          <w:szCs w:val="28"/>
          <w:lang w:val="en-US" w:eastAsia="zh-CN"/>
        </w:rPr>
        <w:t>项目过程绩效得分情况表</w:t>
      </w:r>
    </w:p>
    <w:tbl>
      <w:tblPr>
        <w:tblStyle w:val="9"/>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87"/>
        <w:gridCol w:w="2175"/>
        <w:gridCol w:w="4112"/>
        <w:gridCol w:w="11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876" w:type="pct"/>
            <w:shd w:val="clear" w:color="auto" w:fill="BEBEB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bCs/>
                <w:sz w:val="24"/>
                <w:lang w:val="en-US" w:eastAsia="zh-CN"/>
              </w:rPr>
            </w:pPr>
            <w:r>
              <w:rPr>
                <w:rFonts w:hint="eastAsia" w:cs="仿宋"/>
                <w:b/>
                <w:bCs/>
                <w:sz w:val="24"/>
                <w:lang w:val="en-US" w:eastAsia="zh-CN"/>
              </w:rPr>
              <w:t>一级指标</w:t>
            </w:r>
          </w:p>
        </w:tc>
        <w:tc>
          <w:tcPr>
            <w:tcW w:w="1201" w:type="pct"/>
            <w:shd w:val="clear" w:color="auto" w:fill="BEBEB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bCs/>
                <w:sz w:val="24"/>
                <w:lang w:val="en-US" w:eastAsia="zh-CN"/>
              </w:rPr>
            </w:pPr>
            <w:r>
              <w:rPr>
                <w:rFonts w:hint="eastAsia" w:cs="仿宋"/>
                <w:b/>
                <w:bCs/>
                <w:sz w:val="24"/>
                <w:lang w:val="en-US" w:eastAsia="zh-CN"/>
              </w:rPr>
              <w:t>二级指标</w:t>
            </w:r>
          </w:p>
        </w:tc>
        <w:tc>
          <w:tcPr>
            <w:tcW w:w="2270" w:type="pct"/>
            <w:shd w:val="clear" w:color="auto" w:fill="BEBEB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bCs/>
                <w:sz w:val="24"/>
                <w:lang w:val="en-US" w:eastAsia="zh-CN"/>
              </w:rPr>
            </w:pPr>
            <w:r>
              <w:rPr>
                <w:rFonts w:hint="eastAsia" w:cs="仿宋"/>
                <w:b/>
                <w:bCs/>
                <w:sz w:val="24"/>
                <w:lang w:val="en-US" w:eastAsia="zh-CN"/>
              </w:rPr>
              <w:t>三级指标</w:t>
            </w:r>
          </w:p>
        </w:tc>
        <w:tc>
          <w:tcPr>
            <w:tcW w:w="652" w:type="pct"/>
            <w:shd w:val="clear" w:color="auto" w:fill="BEBEB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bCs/>
                <w:sz w:val="24"/>
                <w:lang w:val="en-US" w:eastAsia="zh-CN"/>
              </w:rPr>
            </w:pPr>
            <w:r>
              <w:rPr>
                <w:rFonts w:hint="eastAsia" w:cs="仿宋"/>
                <w:b/>
                <w:bCs/>
                <w:sz w:val="24"/>
                <w:lang w:val="en-US" w:eastAsia="zh-CN"/>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876" w:type="pct"/>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lang w:val="en-US" w:eastAsia="zh-CN"/>
              </w:rPr>
            </w:pPr>
            <w:r>
              <w:rPr>
                <w:rFonts w:hint="eastAsia" w:cs="仿宋"/>
                <w:b w:val="0"/>
                <w:bCs w:val="0"/>
                <w:sz w:val="24"/>
                <w:lang w:val="en-US" w:eastAsia="zh-CN"/>
              </w:rPr>
              <w:t>过程（20分）</w:t>
            </w:r>
          </w:p>
        </w:tc>
        <w:tc>
          <w:tcPr>
            <w:tcW w:w="1201" w:type="pct"/>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color w:val="auto"/>
                <w:sz w:val="24"/>
                <w:highlight w:val="none"/>
                <w:lang w:val="en-US" w:eastAsia="zh-CN"/>
              </w:rPr>
            </w:pPr>
            <w:r>
              <w:rPr>
                <w:rFonts w:hint="eastAsia" w:cs="仿宋"/>
                <w:b w:val="0"/>
                <w:bCs w:val="0"/>
                <w:color w:val="auto"/>
                <w:sz w:val="24"/>
                <w:highlight w:val="none"/>
                <w:lang w:val="en-US" w:eastAsia="zh-CN"/>
              </w:rPr>
              <w:t>资金管理</w:t>
            </w:r>
          </w:p>
        </w:tc>
        <w:tc>
          <w:tcPr>
            <w:tcW w:w="2270"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color w:val="auto"/>
                <w:sz w:val="24"/>
                <w:highlight w:val="none"/>
                <w:lang w:val="en-US" w:eastAsia="zh-CN"/>
              </w:rPr>
            </w:pPr>
            <w:r>
              <w:rPr>
                <w:rFonts w:hint="eastAsia" w:cs="仿宋"/>
                <w:b w:val="0"/>
                <w:bCs w:val="0"/>
                <w:color w:val="auto"/>
                <w:sz w:val="24"/>
                <w:highlight w:val="none"/>
                <w:lang w:val="en-US" w:eastAsia="zh-CN"/>
              </w:rPr>
              <w:t>预算执行率（6分）</w:t>
            </w:r>
          </w:p>
        </w:tc>
        <w:tc>
          <w:tcPr>
            <w:tcW w:w="652"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default" w:cs="仿宋"/>
                <w:b w:val="0"/>
                <w:bCs w:val="0"/>
                <w:color w:val="auto"/>
                <w:sz w:val="24"/>
                <w:highlight w:val="none"/>
                <w:lang w:val="en-US" w:eastAsia="zh-CN"/>
              </w:rPr>
            </w:pPr>
            <w:r>
              <w:rPr>
                <w:rFonts w:hint="eastAsia" w:cs="仿宋"/>
                <w:b w:val="0"/>
                <w:bCs w:val="0"/>
                <w:color w:val="auto"/>
                <w:sz w:val="24"/>
                <w:highlight w:val="none"/>
                <w:lang w:val="en-US" w:eastAsia="zh-CN"/>
              </w:rPr>
              <w:t>4.94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876" w:type="pct"/>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lang w:val="en-US" w:eastAsia="zh-CN"/>
              </w:rPr>
            </w:pPr>
          </w:p>
        </w:tc>
        <w:tc>
          <w:tcPr>
            <w:tcW w:w="1201" w:type="pct"/>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color w:val="auto"/>
                <w:sz w:val="24"/>
                <w:lang w:val="en-US" w:eastAsia="zh-CN"/>
              </w:rPr>
            </w:pPr>
          </w:p>
        </w:tc>
        <w:tc>
          <w:tcPr>
            <w:tcW w:w="2270"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color w:val="auto"/>
                <w:sz w:val="24"/>
                <w:lang w:val="en-US" w:eastAsia="zh-CN"/>
              </w:rPr>
            </w:pPr>
            <w:r>
              <w:rPr>
                <w:rFonts w:hint="eastAsia" w:cs="仿宋"/>
                <w:b w:val="0"/>
                <w:bCs w:val="0"/>
                <w:color w:val="auto"/>
                <w:sz w:val="24"/>
                <w:lang w:val="en-US" w:eastAsia="zh-CN"/>
              </w:rPr>
              <w:t>资金使用合规性（6分）</w:t>
            </w:r>
          </w:p>
        </w:tc>
        <w:tc>
          <w:tcPr>
            <w:tcW w:w="652"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color w:val="auto"/>
                <w:sz w:val="24"/>
                <w:lang w:val="en-US" w:eastAsia="zh-CN"/>
              </w:rPr>
            </w:pPr>
            <w:r>
              <w:rPr>
                <w:rFonts w:hint="eastAsia" w:cs="仿宋"/>
                <w:b w:val="0"/>
                <w:bCs w:val="0"/>
                <w:color w:val="auto"/>
                <w:sz w:val="24"/>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876" w:type="pct"/>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lang w:val="en-US" w:eastAsia="zh-CN"/>
              </w:rPr>
            </w:pPr>
          </w:p>
        </w:tc>
        <w:tc>
          <w:tcPr>
            <w:tcW w:w="1201"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color w:val="auto"/>
                <w:sz w:val="24"/>
                <w:lang w:val="en-US" w:eastAsia="zh-CN"/>
              </w:rPr>
            </w:pPr>
            <w:r>
              <w:rPr>
                <w:rFonts w:hint="eastAsia" w:cs="仿宋"/>
                <w:b w:val="0"/>
                <w:bCs w:val="0"/>
                <w:color w:val="auto"/>
                <w:sz w:val="24"/>
                <w:lang w:val="en-US" w:eastAsia="zh-CN"/>
              </w:rPr>
              <w:t>组织实施</w:t>
            </w:r>
          </w:p>
        </w:tc>
        <w:tc>
          <w:tcPr>
            <w:tcW w:w="2270"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color w:val="auto"/>
                <w:sz w:val="24"/>
                <w:lang w:val="en-US" w:eastAsia="zh-CN"/>
              </w:rPr>
            </w:pPr>
            <w:r>
              <w:rPr>
                <w:rFonts w:hint="eastAsia" w:cs="仿宋"/>
                <w:b w:val="0"/>
                <w:bCs w:val="0"/>
                <w:color w:val="auto"/>
                <w:sz w:val="24"/>
                <w:lang w:val="en-US" w:eastAsia="zh-CN"/>
              </w:rPr>
              <w:t>组织机构健全性（8分）</w:t>
            </w:r>
          </w:p>
        </w:tc>
        <w:tc>
          <w:tcPr>
            <w:tcW w:w="652"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color w:val="auto"/>
                <w:sz w:val="24"/>
                <w:lang w:val="en-US" w:eastAsia="zh-CN"/>
              </w:rPr>
            </w:pPr>
            <w:r>
              <w:rPr>
                <w:rFonts w:hint="eastAsia" w:cs="仿宋"/>
                <w:b w:val="0"/>
                <w:bCs w:val="0"/>
                <w:color w:val="auto"/>
                <w:sz w:val="24"/>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4347" w:type="pct"/>
            <w:gridSpan w:val="3"/>
            <w:vAlign w:val="center"/>
          </w:tcPr>
          <w:p>
            <w:pPr>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color w:val="auto"/>
                <w:kern w:val="0"/>
                <w:sz w:val="24"/>
                <w:szCs w:val="24"/>
                <w:highlight w:val="none"/>
                <w:lang w:bidi="ar"/>
              </w:rPr>
            </w:pPr>
            <w:r>
              <w:rPr>
                <w:rFonts w:hint="eastAsia" w:ascii="仿宋" w:hAnsi="仿宋" w:eastAsia="仿宋" w:cs="仿宋"/>
                <w:b/>
                <w:bCs/>
                <w:color w:val="auto"/>
                <w:sz w:val="24"/>
                <w:szCs w:val="24"/>
                <w:highlight w:val="none"/>
              </w:rPr>
              <w:t>合计</w:t>
            </w:r>
          </w:p>
        </w:tc>
        <w:tc>
          <w:tcPr>
            <w:tcW w:w="652" w:type="pct"/>
            <w:vAlign w:val="center"/>
          </w:tcPr>
          <w:p>
            <w:pPr>
              <w:keepNext/>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default" w:ascii="仿宋" w:hAnsi="仿宋" w:eastAsia="仿宋" w:cs="仿宋"/>
                <w:b/>
                <w:bCs/>
                <w:color w:val="auto"/>
                <w:sz w:val="24"/>
                <w:szCs w:val="24"/>
                <w:highlight w:val="none"/>
                <w:lang w:val="en-US" w:eastAsia="zh-CN"/>
              </w:rPr>
            </w:pPr>
            <w:r>
              <w:rPr>
                <w:rFonts w:hint="eastAsia" w:cs="仿宋"/>
                <w:b/>
                <w:bCs/>
                <w:color w:val="auto"/>
                <w:sz w:val="24"/>
                <w:szCs w:val="24"/>
                <w:highlight w:val="none"/>
                <w:lang w:val="en-US" w:eastAsia="zh-CN"/>
              </w:rPr>
              <w:t>18.94</w:t>
            </w:r>
          </w:p>
        </w:tc>
      </w:tr>
    </w:tbl>
    <w:p>
      <w:pPr>
        <w:pStyle w:val="5"/>
        <w:bidi w:val="0"/>
      </w:pPr>
      <w:r>
        <w:rPr>
          <w:rFonts w:hint="eastAsia"/>
        </w:rPr>
        <w:t>1.资金管理指标（满分12分，评价得分</w:t>
      </w:r>
      <w:r>
        <w:rPr>
          <w:rFonts w:hint="eastAsia"/>
          <w:lang w:val="en-US" w:eastAsia="zh-CN"/>
        </w:rPr>
        <w:t>10.94</w:t>
      </w:r>
      <w:r>
        <w:rPr>
          <w:rFonts w:hint="eastAsia"/>
        </w:rPr>
        <w:t>分）</w:t>
      </w:r>
    </w:p>
    <w:p>
      <w:pPr>
        <w:bidi w:val="0"/>
        <w:rPr>
          <w:rFonts w:hint="eastAsia" w:cs="仿宋_GB2312"/>
          <w:sz w:val="32"/>
          <w:szCs w:val="32"/>
          <w:lang w:val="en-US" w:eastAsia="zh-CN"/>
        </w:rPr>
      </w:pPr>
      <w:r>
        <w:rPr>
          <w:rFonts w:hint="eastAsia" w:cs="仿宋_GB2312"/>
          <w:sz w:val="32"/>
          <w:szCs w:val="32"/>
          <w:lang w:eastAsia="zh-CN"/>
        </w:rPr>
        <w:t>（</w:t>
      </w:r>
      <w:r>
        <w:rPr>
          <w:rFonts w:hint="eastAsia" w:cs="仿宋_GB2312"/>
          <w:sz w:val="32"/>
          <w:szCs w:val="32"/>
          <w:lang w:val="en-US" w:eastAsia="zh-CN"/>
        </w:rPr>
        <w:t>1</w:t>
      </w:r>
      <w:r>
        <w:rPr>
          <w:rFonts w:hint="eastAsia" w:cs="仿宋_GB2312"/>
          <w:sz w:val="32"/>
          <w:szCs w:val="32"/>
          <w:lang w:eastAsia="zh-CN"/>
        </w:rPr>
        <w:t>）</w:t>
      </w:r>
      <w:r>
        <w:rPr>
          <w:rFonts w:hint="eastAsia" w:cs="仿宋_GB2312"/>
          <w:sz w:val="32"/>
          <w:szCs w:val="32"/>
          <w:lang w:val="en-US" w:eastAsia="zh-CN"/>
        </w:rPr>
        <w:t>预算执行率</w:t>
      </w:r>
      <w:r>
        <w:rPr>
          <w:rFonts w:hint="eastAsia"/>
        </w:rPr>
        <w:t>（满分</w:t>
      </w:r>
      <w:r>
        <w:rPr>
          <w:rFonts w:hint="eastAsia"/>
          <w:lang w:val="en-US" w:eastAsia="zh-CN"/>
        </w:rPr>
        <w:t>6</w:t>
      </w:r>
      <w:r>
        <w:rPr>
          <w:rFonts w:hint="eastAsia"/>
        </w:rPr>
        <w:t>分，评价得分</w:t>
      </w:r>
      <w:r>
        <w:rPr>
          <w:rFonts w:hint="eastAsia"/>
          <w:lang w:val="en-US" w:eastAsia="zh-CN"/>
        </w:rPr>
        <w:t>4.94</w:t>
      </w:r>
      <w:r>
        <w:rPr>
          <w:rFonts w:hint="eastAsia"/>
        </w:rPr>
        <w:t>分）</w:t>
      </w:r>
    </w:p>
    <w:p>
      <w:pPr>
        <w:spacing w:line="600" w:lineRule="exact"/>
        <w:ind w:firstLine="640" w:firstLineChars="200"/>
        <w:rPr>
          <w:rFonts w:hint="eastAsia" w:ascii="仿宋" w:hAnsi="仿宋" w:eastAsia="仿宋" w:cs="仿宋_GB2312"/>
          <w:sz w:val="32"/>
          <w:szCs w:val="32"/>
          <w:highlight w:val="none"/>
        </w:rPr>
      </w:pPr>
      <w:r>
        <w:rPr>
          <w:rFonts w:hint="eastAsia" w:cs="仿宋_GB2312"/>
          <w:sz w:val="32"/>
          <w:szCs w:val="32"/>
          <w:highlight w:val="none"/>
          <w:lang w:val="en-US" w:eastAsia="zh-CN"/>
        </w:rPr>
        <w:t>城管局共向财政申请资金2624.51万元，</w:t>
      </w:r>
      <w:r>
        <w:rPr>
          <w:rFonts w:hint="eastAsia" w:ascii="仿宋" w:hAnsi="仿宋" w:eastAsia="仿宋" w:cs="仿宋_GB2312"/>
          <w:sz w:val="32"/>
          <w:szCs w:val="32"/>
          <w:highlight w:val="none"/>
        </w:rPr>
        <w:t>2020年和2021年共支付项目资金</w:t>
      </w:r>
      <w:r>
        <w:rPr>
          <w:rFonts w:hint="eastAsia" w:cs="仿宋_GB2312"/>
          <w:sz w:val="32"/>
          <w:szCs w:val="32"/>
          <w:highlight w:val="none"/>
          <w:lang w:val="en-US" w:eastAsia="zh-CN"/>
        </w:rPr>
        <w:t>2161.12</w:t>
      </w:r>
      <w:r>
        <w:rPr>
          <w:rFonts w:hint="eastAsia" w:ascii="仿宋" w:hAnsi="仿宋" w:eastAsia="仿宋" w:cs="仿宋_GB2312"/>
          <w:sz w:val="32"/>
          <w:szCs w:val="32"/>
          <w:highlight w:val="none"/>
        </w:rPr>
        <w:t>万元，预算执行率为82.34%。</w:t>
      </w:r>
    </w:p>
    <w:p>
      <w:pPr>
        <w:bidi w:val="0"/>
        <w:rPr>
          <w:rFonts w:hint="eastAsia"/>
        </w:rPr>
      </w:pPr>
      <w:r>
        <w:rPr>
          <w:rFonts w:hint="eastAsia"/>
        </w:rPr>
        <w:t>经评价，该项指标得分</w:t>
      </w:r>
      <w:r>
        <w:rPr>
          <w:rFonts w:hint="eastAsia"/>
          <w:lang w:val="en-US" w:eastAsia="zh-CN"/>
        </w:rPr>
        <w:t>4.94</w:t>
      </w:r>
      <w:r>
        <w:rPr>
          <w:rFonts w:hint="eastAsia"/>
        </w:rPr>
        <w:t>分。</w:t>
      </w:r>
    </w:p>
    <w:p>
      <w:pPr>
        <w:pStyle w:val="12"/>
        <w:rPr>
          <w:rFonts w:hint="eastAsia" w:eastAsia="仿宋"/>
          <w:lang w:eastAsia="zh-CN"/>
        </w:rPr>
      </w:pPr>
      <w:r>
        <w:rPr>
          <w:rFonts w:hint="eastAsia"/>
          <w:lang w:eastAsia="zh-CN"/>
        </w:rPr>
        <w:t>（</w:t>
      </w:r>
      <w:r>
        <w:rPr>
          <w:rFonts w:hint="eastAsia"/>
          <w:lang w:val="en-US" w:eastAsia="zh-CN"/>
        </w:rPr>
        <w:t>2</w:t>
      </w:r>
      <w:r>
        <w:rPr>
          <w:rFonts w:hint="eastAsia"/>
          <w:lang w:eastAsia="zh-CN"/>
        </w:rPr>
        <w:t>）资金使用合规性</w:t>
      </w:r>
      <w:r>
        <w:rPr>
          <w:rFonts w:hint="eastAsia"/>
        </w:rPr>
        <w:t>（满分</w:t>
      </w:r>
      <w:r>
        <w:rPr>
          <w:rFonts w:hint="eastAsia"/>
          <w:lang w:val="en-US" w:eastAsia="zh-CN"/>
        </w:rPr>
        <w:t>6</w:t>
      </w:r>
      <w:r>
        <w:rPr>
          <w:rFonts w:hint="eastAsia"/>
        </w:rPr>
        <w:t>分，评价得分</w:t>
      </w:r>
      <w:r>
        <w:rPr>
          <w:rFonts w:hint="eastAsia"/>
          <w:lang w:val="en-US" w:eastAsia="zh-CN"/>
        </w:rPr>
        <w:t>6</w:t>
      </w:r>
      <w:r>
        <w:rPr>
          <w:rFonts w:hint="eastAsia"/>
        </w:rPr>
        <w:t>分）</w:t>
      </w:r>
    </w:p>
    <w:p>
      <w:pPr>
        <w:spacing w:line="60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经查阅，该项目财务资料，专项资金使用规范，符合国家财经法规、财务管理制度等有关规定，资金拨付程序完整，手续齐全，未发现截留、挤占、挪用、虚列支出等情况。</w:t>
      </w:r>
    </w:p>
    <w:p>
      <w:pPr>
        <w:spacing w:line="600" w:lineRule="exact"/>
        <w:ind w:firstLine="640" w:firstLineChars="200"/>
        <w:rPr>
          <w:rFonts w:ascii="仿宋" w:hAnsi="仿宋" w:eastAsia="仿宋" w:cs="仿宋_GB2312"/>
          <w:sz w:val="32"/>
          <w:szCs w:val="32"/>
          <w:highlight w:val="none"/>
        </w:rPr>
      </w:pPr>
      <w:r>
        <w:rPr>
          <w:rFonts w:hint="eastAsia" w:ascii="仿宋" w:hAnsi="仿宋" w:eastAsia="仿宋" w:cs="仿宋_GB2312"/>
          <w:sz w:val="32"/>
          <w:szCs w:val="32"/>
          <w:highlight w:val="none"/>
        </w:rPr>
        <w:t>经评价，该项指标得分</w:t>
      </w:r>
      <w:r>
        <w:rPr>
          <w:rFonts w:hint="eastAsia" w:cs="仿宋_GB2312"/>
          <w:sz w:val="32"/>
          <w:szCs w:val="32"/>
          <w:highlight w:val="none"/>
          <w:lang w:val="en-US" w:eastAsia="zh-CN"/>
        </w:rPr>
        <w:t>6</w:t>
      </w:r>
      <w:r>
        <w:rPr>
          <w:rFonts w:hint="eastAsia" w:ascii="仿宋" w:hAnsi="仿宋" w:eastAsia="仿宋" w:cs="仿宋_GB2312"/>
          <w:sz w:val="32"/>
          <w:szCs w:val="32"/>
          <w:highlight w:val="none"/>
        </w:rPr>
        <w:t>分。</w:t>
      </w:r>
    </w:p>
    <w:p>
      <w:pPr>
        <w:pStyle w:val="5"/>
        <w:bidi w:val="0"/>
      </w:pPr>
      <w:r>
        <w:rPr>
          <w:rFonts w:hint="eastAsia"/>
        </w:rPr>
        <w:t>2.组织实施指标（满分8分，评价得分8分）</w:t>
      </w:r>
    </w:p>
    <w:p>
      <w:pPr>
        <w:pStyle w:val="11"/>
        <w:spacing w:line="600" w:lineRule="exact"/>
        <w:ind w:firstLine="640"/>
        <w:rPr>
          <w:rFonts w:hint="eastAsia" w:ascii="仿宋" w:hAnsi="仿宋" w:eastAsia="仿宋" w:cs="仿宋_GB2312"/>
          <w:sz w:val="32"/>
          <w:szCs w:val="32"/>
          <w:lang w:eastAsia="zh-CN"/>
        </w:rPr>
      </w:pPr>
      <w:r>
        <w:rPr>
          <w:rFonts w:hint="eastAsia" w:ascii="仿宋" w:hAnsi="仿宋" w:eastAsia="仿宋" w:cs="仿宋_GB2312"/>
          <w:sz w:val="32"/>
          <w:szCs w:val="32"/>
        </w:rPr>
        <w:t>市政府成立了“农村环境卫生综合整治综合整治领导小组”，县政府主要领导任组长，领导小组办公室设在城管局。无极县人民政府印发了《无极县2021年农村清扫保洁和生活垃圾治理工作计划》、《无极县城市管理综合行政执法局环卫市场化运作保洁考核办法》、《无极县城乡垃圾治理推进工作领导小组成员单位职责分工》等管理办法，成立农村生活垃圾督导组，城管局、各成员单位、各乡镇人民政府、各村民委员会等按照职责分工，各负其责，形成推进农村生活垃圾治理工作的合力，保障有效落实。</w:t>
      </w:r>
      <w:r>
        <w:rPr>
          <w:rFonts w:hint="eastAsia" w:cs="仿宋_GB2312"/>
          <w:sz w:val="32"/>
          <w:szCs w:val="32"/>
          <w:lang w:val="en-US" w:eastAsia="zh-CN"/>
        </w:rPr>
        <w:t>总体来看，该项目</w:t>
      </w:r>
      <w:r>
        <w:rPr>
          <w:rFonts w:hint="eastAsia" w:ascii="仿宋" w:hAnsi="仿宋" w:eastAsia="仿宋" w:cs="仿宋_GB2312"/>
          <w:sz w:val="32"/>
          <w:szCs w:val="32"/>
        </w:rPr>
        <w:t>管理制度健全</w:t>
      </w:r>
      <w:r>
        <w:rPr>
          <w:rFonts w:hint="eastAsia" w:cs="仿宋_GB2312"/>
          <w:sz w:val="32"/>
          <w:szCs w:val="32"/>
          <w:lang w:eastAsia="zh-CN"/>
        </w:rPr>
        <w:t>，</w:t>
      </w:r>
      <w:r>
        <w:rPr>
          <w:rFonts w:hint="eastAsia" w:ascii="仿宋" w:hAnsi="仿宋" w:eastAsia="仿宋" w:cs="仿宋_GB2312"/>
          <w:sz w:val="32"/>
          <w:szCs w:val="32"/>
        </w:rPr>
        <w:t>人员分工明确，责任划分清晰</w:t>
      </w:r>
      <w:r>
        <w:rPr>
          <w:rFonts w:hint="eastAsia" w:cs="仿宋_GB2312"/>
          <w:sz w:val="32"/>
          <w:szCs w:val="32"/>
          <w:lang w:eastAsia="zh-CN"/>
        </w:rPr>
        <w:t>。</w:t>
      </w:r>
    </w:p>
    <w:p>
      <w:pPr>
        <w:pStyle w:val="11"/>
        <w:spacing w:line="600" w:lineRule="exact"/>
        <w:ind w:firstLine="640"/>
        <w:rPr>
          <w:rFonts w:ascii="仿宋" w:hAnsi="仿宋" w:eastAsia="仿宋" w:cs="仿宋_GB2312"/>
          <w:sz w:val="32"/>
          <w:szCs w:val="32"/>
        </w:rPr>
      </w:pPr>
      <w:r>
        <w:rPr>
          <w:rFonts w:hint="eastAsia" w:ascii="仿宋" w:hAnsi="仿宋" w:eastAsia="仿宋" w:cs="仿宋_GB2312"/>
          <w:sz w:val="32"/>
          <w:szCs w:val="32"/>
        </w:rPr>
        <w:t>经评价，该项指标得分8分。</w:t>
      </w:r>
    </w:p>
    <w:p>
      <w:pPr>
        <w:pStyle w:val="4"/>
        <w:bidi w:val="0"/>
        <w:rPr>
          <w:rFonts w:hint="eastAsia" w:ascii="仿宋" w:hAnsi="仿宋" w:eastAsia="仿宋" w:cs="仿宋"/>
          <w:b/>
          <w:bCs/>
          <w:kern w:val="0"/>
          <w:sz w:val="28"/>
          <w:szCs w:val="28"/>
          <w:highlight w:val="none"/>
          <w:lang w:val="en-US" w:eastAsia="zh-CN"/>
        </w:rPr>
      </w:pPr>
      <w:bookmarkStart w:id="41" w:name="_Toc1500"/>
      <w:bookmarkStart w:id="42" w:name="_Toc21763"/>
      <w:r>
        <w:rPr>
          <w:rFonts w:hint="eastAsia"/>
          <w:lang w:eastAsia="zh-CN"/>
        </w:rPr>
        <w:t>（</w:t>
      </w:r>
      <w:r>
        <w:rPr>
          <w:rFonts w:hint="eastAsia"/>
          <w:lang w:val="en-US" w:eastAsia="zh-CN"/>
        </w:rPr>
        <w:t>三</w:t>
      </w:r>
      <w:r>
        <w:rPr>
          <w:rFonts w:hint="eastAsia"/>
          <w:lang w:eastAsia="zh-CN"/>
        </w:rPr>
        <w:t>）</w:t>
      </w:r>
      <w:r>
        <w:t>项目</w:t>
      </w:r>
      <w:r>
        <w:rPr>
          <w:rFonts w:hint="eastAsia"/>
        </w:rPr>
        <w:t>产出</w:t>
      </w:r>
      <w:bookmarkEnd w:id="41"/>
      <w:bookmarkEnd w:id="42"/>
    </w:p>
    <w:p>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hint="eastAsia" w:ascii="仿宋" w:hAnsi="仿宋" w:eastAsia="仿宋" w:cs="仿宋"/>
          <w:b/>
          <w:bCs/>
          <w:kern w:val="0"/>
          <w:sz w:val="28"/>
          <w:szCs w:val="28"/>
          <w:highlight w:val="none"/>
          <w:lang w:val="en-US" w:eastAsia="zh-CN"/>
        </w:rPr>
      </w:pPr>
      <w:r>
        <w:rPr>
          <w:rFonts w:hint="eastAsia" w:ascii="仿宋" w:hAnsi="仿宋" w:eastAsia="仿宋" w:cs="仿宋"/>
          <w:b/>
          <w:bCs/>
          <w:kern w:val="0"/>
          <w:sz w:val="28"/>
          <w:szCs w:val="28"/>
          <w:highlight w:val="none"/>
          <w:lang w:val="en-US" w:eastAsia="zh-CN"/>
        </w:rPr>
        <w:t>项目产出绩效得分情况表</w:t>
      </w:r>
    </w:p>
    <w:tbl>
      <w:tblPr>
        <w:tblStyle w:val="9"/>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67"/>
        <w:gridCol w:w="1589"/>
        <w:gridCol w:w="4653"/>
        <w:gridCol w:w="13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blHeader/>
          <w:jc w:val="center"/>
        </w:trPr>
        <w:tc>
          <w:tcPr>
            <w:tcW w:w="810" w:type="pct"/>
            <w:shd w:val="clear" w:color="auto" w:fill="BEBEB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bCs/>
                <w:sz w:val="24"/>
                <w:lang w:val="en-US" w:eastAsia="zh-CN"/>
              </w:rPr>
            </w:pPr>
            <w:r>
              <w:rPr>
                <w:rFonts w:hint="eastAsia" w:cs="仿宋"/>
                <w:b/>
                <w:bCs/>
                <w:sz w:val="24"/>
                <w:lang w:val="en-US" w:eastAsia="zh-CN"/>
              </w:rPr>
              <w:t>一级指标</w:t>
            </w:r>
          </w:p>
        </w:tc>
        <w:tc>
          <w:tcPr>
            <w:tcW w:w="877" w:type="pct"/>
            <w:shd w:val="clear" w:color="auto" w:fill="BEBEB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bCs/>
                <w:sz w:val="24"/>
                <w:lang w:val="en-US" w:eastAsia="zh-CN"/>
              </w:rPr>
            </w:pPr>
            <w:r>
              <w:rPr>
                <w:rFonts w:hint="eastAsia" w:cs="仿宋"/>
                <w:b/>
                <w:bCs/>
                <w:sz w:val="24"/>
                <w:lang w:val="en-US" w:eastAsia="zh-CN"/>
              </w:rPr>
              <w:t>二级指标</w:t>
            </w:r>
          </w:p>
        </w:tc>
        <w:tc>
          <w:tcPr>
            <w:tcW w:w="2568" w:type="pct"/>
            <w:shd w:val="clear" w:color="auto" w:fill="BEBEB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bCs/>
                <w:sz w:val="24"/>
                <w:lang w:val="en-US" w:eastAsia="zh-CN"/>
              </w:rPr>
            </w:pPr>
            <w:r>
              <w:rPr>
                <w:rFonts w:hint="eastAsia" w:cs="仿宋"/>
                <w:b/>
                <w:bCs/>
                <w:sz w:val="24"/>
                <w:lang w:val="en-US" w:eastAsia="zh-CN"/>
              </w:rPr>
              <w:t>三级指标</w:t>
            </w:r>
          </w:p>
        </w:tc>
        <w:tc>
          <w:tcPr>
            <w:tcW w:w="743" w:type="pct"/>
            <w:shd w:val="clear" w:color="auto" w:fill="BEBEB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bCs/>
                <w:sz w:val="24"/>
                <w:lang w:val="en-US" w:eastAsia="zh-CN"/>
              </w:rPr>
            </w:pPr>
            <w:r>
              <w:rPr>
                <w:rFonts w:hint="eastAsia" w:cs="仿宋"/>
                <w:b/>
                <w:bCs/>
                <w:sz w:val="24"/>
                <w:lang w:val="en-US" w:eastAsia="zh-CN"/>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jc w:val="center"/>
        </w:trPr>
        <w:tc>
          <w:tcPr>
            <w:tcW w:w="810" w:type="pct"/>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lang w:val="en-US" w:eastAsia="zh-CN"/>
              </w:rPr>
            </w:pPr>
            <w:r>
              <w:rPr>
                <w:rFonts w:hint="eastAsia" w:cs="仿宋"/>
                <w:b w:val="0"/>
                <w:bCs w:val="0"/>
                <w:sz w:val="24"/>
                <w:lang w:val="en-US" w:eastAsia="zh-CN"/>
              </w:rPr>
              <w:t>产出（40分）</w:t>
            </w:r>
          </w:p>
        </w:tc>
        <w:tc>
          <w:tcPr>
            <w:tcW w:w="877" w:type="pct"/>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default" w:cs="仿宋"/>
                <w:b w:val="0"/>
                <w:bCs w:val="0"/>
                <w:color w:val="auto"/>
                <w:sz w:val="24"/>
                <w:highlight w:val="none"/>
                <w:lang w:val="en-US" w:eastAsia="zh-CN"/>
              </w:rPr>
            </w:pPr>
            <w:r>
              <w:rPr>
                <w:rFonts w:hint="eastAsia" w:cs="仿宋"/>
                <w:b w:val="0"/>
                <w:bCs w:val="0"/>
                <w:color w:val="auto"/>
                <w:sz w:val="24"/>
                <w:highlight w:val="none"/>
                <w:lang w:val="en-US" w:eastAsia="zh-CN"/>
              </w:rPr>
              <w:t>产出数量</w:t>
            </w:r>
          </w:p>
        </w:tc>
        <w:tc>
          <w:tcPr>
            <w:tcW w:w="2568"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color w:val="auto"/>
                <w:sz w:val="24"/>
                <w:highlight w:val="none"/>
                <w:lang w:val="en-US" w:eastAsia="zh-CN"/>
              </w:rPr>
            </w:pPr>
            <w:r>
              <w:rPr>
                <w:rFonts w:hint="eastAsia" w:ascii="仿宋" w:hAnsi="仿宋" w:eastAsia="仿宋" w:cs="仿宋"/>
                <w:i w:val="0"/>
                <w:iCs w:val="0"/>
                <w:color w:val="auto"/>
                <w:kern w:val="0"/>
                <w:sz w:val="24"/>
                <w:szCs w:val="24"/>
                <w:u w:val="none"/>
                <w:lang w:val="en-US" w:eastAsia="zh-CN" w:bidi="ar"/>
              </w:rPr>
              <w:t>按要求配备人员与设备（5分）</w:t>
            </w:r>
          </w:p>
        </w:tc>
        <w:tc>
          <w:tcPr>
            <w:tcW w:w="743"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default" w:cs="仿宋"/>
                <w:b w:val="0"/>
                <w:bCs w:val="0"/>
                <w:color w:val="auto"/>
                <w:sz w:val="24"/>
                <w:highlight w:val="none"/>
                <w:lang w:val="en-US" w:eastAsia="zh-CN"/>
              </w:rPr>
            </w:pPr>
            <w:r>
              <w:rPr>
                <w:rFonts w:hint="eastAsia" w:cs="仿宋"/>
                <w:b w:val="0"/>
                <w:bCs w:val="0"/>
                <w:color w:val="auto"/>
                <w:sz w:val="24"/>
                <w:highlight w:val="no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810" w:type="pct"/>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lang w:val="en-US" w:eastAsia="zh-CN"/>
              </w:rPr>
            </w:pPr>
          </w:p>
        </w:tc>
        <w:tc>
          <w:tcPr>
            <w:tcW w:w="877" w:type="pct"/>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color w:val="auto"/>
                <w:sz w:val="24"/>
                <w:lang w:val="en-US" w:eastAsia="zh-CN"/>
              </w:rPr>
            </w:pPr>
          </w:p>
        </w:tc>
        <w:tc>
          <w:tcPr>
            <w:tcW w:w="2568"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color w:val="auto"/>
                <w:sz w:val="24"/>
                <w:lang w:val="en-US" w:eastAsia="zh-CN"/>
              </w:rPr>
            </w:pPr>
            <w:r>
              <w:rPr>
                <w:rFonts w:hint="eastAsia" w:ascii="仿宋" w:hAnsi="仿宋" w:eastAsia="仿宋" w:cs="仿宋"/>
                <w:i w:val="0"/>
                <w:iCs w:val="0"/>
                <w:color w:val="auto"/>
                <w:kern w:val="0"/>
                <w:sz w:val="24"/>
                <w:szCs w:val="24"/>
                <w:u w:val="none"/>
                <w:lang w:val="en-US" w:eastAsia="zh-CN" w:bidi="ar"/>
              </w:rPr>
              <w:t>提供的服务数量（5分）</w:t>
            </w:r>
          </w:p>
        </w:tc>
        <w:tc>
          <w:tcPr>
            <w:tcW w:w="743"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default" w:cs="仿宋"/>
                <w:b w:val="0"/>
                <w:bCs w:val="0"/>
                <w:color w:val="auto"/>
                <w:sz w:val="24"/>
                <w:lang w:val="en-US" w:eastAsia="zh-CN"/>
              </w:rPr>
            </w:pPr>
            <w:r>
              <w:rPr>
                <w:rFonts w:hint="eastAsia" w:cs="仿宋"/>
                <w:b w:val="0"/>
                <w:bCs w:val="0"/>
                <w:color w:val="auto"/>
                <w:sz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810" w:type="pct"/>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lang w:val="en-US" w:eastAsia="zh-CN"/>
              </w:rPr>
            </w:pPr>
          </w:p>
        </w:tc>
        <w:tc>
          <w:tcPr>
            <w:tcW w:w="877" w:type="pct"/>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default" w:cs="仿宋"/>
                <w:b w:val="0"/>
                <w:bCs w:val="0"/>
                <w:color w:val="auto"/>
                <w:sz w:val="24"/>
                <w:lang w:val="en-US" w:eastAsia="zh-CN"/>
              </w:rPr>
            </w:pPr>
            <w:r>
              <w:rPr>
                <w:rFonts w:hint="eastAsia" w:cs="仿宋"/>
                <w:b w:val="0"/>
                <w:bCs w:val="0"/>
                <w:color w:val="auto"/>
                <w:sz w:val="24"/>
                <w:lang w:val="en-US" w:eastAsia="zh-CN"/>
              </w:rPr>
              <w:t>产出质量</w:t>
            </w:r>
          </w:p>
        </w:tc>
        <w:tc>
          <w:tcPr>
            <w:tcW w:w="2568"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color w:val="auto"/>
                <w:sz w:val="24"/>
                <w:lang w:val="en-US" w:eastAsia="zh-CN"/>
              </w:rPr>
            </w:pPr>
            <w:r>
              <w:rPr>
                <w:rFonts w:hint="eastAsia" w:ascii="仿宋" w:hAnsi="仿宋" w:eastAsia="仿宋" w:cs="仿宋"/>
                <w:i w:val="0"/>
                <w:iCs w:val="0"/>
                <w:color w:val="auto"/>
                <w:kern w:val="0"/>
                <w:sz w:val="24"/>
                <w:szCs w:val="24"/>
                <w:u w:val="none"/>
                <w:lang w:val="en-US" w:eastAsia="zh-CN" w:bidi="ar"/>
              </w:rPr>
              <w:t>监督与考核（5分）</w:t>
            </w:r>
          </w:p>
        </w:tc>
        <w:tc>
          <w:tcPr>
            <w:tcW w:w="743"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color w:val="auto"/>
                <w:sz w:val="24"/>
                <w:lang w:val="en-US" w:eastAsia="zh-CN"/>
              </w:rPr>
            </w:pPr>
            <w:r>
              <w:rPr>
                <w:rFonts w:hint="eastAsia" w:cs="仿宋"/>
                <w:b w:val="0"/>
                <w:bCs w:val="0"/>
                <w:color w:val="auto"/>
                <w:sz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810" w:type="pct"/>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sz w:val="24"/>
                <w:lang w:val="en-US" w:eastAsia="zh-CN"/>
              </w:rPr>
            </w:pPr>
          </w:p>
        </w:tc>
        <w:tc>
          <w:tcPr>
            <w:tcW w:w="877" w:type="pct"/>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color w:val="auto"/>
                <w:sz w:val="24"/>
                <w:lang w:val="en-US" w:eastAsia="zh-CN"/>
              </w:rPr>
            </w:pPr>
          </w:p>
        </w:tc>
        <w:tc>
          <w:tcPr>
            <w:tcW w:w="2568"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color w:val="auto"/>
                <w:sz w:val="24"/>
                <w:lang w:val="en-US" w:eastAsia="zh-CN"/>
              </w:rPr>
            </w:pPr>
            <w:r>
              <w:rPr>
                <w:rFonts w:hint="eastAsia" w:ascii="仿宋" w:hAnsi="仿宋" w:eastAsia="仿宋" w:cs="仿宋"/>
                <w:i w:val="0"/>
                <w:iCs w:val="0"/>
                <w:color w:val="auto"/>
                <w:kern w:val="0"/>
                <w:sz w:val="24"/>
                <w:szCs w:val="24"/>
                <w:u w:val="none"/>
                <w:lang w:val="en-US" w:eastAsia="zh-CN" w:bidi="ar"/>
              </w:rPr>
              <w:t>服务质量合规率（5分）</w:t>
            </w:r>
          </w:p>
        </w:tc>
        <w:tc>
          <w:tcPr>
            <w:tcW w:w="743"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default" w:cs="仿宋"/>
                <w:b w:val="0"/>
                <w:bCs w:val="0"/>
                <w:color w:val="auto"/>
                <w:sz w:val="24"/>
                <w:lang w:val="en-US" w:eastAsia="zh-CN"/>
              </w:rPr>
            </w:pPr>
            <w:r>
              <w:rPr>
                <w:rFonts w:hint="eastAsia" w:cs="仿宋"/>
                <w:b w:val="0"/>
                <w:bCs w:val="0"/>
                <w:color w:val="auto"/>
                <w:sz w:val="24"/>
                <w:lang w:val="en-US" w:eastAsia="zh-CN"/>
              </w:rPr>
              <w:t>4.95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810" w:type="pct"/>
            <w:vMerge w:val="continue"/>
            <w:vAlign w:val="center"/>
          </w:tcPr>
          <w:p>
            <w:pPr>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color w:val="auto"/>
                <w:sz w:val="24"/>
                <w:szCs w:val="24"/>
                <w:highlight w:val="none"/>
              </w:rPr>
            </w:pPr>
          </w:p>
        </w:tc>
        <w:tc>
          <w:tcPr>
            <w:tcW w:w="877" w:type="pct"/>
            <w:vMerge w:val="restart"/>
            <w:vAlign w:val="center"/>
          </w:tcPr>
          <w:p>
            <w:pPr>
              <w:bidi w:val="0"/>
              <w:ind w:left="0" w:leftChars="0" w:firstLine="0" w:firstLine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产出时效</w:t>
            </w:r>
          </w:p>
        </w:tc>
        <w:tc>
          <w:tcPr>
            <w:tcW w:w="2568" w:type="pct"/>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auto"/>
                <w:kern w:val="2"/>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完成及时性（3分）</w:t>
            </w:r>
          </w:p>
        </w:tc>
        <w:tc>
          <w:tcPr>
            <w:tcW w:w="743" w:type="pct"/>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auto"/>
                <w:kern w:val="2"/>
                <w:sz w:val="22"/>
                <w:szCs w:val="22"/>
                <w:u w:val="none"/>
                <w:lang w:val="en-US" w:eastAsia="zh-CN" w:bidi="ar-SA"/>
              </w:rPr>
            </w:pPr>
            <w:r>
              <w:rPr>
                <w:rFonts w:hint="eastAsia" w:ascii="仿宋" w:hAnsi="仿宋" w:eastAsia="仿宋" w:cs="仿宋"/>
                <w:i w:val="0"/>
                <w:iCs w:val="0"/>
                <w:color w:val="auto"/>
                <w:kern w:val="0"/>
                <w:sz w:val="22"/>
                <w:szCs w:val="22"/>
                <w:u w:val="none"/>
                <w:lang w:val="en-US" w:eastAsia="zh-CN" w:bidi="ar"/>
              </w:rPr>
              <w:t xml:space="preserve">1.00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810" w:type="pct"/>
            <w:vMerge w:val="continue"/>
            <w:vAlign w:val="center"/>
          </w:tcPr>
          <w:p>
            <w:pPr>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color w:val="auto"/>
                <w:sz w:val="24"/>
                <w:szCs w:val="24"/>
                <w:highlight w:val="none"/>
              </w:rPr>
            </w:pPr>
          </w:p>
        </w:tc>
        <w:tc>
          <w:tcPr>
            <w:tcW w:w="877" w:type="pct"/>
            <w:vMerge w:val="continue"/>
            <w:vAlign w:val="center"/>
          </w:tcPr>
          <w:p>
            <w:pPr>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color w:val="auto"/>
                <w:sz w:val="24"/>
                <w:szCs w:val="24"/>
                <w:highlight w:val="none"/>
              </w:rPr>
            </w:pPr>
          </w:p>
        </w:tc>
        <w:tc>
          <w:tcPr>
            <w:tcW w:w="2568" w:type="pct"/>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auto"/>
                <w:kern w:val="2"/>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按合同要求付款（</w:t>
            </w:r>
            <w:r>
              <w:rPr>
                <w:rFonts w:hint="eastAsia" w:cs="仿宋"/>
                <w:i w:val="0"/>
                <w:iCs w:val="0"/>
                <w:color w:val="auto"/>
                <w:kern w:val="0"/>
                <w:sz w:val="24"/>
                <w:szCs w:val="24"/>
                <w:u w:val="none"/>
                <w:lang w:val="en-US" w:eastAsia="zh-CN" w:bidi="ar"/>
              </w:rPr>
              <w:t>5</w:t>
            </w:r>
            <w:r>
              <w:rPr>
                <w:rFonts w:hint="eastAsia" w:ascii="仿宋" w:hAnsi="仿宋" w:eastAsia="仿宋" w:cs="仿宋"/>
                <w:i w:val="0"/>
                <w:iCs w:val="0"/>
                <w:color w:val="auto"/>
                <w:kern w:val="0"/>
                <w:sz w:val="24"/>
                <w:szCs w:val="24"/>
                <w:u w:val="none"/>
                <w:lang w:val="en-US" w:eastAsia="zh-CN" w:bidi="ar"/>
              </w:rPr>
              <w:t>分）</w:t>
            </w:r>
          </w:p>
        </w:tc>
        <w:tc>
          <w:tcPr>
            <w:tcW w:w="743" w:type="pct"/>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auto"/>
                <w:kern w:val="2"/>
                <w:sz w:val="22"/>
                <w:szCs w:val="22"/>
                <w:u w:val="none"/>
                <w:lang w:val="en-US" w:eastAsia="zh-CN" w:bidi="ar-SA"/>
              </w:rPr>
            </w:pPr>
            <w:r>
              <w:rPr>
                <w:rFonts w:hint="eastAsia" w:cs="仿宋"/>
                <w:i w:val="0"/>
                <w:iCs w:val="0"/>
                <w:color w:val="auto"/>
                <w:kern w:val="0"/>
                <w:sz w:val="22"/>
                <w:szCs w:val="22"/>
                <w:u w:val="none"/>
                <w:lang w:val="en-US" w:eastAsia="zh-CN" w:bidi="ar"/>
              </w:rPr>
              <w:t>3</w:t>
            </w:r>
            <w:r>
              <w:rPr>
                <w:rFonts w:hint="eastAsia" w:ascii="仿宋" w:hAnsi="仿宋" w:eastAsia="仿宋" w:cs="仿宋"/>
                <w:i w:val="0"/>
                <w:iCs w:val="0"/>
                <w:color w:val="auto"/>
                <w:kern w:val="0"/>
                <w:sz w:val="22"/>
                <w:szCs w:val="22"/>
                <w:u w:val="none"/>
                <w:lang w:val="en-US" w:eastAsia="zh-CN" w:bidi="ar"/>
              </w:rPr>
              <w:t xml:space="preserve">.00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810" w:type="pct"/>
            <w:vMerge w:val="continue"/>
            <w:vAlign w:val="center"/>
          </w:tcPr>
          <w:p>
            <w:pPr>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color w:val="auto"/>
                <w:sz w:val="24"/>
                <w:szCs w:val="24"/>
                <w:highlight w:val="none"/>
              </w:rPr>
            </w:pPr>
          </w:p>
        </w:tc>
        <w:tc>
          <w:tcPr>
            <w:tcW w:w="877" w:type="pct"/>
            <w:vMerge w:val="continue"/>
            <w:vAlign w:val="center"/>
          </w:tcPr>
          <w:p>
            <w:pPr>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color w:val="auto"/>
                <w:sz w:val="24"/>
                <w:szCs w:val="24"/>
                <w:highlight w:val="none"/>
              </w:rPr>
            </w:pPr>
          </w:p>
        </w:tc>
        <w:tc>
          <w:tcPr>
            <w:tcW w:w="2568" w:type="pct"/>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auto"/>
                <w:kern w:val="2"/>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及时发放清洁员工资（</w:t>
            </w:r>
            <w:r>
              <w:rPr>
                <w:rFonts w:hint="eastAsia" w:cs="仿宋"/>
                <w:i w:val="0"/>
                <w:iCs w:val="0"/>
                <w:color w:val="auto"/>
                <w:kern w:val="0"/>
                <w:sz w:val="24"/>
                <w:szCs w:val="24"/>
                <w:u w:val="none"/>
                <w:lang w:val="en-US" w:eastAsia="zh-CN" w:bidi="ar"/>
              </w:rPr>
              <w:t>2</w:t>
            </w:r>
            <w:r>
              <w:rPr>
                <w:rFonts w:hint="eastAsia" w:ascii="仿宋" w:hAnsi="仿宋" w:eastAsia="仿宋" w:cs="仿宋"/>
                <w:i w:val="0"/>
                <w:iCs w:val="0"/>
                <w:color w:val="auto"/>
                <w:kern w:val="0"/>
                <w:sz w:val="24"/>
                <w:szCs w:val="24"/>
                <w:u w:val="none"/>
                <w:lang w:val="en-US" w:eastAsia="zh-CN" w:bidi="ar"/>
              </w:rPr>
              <w:t>分）</w:t>
            </w:r>
          </w:p>
        </w:tc>
        <w:tc>
          <w:tcPr>
            <w:tcW w:w="743" w:type="pct"/>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auto"/>
                <w:kern w:val="2"/>
                <w:sz w:val="22"/>
                <w:szCs w:val="22"/>
                <w:u w:val="none"/>
                <w:lang w:val="en-US" w:eastAsia="zh-CN" w:bidi="ar-SA"/>
              </w:rPr>
            </w:pPr>
            <w:r>
              <w:rPr>
                <w:rFonts w:hint="eastAsia" w:ascii="仿宋" w:hAnsi="仿宋" w:eastAsia="仿宋" w:cs="仿宋"/>
                <w:i w:val="0"/>
                <w:iCs w:val="0"/>
                <w:color w:val="auto"/>
                <w:kern w:val="0"/>
                <w:sz w:val="22"/>
                <w:szCs w:val="22"/>
                <w:u w:val="none"/>
                <w:lang w:val="en-US" w:eastAsia="zh-CN" w:bidi="ar"/>
              </w:rPr>
              <w:t xml:space="preserve">0.00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810" w:type="pct"/>
            <w:vMerge w:val="continue"/>
            <w:vAlign w:val="center"/>
          </w:tcPr>
          <w:p>
            <w:pPr>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color w:val="auto"/>
                <w:sz w:val="24"/>
                <w:szCs w:val="24"/>
                <w:highlight w:val="none"/>
              </w:rPr>
            </w:pPr>
          </w:p>
        </w:tc>
        <w:tc>
          <w:tcPr>
            <w:tcW w:w="877" w:type="pct"/>
            <w:vMerge w:val="restart"/>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auto"/>
                <w:kern w:val="2"/>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产出成本</w:t>
            </w:r>
          </w:p>
        </w:tc>
        <w:tc>
          <w:tcPr>
            <w:tcW w:w="2568" w:type="pct"/>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auto"/>
                <w:kern w:val="2"/>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成本控制（5分）</w:t>
            </w:r>
          </w:p>
        </w:tc>
        <w:tc>
          <w:tcPr>
            <w:tcW w:w="743" w:type="pct"/>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auto"/>
                <w:kern w:val="2"/>
                <w:sz w:val="22"/>
                <w:szCs w:val="22"/>
                <w:u w:val="none"/>
                <w:lang w:val="en-US" w:eastAsia="zh-CN" w:bidi="ar-SA"/>
              </w:rPr>
            </w:pPr>
            <w:r>
              <w:rPr>
                <w:rFonts w:hint="eastAsia" w:ascii="仿宋" w:hAnsi="仿宋" w:eastAsia="仿宋" w:cs="仿宋"/>
                <w:i w:val="0"/>
                <w:iCs w:val="0"/>
                <w:color w:val="auto"/>
                <w:kern w:val="0"/>
                <w:sz w:val="22"/>
                <w:szCs w:val="22"/>
                <w:u w:val="none"/>
                <w:lang w:val="en-US" w:eastAsia="zh-CN" w:bidi="ar"/>
              </w:rPr>
              <w:t xml:space="preserve">5.00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810" w:type="pct"/>
            <w:vMerge w:val="continue"/>
            <w:vAlign w:val="center"/>
          </w:tcPr>
          <w:p>
            <w:pPr>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color w:val="auto"/>
                <w:sz w:val="24"/>
                <w:szCs w:val="24"/>
                <w:highlight w:val="none"/>
              </w:rPr>
            </w:pPr>
          </w:p>
        </w:tc>
        <w:tc>
          <w:tcPr>
            <w:tcW w:w="877" w:type="pct"/>
            <w:vMerge w:val="continue"/>
            <w:vAlign w:val="center"/>
          </w:tcPr>
          <w:p>
            <w:pPr>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color w:val="auto"/>
                <w:sz w:val="24"/>
                <w:szCs w:val="24"/>
                <w:highlight w:val="none"/>
              </w:rPr>
            </w:pPr>
          </w:p>
        </w:tc>
        <w:tc>
          <w:tcPr>
            <w:tcW w:w="2568" w:type="pct"/>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auto"/>
                <w:kern w:val="2"/>
                <w:sz w:val="24"/>
                <w:szCs w:val="24"/>
                <w:u w:val="none"/>
                <w:lang w:val="en-US" w:eastAsia="zh-CN" w:bidi="ar-SA"/>
              </w:rPr>
            </w:pPr>
            <w:r>
              <w:rPr>
                <w:rFonts w:hint="eastAsia" w:ascii="仿宋" w:hAnsi="仿宋" w:eastAsia="仿宋" w:cs="仿宋"/>
                <w:i w:val="0"/>
                <w:iCs w:val="0"/>
                <w:color w:val="auto"/>
                <w:kern w:val="0"/>
                <w:sz w:val="24"/>
                <w:szCs w:val="24"/>
                <w:u w:val="none"/>
                <w:lang w:val="en-US" w:eastAsia="zh-CN" w:bidi="ar"/>
              </w:rPr>
              <w:t>中标企业利润率（5分）</w:t>
            </w:r>
          </w:p>
        </w:tc>
        <w:tc>
          <w:tcPr>
            <w:tcW w:w="743" w:type="pct"/>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default" w:ascii="仿宋" w:hAnsi="仿宋" w:eastAsia="仿宋" w:cs="仿宋"/>
                <w:i w:val="0"/>
                <w:iCs w:val="0"/>
                <w:color w:val="auto"/>
                <w:kern w:val="2"/>
                <w:sz w:val="22"/>
                <w:szCs w:val="22"/>
                <w:u w:val="none"/>
                <w:lang w:val="en-US" w:eastAsia="zh-CN" w:bidi="ar-SA"/>
              </w:rPr>
            </w:pPr>
            <w:r>
              <w:rPr>
                <w:rFonts w:hint="eastAsia" w:cs="仿宋"/>
                <w:i w:val="0"/>
                <w:iCs w:val="0"/>
                <w:color w:val="auto"/>
                <w:kern w:val="0"/>
                <w:sz w:val="22"/>
                <w:szCs w:val="22"/>
                <w:u w:val="none"/>
                <w:lang w:val="en-US" w:eastAsia="zh-CN" w:bidi="ar"/>
              </w:rPr>
              <w:t>2.93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4256" w:type="pct"/>
            <w:gridSpan w:val="3"/>
            <w:vAlign w:val="center"/>
          </w:tcPr>
          <w:p>
            <w:pPr>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color w:val="auto"/>
                <w:kern w:val="0"/>
                <w:sz w:val="24"/>
                <w:szCs w:val="24"/>
                <w:highlight w:val="none"/>
                <w:lang w:bidi="ar"/>
              </w:rPr>
            </w:pPr>
            <w:r>
              <w:rPr>
                <w:rFonts w:hint="eastAsia" w:ascii="仿宋" w:hAnsi="仿宋" w:eastAsia="仿宋" w:cs="仿宋"/>
                <w:b/>
                <w:bCs/>
                <w:color w:val="auto"/>
                <w:sz w:val="24"/>
                <w:szCs w:val="24"/>
                <w:highlight w:val="none"/>
              </w:rPr>
              <w:t>合计</w:t>
            </w:r>
          </w:p>
        </w:tc>
        <w:tc>
          <w:tcPr>
            <w:tcW w:w="743" w:type="pct"/>
            <w:vAlign w:val="center"/>
          </w:tcPr>
          <w:p>
            <w:pPr>
              <w:keepNext/>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default" w:ascii="仿宋" w:hAnsi="仿宋" w:eastAsia="仿宋" w:cs="仿宋"/>
                <w:b/>
                <w:bCs/>
                <w:color w:val="auto"/>
                <w:sz w:val="24"/>
                <w:szCs w:val="24"/>
                <w:highlight w:val="none"/>
                <w:lang w:val="en-US" w:eastAsia="zh-CN"/>
              </w:rPr>
            </w:pPr>
            <w:r>
              <w:rPr>
                <w:rFonts w:hint="eastAsia" w:cs="仿宋"/>
                <w:b/>
                <w:bCs/>
                <w:color w:val="auto"/>
                <w:sz w:val="24"/>
                <w:szCs w:val="24"/>
                <w:highlight w:val="none"/>
                <w:lang w:val="en-US" w:eastAsia="zh-CN"/>
              </w:rPr>
              <w:t>29.87</w:t>
            </w:r>
          </w:p>
        </w:tc>
      </w:tr>
    </w:tbl>
    <w:p>
      <w:pPr>
        <w:pStyle w:val="5"/>
        <w:bidi w:val="0"/>
      </w:pPr>
      <w:r>
        <w:rPr>
          <w:rFonts w:hint="eastAsia"/>
        </w:rPr>
        <w:t>1.产出数量指标（满分10分，评价得分</w:t>
      </w:r>
      <w:r>
        <w:rPr>
          <w:rFonts w:hint="eastAsia"/>
          <w:lang w:val="en-US" w:eastAsia="zh-CN"/>
        </w:rPr>
        <w:t>8</w:t>
      </w:r>
      <w:r>
        <w:rPr>
          <w:rFonts w:hint="eastAsia"/>
        </w:rPr>
        <w:t>分）</w:t>
      </w:r>
    </w:p>
    <w:p>
      <w:pPr>
        <w:pStyle w:val="12"/>
        <w:rPr>
          <w:rFonts w:hint="eastAsia"/>
          <w:highlight w:val="none"/>
        </w:rPr>
      </w:pPr>
      <w:r>
        <w:rPr>
          <w:rFonts w:hint="eastAsia"/>
          <w:highlight w:val="none"/>
          <w:lang w:eastAsia="zh-CN"/>
        </w:rPr>
        <w:t>（</w:t>
      </w:r>
      <w:r>
        <w:rPr>
          <w:rFonts w:hint="eastAsia"/>
          <w:highlight w:val="none"/>
          <w:lang w:val="en-US" w:eastAsia="zh-CN"/>
        </w:rPr>
        <w:t>1</w:t>
      </w:r>
      <w:r>
        <w:rPr>
          <w:rFonts w:hint="eastAsia"/>
          <w:highlight w:val="none"/>
          <w:lang w:eastAsia="zh-CN"/>
        </w:rPr>
        <w:t>）</w:t>
      </w:r>
      <w:r>
        <w:rPr>
          <w:rFonts w:hint="eastAsia"/>
          <w:highlight w:val="none"/>
        </w:rPr>
        <w:t>按要求配备人员与设备（满分</w:t>
      </w:r>
      <w:r>
        <w:rPr>
          <w:rFonts w:hint="eastAsia"/>
          <w:highlight w:val="none"/>
          <w:lang w:val="en-US" w:eastAsia="zh-CN"/>
        </w:rPr>
        <w:t>5</w:t>
      </w:r>
      <w:r>
        <w:rPr>
          <w:rFonts w:hint="eastAsia"/>
          <w:highlight w:val="none"/>
        </w:rPr>
        <w:t>分，评价得分</w:t>
      </w:r>
      <w:r>
        <w:rPr>
          <w:rFonts w:hint="eastAsia"/>
          <w:highlight w:val="none"/>
          <w:lang w:val="en-US" w:eastAsia="zh-CN"/>
        </w:rPr>
        <w:t>3</w:t>
      </w:r>
      <w:r>
        <w:rPr>
          <w:rFonts w:hint="eastAsia"/>
          <w:highlight w:val="none"/>
        </w:rPr>
        <w:t>分）</w:t>
      </w:r>
    </w:p>
    <w:p>
      <w:pPr>
        <w:bidi w:val="0"/>
        <w:rPr>
          <w:rFonts w:hint="default" w:eastAsia="仿宋"/>
          <w:highlight w:val="none"/>
          <w:lang w:val="en-US" w:eastAsia="zh-CN"/>
        </w:rPr>
      </w:pPr>
      <w:r>
        <w:rPr>
          <w:rFonts w:hint="eastAsia"/>
          <w:highlight w:val="none"/>
        </w:rPr>
        <w:t>截止到2021年6月底，保洁公司有保洁员1200个，封闭式压缩车39辆，铲车及其它车辆共2辆，人力三轮保洁车1285辆，240L的垃圾桶9286个。各环卫保洁公司按合同要求配备了车辆、清洁工具等。</w:t>
      </w:r>
      <w:r>
        <w:rPr>
          <w:rFonts w:hint="eastAsia"/>
          <w:highlight w:val="none"/>
          <w:lang w:val="en-US" w:eastAsia="zh-CN"/>
        </w:rPr>
        <w:t>根据3家中标公司服务的11个乡镇的户数核算的应配备保洁员人数为1293名，实际保洁员人数为1200名，保洁人员缺少比例为7.2%，缺少比例在5%-10%之间，扣2分。</w:t>
      </w:r>
    </w:p>
    <w:p>
      <w:pPr>
        <w:bidi w:val="0"/>
        <w:rPr>
          <w:rFonts w:hint="eastAsia"/>
          <w:highlight w:val="none"/>
        </w:rPr>
      </w:pPr>
      <w:r>
        <w:rPr>
          <w:rFonts w:hint="eastAsia"/>
          <w:highlight w:val="none"/>
        </w:rPr>
        <w:t>经评价，该项指标得分</w:t>
      </w:r>
      <w:r>
        <w:rPr>
          <w:rFonts w:hint="eastAsia"/>
          <w:highlight w:val="none"/>
          <w:lang w:val="en-US" w:eastAsia="zh-CN"/>
        </w:rPr>
        <w:t>3</w:t>
      </w:r>
      <w:r>
        <w:rPr>
          <w:rFonts w:hint="eastAsia"/>
          <w:highlight w:val="none"/>
        </w:rPr>
        <w:t>分。</w:t>
      </w:r>
    </w:p>
    <w:p>
      <w:pPr>
        <w:bidi w:val="0"/>
        <w:rPr>
          <w:rFonts w:hint="eastAsia"/>
        </w:rPr>
      </w:pPr>
      <w:r>
        <w:rPr>
          <w:rFonts w:hint="eastAsia"/>
          <w:lang w:eastAsia="zh-CN"/>
        </w:rPr>
        <w:t>（</w:t>
      </w:r>
      <w:r>
        <w:rPr>
          <w:rFonts w:hint="eastAsia"/>
          <w:lang w:val="en-US" w:eastAsia="zh-CN"/>
        </w:rPr>
        <w:t>2</w:t>
      </w:r>
      <w:r>
        <w:rPr>
          <w:rFonts w:hint="eastAsia"/>
          <w:lang w:eastAsia="zh-CN"/>
        </w:rPr>
        <w:t>）提供的服务数量</w:t>
      </w:r>
      <w:r>
        <w:rPr>
          <w:rFonts w:hint="eastAsia"/>
        </w:rPr>
        <w:t>（满分</w:t>
      </w:r>
      <w:r>
        <w:rPr>
          <w:rFonts w:hint="eastAsia"/>
          <w:lang w:val="en-US" w:eastAsia="zh-CN"/>
        </w:rPr>
        <w:t>5</w:t>
      </w:r>
      <w:r>
        <w:rPr>
          <w:rFonts w:hint="eastAsia"/>
        </w:rPr>
        <w:t>分，评价得分</w:t>
      </w:r>
      <w:r>
        <w:rPr>
          <w:rFonts w:hint="eastAsia"/>
          <w:lang w:val="en-US" w:eastAsia="zh-CN"/>
        </w:rPr>
        <w:t>5</w:t>
      </w:r>
      <w:r>
        <w:rPr>
          <w:rFonts w:hint="eastAsia"/>
        </w:rPr>
        <w:t>分）</w:t>
      </w:r>
    </w:p>
    <w:p>
      <w:pPr>
        <w:bidi w:val="0"/>
        <w:rPr>
          <w:rFonts w:hint="eastAsia"/>
          <w:lang w:val="en-US" w:eastAsia="zh-CN"/>
        </w:rPr>
      </w:pPr>
      <w:r>
        <w:rPr>
          <w:rFonts w:hint="eastAsia"/>
          <w:lang w:val="en-US" w:eastAsia="zh-CN"/>
        </w:rPr>
        <w:t>3家中标公司为无极县206个行政村村庄及周边、城乡结合部区域、公路（国省干道经村段、县乡干道经村段、全部村村通公路）、河道（沟渠）用地（管理）范围提供环境卫生清扫保洁及生活垃圾清运，基本完成合同要求的服务范围。2020年6月1日至2021年5月31日，三家中标公司累计处理垃圾量90089.36吨，明细如下：</w:t>
      </w:r>
    </w:p>
    <w:p>
      <w:pPr>
        <w:bidi w:val="0"/>
        <w:rPr>
          <w:rFonts w:hint="default"/>
          <w:lang w:val="en-US" w:eastAsia="zh-CN"/>
        </w:rPr>
      </w:pPr>
    </w:p>
    <w:p>
      <w:pPr>
        <w:bidi w:val="0"/>
        <w:rPr>
          <w:rFonts w:hint="default"/>
          <w:lang w:val="en-US" w:eastAsia="zh-CN"/>
        </w:rPr>
      </w:pPr>
    </w:p>
    <w:tbl>
      <w:tblPr>
        <w:tblStyle w:val="9"/>
        <w:tblW w:w="5000" w:type="pct"/>
        <w:tblInd w:w="0" w:type="dxa"/>
        <w:shd w:val="clear" w:color="auto" w:fill="auto"/>
        <w:tblLayout w:type="autofit"/>
        <w:tblCellMar>
          <w:top w:w="0" w:type="dxa"/>
          <w:left w:w="108" w:type="dxa"/>
          <w:bottom w:w="0" w:type="dxa"/>
          <w:right w:w="108" w:type="dxa"/>
        </w:tblCellMar>
      </w:tblPr>
      <w:tblGrid>
        <w:gridCol w:w="3646"/>
        <w:gridCol w:w="5414"/>
      </w:tblGrid>
      <w:tr>
        <w:tblPrEx>
          <w:shd w:val="clear" w:color="auto" w:fill="auto"/>
          <w:tblCellMar>
            <w:top w:w="0" w:type="dxa"/>
            <w:left w:w="108" w:type="dxa"/>
            <w:bottom w:w="0" w:type="dxa"/>
            <w:right w:w="108" w:type="dxa"/>
          </w:tblCellMar>
        </w:tblPrEx>
        <w:trPr>
          <w:trHeight w:val="700" w:hRule="atLeast"/>
        </w:trPr>
        <w:tc>
          <w:tcPr>
            <w:tcW w:w="5000" w:type="pct"/>
            <w:gridSpan w:val="2"/>
            <w:tcBorders>
              <w:top w:val="nil"/>
              <w:left w:val="nil"/>
              <w:bottom w:val="nil"/>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kern w:val="0"/>
                <w:sz w:val="28"/>
                <w:szCs w:val="28"/>
                <w:lang w:val="en-US" w:eastAsia="zh-CN"/>
              </w:rPr>
            </w:pPr>
            <w:r>
              <w:rPr>
                <w:rFonts w:hint="eastAsia" w:ascii="仿宋" w:hAnsi="仿宋" w:eastAsia="仿宋" w:cs="仿宋"/>
                <w:b/>
                <w:bCs/>
                <w:kern w:val="0"/>
                <w:sz w:val="28"/>
                <w:szCs w:val="28"/>
                <w:lang w:val="en-US" w:eastAsia="zh-CN"/>
              </w:rPr>
              <w:t>垃圾处理量统计表</w:t>
            </w:r>
          </w:p>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ascii="仿宋" w:hAnsi="仿宋" w:eastAsia="仿宋" w:cs="仿宋"/>
                <w:b/>
                <w:bCs/>
                <w:i w:val="0"/>
                <w:iCs w:val="0"/>
                <w:color w:val="000000"/>
                <w:sz w:val="24"/>
                <w:szCs w:val="24"/>
                <w:u w:val="none"/>
              </w:rPr>
            </w:pPr>
            <w:r>
              <w:rPr>
                <w:rFonts w:hint="eastAsia" w:ascii="仿宋" w:hAnsi="仿宋" w:eastAsia="仿宋" w:cs="仿宋"/>
                <w:b/>
                <w:bCs/>
                <w:kern w:val="0"/>
                <w:sz w:val="28"/>
                <w:szCs w:val="28"/>
                <w:lang w:val="en-US" w:eastAsia="zh-CN"/>
              </w:rPr>
              <w:t>（2020年6月1日-2021年5月3</w:t>
            </w:r>
            <w:r>
              <w:rPr>
                <w:rFonts w:hint="eastAsia" w:cs="仿宋"/>
                <w:b/>
                <w:bCs/>
                <w:kern w:val="0"/>
                <w:sz w:val="28"/>
                <w:szCs w:val="28"/>
                <w:lang w:val="en-US" w:eastAsia="zh-CN"/>
              </w:rPr>
              <w:t>1</w:t>
            </w:r>
            <w:r>
              <w:rPr>
                <w:rFonts w:hint="eastAsia" w:ascii="仿宋" w:hAnsi="仿宋" w:eastAsia="仿宋" w:cs="仿宋"/>
                <w:b/>
                <w:bCs/>
                <w:kern w:val="0"/>
                <w:sz w:val="28"/>
                <w:szCs w:val="28"/>
                <w:lang w:val="en-US" w:eastAsia="zh-CN"/>
              </w:rPr>
              <w:t>日）</w:t>
            </w:r>
          </w:p>
        </w:tc>
      </w:tr>
      <w:tr>
        <w:tblPrEx>
          <w:shd w:val="clear" w:color="auto" w:fill="auto"/>
          <w:tblCellMar>
            <w:top w:w="0" w:type="dxa"/>
            <w:left w:w="108" w:type="dxa"/>
            <w:bottom w:w="0" w:type="dxa"/>
            <w:right w:w="108" w:type="dxa"/>
          </w:tblCellMar>
        </w:tblPrEx>
        <w:trPr>
          <w:trHeight w:val="285" w:hRule="atLeast"/>
        </w:trPr>
        <w:tc>
          <w:tcPr>
            <w:tcW w:w="20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bCs/>
                <w:color w:val="auto"/>
                <w:sz w:val="24"/>
                <w:lang w:val="en-US" w:eastAsia="zh-CN"/>
              </w:rPr>
            </w:pPr>
            <w:r>
              <w:rPr>
                <w:rFonts w:hint="eastAsia" w:cs="仿宋"/>
                <w:b/>
                <w:bCs/>
                <w:color w:val="auto"/>
                <w:sz w:val="24"/>
                <w:lang w:val="en-US" w:eastAsia="zh-CN"/>
              </w:rPr>
              <w:t>公司名称</w:t>
            </w:r>
          </w:p>
        </w:tc>
        <w:tc>
          <w:tcPr>
            <w:tcW w:w="29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bCs/>
                <w:color w:val="auto"/>
                <w:sz w:val="24"/>
                <w:lang w:val="en-US" w:eastAsia="zh-CN"/>
              </w:rPr>
            </w:pPr>
            <w:r>
              <w:rPr>
                <w:rFonts w:hint="eastAsia" w:cs="仿宋"/>
                <w:b/>
                <w:bCs/>
                <w:color w:val="auto"/>
                <w:sz w:val="24"/>
                <w:lang w:val="en-US" w:eastAsia="zh-CN"/>
              </w:rPr>
              <w:t>累计处置垃圾量（吨）</w:t>
            </w:r>
          </w:p>
        </w:tc>
      </w:tr>
      <w:tr>
        <w:tblPrEx>
          <w:shd w:val="clear" w:color="auto" w:fill="auto"/>
          <w:tblCellMar>
            <w:top w:w="0" w:type="dxa"/>
            <w:left w:w="108" w:type="dxa"/>
            <w:bottom w:w="0" w:type="dxa"/>
            <w:right w:w="108" w:type="dxa"/>
          </w:tblCellMar>
        </w:tblPrEx>
        <w:trPr>
          <w:trHeight w:val="285" w:hRule="atLeast"/>
        </w:trPr>
        <w:tc>
          <w:tcPr>
            <w:tcW w:w="20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color w:val="auto"/>
                <w:sz w:val="24"/>
                <w:lang w:val="en-US" w:eastAsia="zh-CN"/>
              </w:rPr>
            </w:pPr>
            <w:r>
              <w:rPr>
                <w:rFonts w:hint="eastAsia" w:cs="仿宋"/>
                <w:b w:val="0"/>
                <w:bCs w:val="0"/>
                <w:color w:val="auto"/>
                <w:sz w:val="24"/>
                <w:lang w:val="en-US" w:eastAsia="zh-CN"/>
              </w:rPr>
              <w:t>合骏公司</w:t>
            </w:r>
          </w:p>
        </w:tc>
        <w:tc>
          <w:tcPr>
            <w:tcW w:w="29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right"/>
              <w:textAlignment w:val="auto"/>
              <w:rPr>
                <w:rFonts w:hint="eastAsia" w:cs="仿宋"/>
                <w:b w:val="0"/>
                <w:bCs w:val="0"/>
                <w:color w:val="auto"/>
                <w:sz w:val="24"/>
                <w:lang w:val="en-US" w:eastAsia="zh-CN"/>
              </w:rPr>
            </w:pPr>
            <w:r>
              <w:rPr>
                <w:rFonts w:hint="eastAsia" w:cs="仿宋"/>
                <w:b w:val="0"/>
                <w:bCs w:val="0"/>
                <w:color w:val="auto"/>
                <w:sz w:val="24"/>
                <w:lang w:val="en-US" w:eastAsia="zh-CN"/>
              </w:rPr>
              <w:t xml:space="preserve">26572.94 </w:t>
            </w:r>
          </w:p>
        </w:tc>
      </w:tr>
      <w:tr>
        <w:tblPrEx>
          <w:tblCellMar>
            <w:top w:w="0" w:type="dxa"/>
            <w:left w:w="108" w:type="dxa"/>
            <w:bottom w:w="0" w:type="dxa"/>
            <w:right w:w="108" w:type="dxa"/>
          </w:tblCellMar>
        </w:tblPrEx>
        <w:trPr>
          <w:trHeight w:val="285" w:hRule="atLeast"/>
        </w:trPr>
        <w:tc>
          <w:tcPr>
            <w:tcW w:w="20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color w:val="auto"/>
                <w:sz w:val="24"/>
                <w:lang w:val="en-US" w:eastAsia="zh-CN"/>
              </w:rPr>
            </w:pPr>
            <w:r>
              <w:rPr>
                <w:rFonts w:hint="eastAsia" w:cs="仿宋"/>
                <w:b w:val="0"/>
                <w:bCs w:val="0"/>
                <w:color w:val="auto"/>
                <w:sz w:val="24"/>
                <w:lang w:val="en-US" w:eastAsia="zh-CN"/>
              </w:rPr>
              <w:t>广拓公司</w:t>
            </w:r>
          </w:p>
        </w:tc>
        <w:tc>
          <w:tcPr>
            <w:tcW w:w="29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right"/>
              <w:textAlignment w:val="auto"/>
              <w:rPr>
                <w:rFonts w:hint="eastAsia" w:cs="仿宋"/>
                <w:b w:val="0"/>
                <w:bCs w:val="0"/>
                <w:color w:val="auto"/>
                <w:sz w:val="24"/>
                <w:lang w:val="en-US" w:eastAsia="zh-CN"/>
              </w:rPr>
            </w:pPr>
            <w:r>
              <w:rPr>
                <w:rFonts w:hint="eastAsia" w:cs="仿宋"/>
                <w:b w:val="0"/>
                <w:bCs w:val="0"/>
                <w:color w:val="auto"/>
                <w:sz w:val="24"/>
                <w:lang w:val="en-US" w:eastAsia="zh-CN"/>
              </w:rPr>
              <w:t xml:space="preserve">32701.60 </w:t>
            </w:r>
          </w:p>
        </w:tc>
      </w:tr>
      <w:tr>
        <w:tblPrEx>
          <w:tblCellMar>
            <w:top w:w="0" w:type="dxa"/>
            <w:left w:w="108" w:type="dxa"/>
            <w:bottom w:w="0" w:type="dxa"/>
            <w:right w:w="108" w:type="dxa"/>
          </w:tblCellMar>
        </w:tblPrEx>
        <w:trPr>
          <w:trHeight w:val="285" w:hRule="atLeast"/>
        </w:trPr>
        <w:tc>
          <w:tcPr>
            <w:tcW w:w="20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color w:val="auto"/>
                <w:sz w:val="24"/>
                <w:lang w:val="en-US" w:eastAsia="zh-CN"/>
              </w:rPr>
            </w:pPr>
            <w:r>
              <w:rPr>
                <w:rFonts w:hint="eastAsia" w:cs="仿宋"/>
                <w:b w:val="0"/>
                <w:bCs w:val="0"/>
                <w:color w:val="auto"/>
                <w:sz w:val="24"/>
                <w:lang w:val="en-US" w:eastAsia="zh-CN"/>
              </w:rPr>
              <w:t>志程洁公司</w:t>
            </w:r>
          </w:p>
        </w:tc>
        <w:tc>
          <w:tcPr>
            <w:tcW w:w="29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right"/>
              <w:textAlignment w:val="auto"/>
              <w:rPr>
                <w:rFonts w:hint="eastAsia" w:cs="仿宋"/>
                <w:b w:val="0"/>
                <w:bCs w:val="0"/>
                <w:color w:val="auto"/>
                <w:sz w:val="24"/>
                <w:lang w:val="en-US" w:eastAsia="zh-CN"/>
              </w:rPr>
            </w:pPr>
            <w:r>
              <w:rPr>
                <w:rFonts w:hint="eastAsia" w:cs="仿宋"/>
                <w:b w:val="0"/>
                <w:bCs w:val="0"/>
                <w:color w:val="auto"/>
                <w:sz w:val="24"/>
                <w:lang w:val="en-US" w:eastAsia="zh-CN"/>
              </w:rPr>
              <w:t xml:space="preserve">30814.82 </w:t>
            </w:r>
          </w:p>
        </w:tc>
      </w:tr>
      <w:tr>
        <w:tblPrEx>
          <w:shd w:val="clear" w:color="auto" w:fill="auto"/>
          <w:tblCellMar>
            <w:top w:w="0" w:type="dxa"/>
            <w:left w:w="108" w:type="dxa"/>
            <w:bottom w:w="0" w:type="dxa"/>
            <w:right w:w="108" w:type="dxa"/>
          </w:tblCellMar>
        </w:tblPrEx>
        <w:trPr>
          <w:trHeight w:val="285" w:hRule="atLeast"/>
        </w:trPr>
        <w:tc>
          <w:tcPr>
            <w:tcW w:w="20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bCs/>
                <w:color w:val="auto"/>
                <w:sz w:val="24"/>
                <w:lang w:val="en-US" w:eastAsia="zh-CN"/>
              </w:rPr>
            </w:pPr>
            <w:r>
              <w:rPr>
                <w:rFonts w:hint="eastAsia" w:cs="仿宋"/>
                <w:b/>
                <w:bCs/>
                <w:color w:val="auto"/>
                <w:sz w:val="24"/>
                <w:lang w:val="en-US" w:eastAsia="zh-CN"/>
              </w:rPr>
              <w:t>合计</w:t>
            </w:r>
          </w:p>
        </w:tc>
        <w:tc>
          <w:tcPr>
            <w:tcW w:w="29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right"/>
              <w:textAlignment w:val="auto"/>
              <w:rPr>
                <w:rFonts w:hint="eastAsia" w:cs="仿宋"/>
                <w:b/>
                <w:bCs/>
                <w:color w:val="auto"/>
                <w:sz w:val="24"/>
                <w:lang w:val="en-US" w:eastAsia="zh-CN"/>
              </w:rPr>
            </w:pPr>
            <w:r>
              <w:rPr>
                <w:rFonts w:hint="eastAsia" w:cs="仿宋"/>
                <w:b/>
                <w:bCs/>
                <w:color w:val="auto"/>
                <w:sz w:val="24"/>
                <w:lang w:val="en-US" w:eastAsia="zh-CN"/>
              </w:rPr>
              <w:t>90089.36</w:t>
            </w:r>
          </w:p>
        </w:tc>
      </w:tr>
    </w:tbl>
    <w:p>
      <w:pPr>
        <w:bidi w:val="0"/>
        <w:rPr>
          <w:rFonts w:hint="eastAsia"/>
        </w:rPr>
      </w:pPr>
      <w:r>
        <w:rPr>
          <w:rFonts w:hint="eastAsia"/>
        </w:rPr>
        <w:t>经评价，该项指标得分</w:t>
      </w:r>
      <w:r>
        <w:rPr>
          <w:rFonts w:hint="eastAsia"/>
          <w:lang w:val="en-US" w:eastAsia="zh-CN"/>
        </w:rPr>
        <w:t>5</w:t>
      </w:r>
      <w:r>
        <w:rPr>
          <w:rFonts w:hint="eastAsia"/>
        </w:rPr>
        <w:t>分。</w:t>
      </w:r>
    </w:p>
    <w:p>
      <w:pPr>
        <w:pStyle w:val="5"/>
        <w:bidi w:val="0"/>
      </w:pPr>
      <w:r>
        <w:rPr>
          <w:rFonts w:hint="eastAsia"/>
        </w:rPr>
        <w:t>2.产出质量指标（满分10分，评价得分</w:t>
      </w:r>
      <w:r>
        <w:rPr>
          <w:rFonts w:hint="eastAsia"/>
          <w:lang w:val="en-US" w:eastAsia="zh-CN"/>
        </w:rPr>
        <w:t>9.56</w:t>
      </w:r>
      <w:r>
        <w:rPr>
          <w:rFonts w:hint="eastAsia"/>
        </w:rPr>
        <w:t>分）</w:t>
      </w:r>
    </w:p>
    <w:p>
      <w:pPr>
        <w:bidi w:val="0"/>
        <w:rPr>
          <w:rFonts w:hint="eastAsia" w:cs="仿宋_GB2312"/>
          <w:sz w:val="32"/>
          <w:szCs w:val="32"/>
          <w:highlight w:val="none"/>
          <w:lang w:val="en-US" w:eastAsia="zh-CN"/>
        </w:rPr>
      </w:pPr>
      <w:r>
        <w:rPr>
          <w:rFonts w:hint="eastAsia" w:cs="仿宋_GB2312"/>
          <w:sz w:val="32"/>
          <w:szCs w:val="32"/>
          <w:highlight w:val="none"/>
          <w:lang w:val="en-US" w:eastAsia="zh-CN"/>
        </w:rPr>
        <w:t>（1）监督与考核</w:t>
      </w:r>
      <w:r>
        <w:rPr>
          <w:rFonts w:hint="eastAsia"/>
        </w:rPr>
        <w:t>（满分</w:t>
      </w:r>
      <w:r>
        <w:rPr>
          <w:rFonts w:hint="eastAsia"/>
          <w:lang w:val="en-US" w:eastAsia="zh-CN"/>
        </w:rPr>
        <w:t>5</w:t>
      </w:r>
      <w:r>
        <w:rPr>
          <w:rFonts w:hint="eastAsia"/>
        </w:rPr>
        <w:t>分，评价得分</w:t>
      </w:r>
      <w:r>
        <w:rPr>
          <w:rFonts w:hint="eastAsia"/>
          <w:lang w:val="en-US" w:eastAsia="zh-CN"/>
        </w:rPr>
        <w:t>5</w:t>
      </w:r>
      <w:r>
        <w:rPr>
          <w:rFonts w:hint="eastAsia"/>
        </w:rPr>
        <w:t>分）</w:t>
      </w:r>
    </w:p>
    <w:p>
      <w:pPr>
        <w:widowControl w:val="0"/>
        <w:wordWrap/>
        <w:adjustRightInd/>
        <w:snapToGrid/>
        <w:spacing w:line="580" w:lineRule="exact"/>
        <w:ind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cs="仿宋_GB2312"/>
          <w:sz w:val="32"/>
          <w:szCs w:val="32"/>
          <w:highlight w:val="none"/>
          <w:lang w:val="en-US" w:eastAsia="zh-CN"/>
        </w:rPr>
        <w:t>城管局与各乡镇</w:t>
      </w:r>
      <w:r>
        <w:rPr>
          <w:rFonts w:hint="eastAsia" w:ascii="仿宋_GB2312" w:hAnsi="仿宋_GB2312" w:eastAsia="仿宋_GB2312" w:cs="仿宋_GB2312"/>
          <w:sz w:val="32"/>
          <w:szCs w:val="32"/>
          <w:highlight w:val="none"/>
        </w:rPr>
        <w:t>坚持公开、公平、公正的原则，围绕环境卫生的工作重点，统一考核标准和工作办法，采取日检查、周通报、月汇总相结合的检查制度，使考核常态化、规范化、制度化。</w:t>
      </w:r>
      <w:r>
        <w:rPr>
          <w:rFonts w:hint="eastAsia" w:cs="仿宋_GB2312"/>
          <w:sz w:val="32"/>
          <w:szCs w:val="32"/>
          <w:highlight w:val="none"/>
          <w:lang w:val="en-US" w:eastAsia="zh-CN"/>
        </w:rPr>
        <w:t>严格按照《无极县城市管理综合行政执法局环卫市场化运作保洁考核办法》，对</w:t>
      </w:r>
      <w:r>
        <w:rPr>
          <w:rFonts w:hint="eastAsia" w:ascii="仿宋_GB2312" w:hAnsi="仿宋_GB2312" w:eastAsia="仿宋_GB2312" w:cs="仿宋_GB2312"/>
          <w:sz w:val="32"/>
          <w:szCs w:val="32"/>
          <w:highlight w:val="none"/>
        </w:rPr>
        <w:t>全县十一个乡镇</w:t>
      </w:r>
      <w:r>
        <w:rPr>
          <w:rFonts w:hint="eastAsia" w:ascii="仿宋_GB2312" w:hAnsi="仿宋_GB2312" w:eastAsia="仿宋_GB2312" w:cs="仿宋_GB2312"/>
          <w:sz w:val="32"/>
          <w:szCs w:val="32"/>
          <w:highlight w:val="none"/>
          <w:lang w:eastAsia="zh-CN"/>
        </w:rPr>
        <w:t>及经济开发区</w:t>
      </w:r>
      <w:r>
        <w:rPr>
          <w:rFonts w:hint="eastAsia" w:ascii="仿宋_GB2312" w:hAnsi="仿宋_GB2312" w:eastAsia="仿宋_GB2312" w:cs="仿宋_GB2312"/>
          <w:sz w:val="32"/>
          <w:szCs w:val="32"/>
          <w:highlight w:val="none"/>
        </w:rPr>
        <w:t>，所有行政村</w:t>
      </w:r>
      <w:r>
        <w:rPr>
          <w:rFonts w:hint="eastAsia" w:ascii="仿宋_GB2312" w:hAnsi="仿宋_GB2312" w:eastAsia="仿宋_GB2312" w:cs="仿宋_GB2312"/>
          <w:sz w:val="32"/>
          <w:szCs w:val="32"/>
          <w:highlight w:val="none"/>
          <w:lang w:eastAsia="zh-CN"/>
        </w:rPr>
        <w:t>及经济开发区</w:t>
      </w:r>
      <w:r>
        <w:rPr>
          <w:rFonts w:hint="eastAsia" w:ascii="仿宋_GB2312" w:hAnsi="仿宋_GB2312" w:eastAsia="仿宋_GB2312" w:cs="仿宋_GB2312"/>
          <w:sz w:val="32"/>
          <w:szCs w:val="32"/>
          <w:highlight w:val="none"/>
        </w:rPr>
        <w:t>范围内的道路（含村内道路、通村道路、县级以上主干线</w:t>
      </w:r>
      <w:r>
        <w:rPr>
          <w:rFonts w:hint="eastAsia" w:ascii="仿宋_GB2312" w:hAnsi="仿宋_GB2312" w:eastAsia="仿宋_GB2312" w:cs="仿宋_GB2312"/>
          <w:sz w:val="32"/>
          <w:szCs w:val="32"/>
          <w:highlight w:val="none"/>
          <w:lang w:eastAsia="zh-CN"/>
        </w:rPr>
        <w:t>过村路段</w:t>
      </w:r>
      <w:r>
        <w:rPr>
          <w:rFonts w:hint="eastAsia" w:ascii="仿宋_GB2312" w:hAnsi="仿宋_GB2312" w:eastAsia="仿宋_GB2312" w:cs="仿宋_GB2312"/>
          <w:sz w:val="32"/>
          <w:szCs w:val="32"/>
          <w:highlight w:val="none"/>
        </w:rPr>
        <w:t>两侧）、沟渠、坑塘、绿化带、房前屋后、垃圾点</w:t>
      </w:r>
      <w:r>
        <w:rPr>
          <w:rFonts w:hint="eastAsia" w:ascii="仿宋_GB2312" w:hAnsi="仿宋_GB2312" w:eastAsia="仿宋_GB2312" w:cs="仿宋_GB2312"/>
          <w:sz w:val="32"/>
          <w:szCs w:val="32"/>
          <w:highlight w:val="none"/>
          <w:lang w:eastAsia="zh-CN"/>
        </w:rPr>
        <w:t>等</w:t>
      </w:r>
      <w:r>
        <w:rPr>
          <w:rFonts w:hint="eastAsia" w:ascii="仿宋_GB2312" w:hAnsi="仿宋_GB2312" w:eastAsia="仿宋_GB2312" w:cs="仿宋_GB2312"/>
          <w:sz w:val="32"/>
          <w:szCs w:val="32"/>
          <w:highlight w:val="none"/>
          <w:lang w:val="en-US" w:eastAsia="zh-CN"/>
        </w:rPr>
        <w:t>进行考核，考核结果直接挂钩三家中标公司的环境卫生及垃圾清运经费的拨付。城管局及各乡镇的</w:t>
      </w:r>
      <w:r>
        <w:rPr>
          <w:rFonts w:hint="eastAsia" w:ascii="仿宋_GB2312" w:hAnsi="仿宋_GB2312" w:eastAsia="仿宋_GB2312" w:cs="仿宋_GB2312"/>
          <w:sz w:val="32"/>
          <w:szCs w:val="32"/>
          <w:lang w:val="en-US" w:eastAsia="zh-CN"/>
        </w:rPr>
        <w:t>监督与考核责任落实到位。</w:t>
      </w:r>
    </w:p>
    <w:p>
      <w:pPr>
        <w:pStyle w:val="12"/>
        <w:rPr>
          <w:rFonts w:hint="eastAsia"/>
        </w:rPr>
      </w:pPr>
      <w:r>
        <w:rPr>
          <w:rFonts w:hint="eastAsia"/>
        </w:rPr>
        <w:t>经评价，该项指标得分</w:t>
      </w:r>
      <w:r>
        <w:rPr>
          <w:rFonts w:hint="eastAsia"/>
          <w:lang w:val="en-US" w:eastAsia="zh-CN"/>
        </w:rPr>
        <w:t>5</w:t>
      </w:r>
      <w:r>
        <w:rPr>
          <w:rFonts w:hint="eastAsia"/>
        </w:rPr>
        <w:t>分。</w:t>
      </w:r>
    </w:p>
    <w:p>
      <w:pPr>
        <w:bidi w:val="0"/>
        <w:rPr>
          <w:rFonts w:hint="eastAsia" w:cs="仿宋_GB2312"/>
          <w:sz w:val="32"/>
          <w:szCs w:val="32"/>
          <w:highlight w:val="none"/>
          <w:lang w:val="en-US" w:eastAsia="zh-CN"/>
        </w:rPr>
      </w:pPr>
      <w:r>
        <w:rPr>
          <w:rFonts w:hint="eastAsia"/>
          <w:highlight w:val="none"/>
          <w:lang w:val="en-US" w:eastAsia="zh-CN"/>
        </w:rPr>
        <w:t>（2）</w:t>
      </w:r>
      <w:r>
        <w:rPr>
          <w:rFonts w:hint="default"/>
          <w:highlight w:val="none"/>
          <w:lang w:val="en-US" w:eastAsia="zh-CN"/>
        </w:rPr>
        <w:t>服务质量合规率</w:t>
      </w:r>
      <w:r>
        <w:rPr>
          <w:rFonts w:hint="eastAsia"/>
          <w:highlight w:val="none"/>
        </w:rPr>
        <w:t>（满分</w:t>
      </w:r>
      <w:r>
        <w:rPr>
          <w:rFonts w:hint="eastAsia"/>
          <w:highlight w:val="none"/>
          <w:lang w:val="en-US" w:eastAsia="zh-CN"/>
        </w:rPr>
        <w:t>5</w:t>
      </w:r>
      <w:r>
        <w:rPr>
          <w:rFonts w:hint="eastAsia"/>
          <w:highlight w:val="none"/>
        </w:rPr>
        <w:t>分，评价得分</w:t>
      </w:r>
      <w:r>
        <w:rPr>
          <w:rFonts w:hint="eastAsia"/>
          <w:highlight w:val="none"/>
          <w:lang w:val="en-US" w:eastAsia="zh-CN"/>
        </w:rPr>
        <w:t>4.95</w:t>
      </w:r>
      <w:r>
        <w:rPr>
          <w:rFonts w:hint="eastAsia"/>
          <w:highlight w:val="none"/>
        </w:rPr>
        <w:t>分）</w:t>
      </w:r>
    </w:p>
    <w:p>
      <w:pPr>
        <w:pStyle w:val="12"/>
        <w:rPr>
          <w:rFonts w:hint="eastAsia"/>
          <w:color w:val="auto"/>
          <w:highlight w:val="none"/>
          <w:lang w:val="en-US" w:eastAsia="zh-CN"/>
        </w:rPr>
      </w:pPr>
      <w:r>
        <w:rPr>
          <w:rFonts w:hint="eastAsia" w:cs="仿宋_GB2312"/>
          <w:sz w:val="32"/>
          <w:szCs w:val="32"/>
          <w:highlight w:val="none"/>
          <w:lang w:val="en-US" w:eastAsia="zh-CN"/>
        </w:rPr>
        <w:t>城管局与各乡镇每月对3家中标公司负责的11个乡镇的环境卫生情况进行总体考核，</w:t>
      </w:r>
      <w:r>
        <w:rPr>
          <w:rFonts w:hint="eastAsia" w:ascii="仿宋_GB2312" w:hAnsi="仿宋_GB2312" w:eastAsia="仿宋_GB2312" w:cs="仿宋_GB2312"/>
          <w:sz w:val="32"/>
          <w:szCs w:val="32"/>
          <w:highlight w:val="none"/>
          <w:lang w:val="en-US" w:eastAsia="zh-CN"/>
        </w:rPr>
        <w:t>考核结果直接挂钩三家中标企业的环境卫生及垃圾清运经费的</w:t>
      </w:r>
      <w:r>
        <w:rPr>
          <w:rFonts w:hint="eastAsia" w:ascii="仿宋_GB2312" w:hAnsi="仿宋_GB2312" w:eastAsia="仿宋_GB2312" w:cs="仿宋_GB2312"/>
          <w:color w:val="auto"/>
          <w:sz w:val="32"/>
          <w:szCs w:val="32"/>
          <w:highlight w:val="none"/>
          <w:lang w:val="en-US" w:eastAsia="zh-CN"/>
        </w:rPr>
        <w:t>拨付。经城管局与各乡镇的考核，</w:t>
      </w:r>
      <w:r>
        <w:rPr>
          <w:rFonts w:hint="eastAsia"/>
          <w:color w:val="auto"/>
          <w:highlight w:val="none"/>
          <w:lang w:val="en-US" w:eastAsia="zh-CN"/>
        </w:rPr>
        <w:t>2020年6月1日至2021年5月31日，服务合同总金额为2624.51万元，考核扣除费用总金额为27.94万元，服务质量合规率为98.94%。</w:t>
      </w:r>
    </w:p>
    <w:p>
      <w:pPr>
        <w:pStyle w:val="12"/>
        <w:rPr>
          <w:rFonts w:hint="default"/>
          <w:color w:val="auto"/>
          <w:highlight w:val="none"/>
          <w:lang w:val="en-US" w:eastAsia="zh-CN"/>
        </w:rPr>
      </w:pPr>
      <w:r>
        <w:rPr>
          <w:rFonts w:hint="eastAsia"/>
          <w:color w:val="auto"/>
          <w:highlight w:val="none"/>
        </w:rPr>
        <w:t>经评价，该项指标得分</w:t>
      </w:r>
      <w:r>
        <w:rPr>
          <w:rFonts w:hint="eastAsia"/>
          <w:color w:val="auto"/>
          <w:highlight w:val="none"/>
          <w:lang w:val="en-US" w:eastAsia="zh-CN"/>
        </w:rPr>
        <w:t>4.95</w:t>
      </w:r>
      <w:r>
        <w:rPr>
          <w:rFonts w:hint="eastAsia"/>
          <w:color w:val="auto"/>
          <w:highlight w:val="none"/>
        </w:rPr>
        <w:t>分。</w:t>
      </w:r>
    </w:p>
    <w:p>
      <w:pPr>
        <w:pStyle w:val="5"/>
        <w:bidi w:val="0"/>
      </w:pPr>
      <w:r>
        <w:rPr>
          <w:rFonts w:hint="eastAsia"/>
        </w:rPr>
        <w:t>3.</w:t>
      </w:r>
      <w:r>
        <w:t>产出时效</w:t>
      </w:r>
      <w:r>
        <w:rPr>
          <w:rFonts w:hint="eastAsia"/>
        </w:rPr>
        <w:t>指标（满分</w:t>
      </w:r>
      <w:r>
        <w:rPr>
          <w:rFonts w:hint="eastAsia"/>
          <w:lang w:val="en-US" w:eastAsia="zh-CN"/>
        </w:rPr>
        <w:t>10</w:t>
      </w:r>
      <w:r>
        <w:rPr>
          <w:rFonts w:hint="eastAsia"/>
        </w:rPr>
        <w:t>分，评价得分</w:t>
      </w:r>
      <w:r>
        <w:rPr>
          <w:rFonts w:hint="eastAsia"/>
          <w:lang w:val="en-US" w:eastAsia="zh-CN"/>
        </w:rPr>
        <w:t>2</w:t>
      </w:r>
      <w:r>
        <w:rPr>
          <w:rFonts w:hint="eastAsia"/>
        </w:rPr>
        <w:t>分）</w:t>
      </w:r>
    </w:p>
    <w:p>
      <w:pPr>
        <w:bidi w:val="0"/>
        <w:rPr>
          <w:rFonts w:hint="eastAsia"/>
          <w:color w:val="auto"/>
          <w:highlight w:val="none"/>
        </w:rPr>
      </w:pPr>
      <w:bookmarkStart w:id="43" w:name="_Toc16522"/>
      <w:r>
        <w:rPr>
          <w:rFonts w:hint="eastAsia"/>
          <w:color w:val="auto"/>
          <w:highlight w:val="none"/>
          <w:lang w:eastAsia="zh-CN"/>
        </w:rPr>
        <w:t>（</w:t>
      </w:r>
      <w:r>
        <w:rPr>
          <w:rFonts w:hint="eastAsia"/>
          <w:color w:val="auto"/>
          <w:highlight w:val="none"/>
          <w:lang w:val="en-US" w:eastAsia="zh-CN"/>
        </w:rPr>
        <w:t>1</w:t>
      </w:r>
      <w:r>
        <w:rPr>
          <w:rFonts w:hint="eastAsia"/>
          <w:color w:val="auto"/>
          <w:highlight w:val="none"/>
          <w:lang w:eastAsia="zh-CN"/>
        </w:rPr>
        <w:t>）</w:t>
      </w:r>
      <w:r>
        <w:rPr>
          <w:rFonts w:hint="eastAsia"/>
          <w:color w:val="auto"/>
          <w:highlight w:val="none"/>
        </w:rPr>
        <w:t>完成及时性（满分</w:t>
      </w:r>
      <w:r>
        <w:rPr>
          <w:rFonts w:hint="eastAsia"/>
          <w:color w:val="auto"/>
          <w:highlight w:val="none"/>
          <w:lang w:val="en-US" w:eastAsia="zh-CN"/>
        </w:rPr>
        <w:t>3</w:t>
      </w:r>
      <w:r>
        <w:rPr>
          <w:rFonts w:hint="eastAsia"/>
          <w:color w:val="auto"/>
          <w:highlight w:val="none"/>
        </w:rPr>
        <w:t>分，评价得分</w:t>
      </w:r>
      <w:r>
        <w:rPr>
          <w:rFonts w:hint="eastAsia"/>
          <w:color w:val="auto"/>
          <w:highlight w:val="none"/>
          <w:lang w:val="en-US" w:eastAsia="zh-CN"/>
        </w:rPr>
        <w:t>1</w:t>
      </w:r>
      <w:r>
        <w:rPr>
          <w:rFonts w:hint="eastAsia"/>
          <w:color w:val="auto"/>
          <w:highlight w:val="none"/>
        </w:rPr>
        <w:t>分）</w:t>
      </w:r>
    </w:p>
    <w:p>
      <w:pPr>
        <w:pStyle w:val="12"/>
        <w:rPr>
          <w:rFonts w:hint="eastAsia"/>
          <w:color w:val="auto"/>
          <w:highlight w:val="none"/>
        </w:rPr>
      </w:pPr>
      <w:r>
        <w:rPr>
          <w:rFonts w:hint="eastAsia"/>
          <w:color w:val="auto"/>
          <w:highlight w:val="none"/>
        </w:rPr>
        <w:t>评价组抽查3个乡镇30个村庄，其中有10个村庄存在垃圾清理不及时的问题</w:t>
      </w:r>
      <w:r>
        <w:rPr>
          <w:rFonts w:hint="eastAsia"/>
          <w:color w:val="auto"/>
          <w:highlight w:val="none"/>
          <w:lang w:eastAsia="zh-CN"/>
        </w:rPr>
        <w:t>，</w:t>
      </w:r>
      <w:r>
        <w:rPr>
          <w:rFonts w:hint="eastAsia"/>
          <w:color w:val="auto"/>
          <w:highlight w:val="none"/>
          <w:lang w:val="en-US" w:eastAsia="zh-CN"/>
        </w:rPr>
        <w:t>清扫</w:t>
      </w:r>
      <w:r>
        <w:rPr>
          <w:rFonts w:hint="eastAsia"/>
          <w:color w:val="auto"/>
          <w:highlight w:val="none"/>
        </w:rPr>
        <w:t>完成及时率33.33%。</w:t>
      </w:r>
    </w:p>
    <w:p>
      <w:pPr>
        <w:pStyle w:val="11"/>
        <w:spacing w:line="600" w:lineRule="exact"/>
        <w:ind w:firstLine="640"/>
        <w:rPr>
          <w:rFonts w:hint="eastAsia" w:ascii="仿宋" w:hAnsi="仿宋" w:eastAsia="仿宋" w:cs="仿宋_GB2312"/>
          <w:color w:val="auto"/>
          <w:sz w:val="32"/>
          <w:szCs w:val="32"/>
          <w:highlight w:val="none"/>
        </w:rPr>
      </w:pPr>
      <w:r>
        <w:rPr>
          <w:rFonts w:hint="eastAsia" w:ascii="仿宋" w:hAnsi="仿宋" w:eastAsia="仿宋" w:cs="仿宋_GB2312"/>
          <w:color w:val="auto"/>
          <w:sz w:val="32"/>
          <w:szCs w:val="32"/>
          <w:highlight w:val="none"/>
        </w:rPr>
        <w:t>经评价，该项指标得分</w:t>
      </w:r>
      <w:r>
        <w:rPr>
          <w:rFonts w:hint="eastAsia" w:cs="仿宋_GB2312"/>
          <w:color w:val="auto"/>
          <w:sz w:val="32"/>
          <w:szCs w:val="32"/>
          <w:highlight w:val="none"/>
          <w:lang w:val="en-US" w:eastAsia="zh-CN"/>
        </w:rPr>
        <w:t>1</w:t>
      </w:r>
      <w:r>
        <w:rPr>
          <w:rFonts w:hint="eastAsia" w:ascii="仿宋" w:hAnsi="仿宋" w:eastAsia="仿宋" w:cs="仿宋_GB2312"/>
          <w:color w:val="auto"/>
          <w:sz w:val="32"/>
          <w:szCs w:val="32"/>
          <w:highlight w:val="none"/>
        </w:rPr>
        <w:t>分。</w:t>
      </w:r>
    </w:p>
    <w:p>
      <w:pPr>
        <w:pStyle w:val="11"/>
        <w:spacing w:line="600" w:lineRule="exact"/>
        <w:ind w:firstLine="640"/>
        <w:rPr>
          <w:rFonts w:hint="eastAsia"/>
          <w:color w:val="auto"/>
          <w:highlight w:val="none"/>
        </w:rPr>
      </w:pPr>
      <w:r>
        <w:rPr>
          <w:rFonts w:hint="eastAsia" w:cs="仿宋_GB2312"/>
          <w:color w:val="auto"/>
          <w:sz w:val="32"/>
          <w:szCs w:val="32"/>
          <w:highlight w:val="none"/>
          <w:lang w:eastAsia="zh-CN"/>
        </w:rPr>
        <w:t>（</w:t>
      </w:r>
      <w:r>
        <w:rPr>
          <w:rFonts w:hint="eastAsia" w:cs="仿宋_GB2312"/>
          <w:color w:val="auto"/>
          <w:sz w:val="32"/>
          <w:szCs w:val="32"/>
          <w:highlight w:val="none"/>
          <w:lang w:val="en-US" w:eastAsia="zh-CN"/>
        </w:rPr>
        <w:t>2</w:t>
      </w:r>
      <w:r>
        <w:rPr>
          <w:rFonts w:hint="eastAsia" w:cs="仿宋_GB2312"/>
          <w:color w:val="auto"/>
          <w:sz w:val="32"/>
          <w:szCs w:val="32"/>
          <w:highlight w:val="none"/>
          <w:lang w:eastAsia="zh-CN"/>
        </w:rPr>
        <w:t>）</w:t>
      </w:r>
      <w:r>
        <w:rPr>
          <w:rFonts w:hint="eastAsia" w:ascii="仿宋" w:hAnsi="仿宋" w:eastAsia="仿宋" w:cs="仿宋_GB2312"/>
          <w:color w:val="auto"/>
          <w:sz w:val="32"/>
          <w:szCs w:val="32"/>
          <w:highlight w:val="none"/>
        </w:rPr>
        <w:t>按合同要求付款</w:t>
      </w:r>
      <w:r>
        <w:rPr>
          <w:rFonts w:hint="eastAsia"/>
          <w:color w:val="auto"/>
          <w:highlight w:val="none"/>
        </w:rPr>
        <w:t>（满分</w:t>
      </w:r>
      <w:r>
        <w:rPr>
          <w:rFonts w:hint="eastAsia"/>
          <w:color w:val="auto"/>
          <w:highlight w:val="none"/>
          <w:lang w:val="en-US" w:eastAsia="zh-CN"/>
        </w:rPr>
        <w:t>5</w:t>
      </w:r>
      <w:r>
        <w:rPr>
          <w:rFonts w:hint="eastAsia"/>
          <w:color w:val="auto"/>
          <w:highlight w:val="none"/>
        </w:rPr>
        <w:t>分，评价得分</w:t>
      </w:r>
      <w:r>
        <w:rPr>
          <w:rFonts w:hint="eastAsia"/>
          <w:color w:val="auto"/>
          <w:highlight w:val="none"/>
          <w:lang w:val="en-US" w:eastAsia="zh-CN"/>
        </w:rPr>
        <w:t>3</w:t>
      </w:r>
      <w:r>
        <w:rPr>
          <w:rFonts w:hint="eastAsia"/>
          <w:color w:val="auto"/>
          <w:highlight w:val="none"/>
        </w:rPr>
        <w:t>分）</w:t>
      </w:r>
    </w:p>
    <w:p>
      <w:pPr>
        <w:bidi w:val="0"/>
        <w:rPr>
          <w:rFonts w:hint="default"/>
          <w:highlight w:val="none"/>
          <w:lang w:val="en-US" w:eastAsia="zh-CN"/>
        </w:rPr>
      </w:pPr>
      <w:r>
        <w:rPr>
          <w:rFonts w:hint="eastAsia"/>
          <w:highlight w:val="none"/>
          <w:lang w:val="en-US" w:eastAsia="zh-CN"/>
        </w:rPr>
        <w:t>城管局与3家中标公司签订的服务合同中，支付方式为甲方（城管局）每月对乙方（中标公司）工作完成情况进行考评，根据考评结果按月支付乙方服务费用，甲方在每月10日前向乙方支付上月的服务费用。根据城管局与3家中标公司提供的财务资料，五次付款时点为2020年9月、2020年12月、2021年3月、2021年6月与2021年7月，服务费用实际均未按月付款，未按合同要求的支付方式付款。</w:t>
      </w:r>
    </w:p>
    <w:p>
      <w:pPr>
        <w:bidi w:val="0"/>
        <w:rPr>
          <w:rFonts w:hint="eastAsia" w:ascii="仿宋" w:hAnsi="仿宋" w:eastAsia="仿宋" w:cs="仿宋_GB2312"/>
          <w:color w:val="auto"/>
          <w:sz w:val="32"/>
          <w:szCs w:val="32"/>
          <w:highlight w:val="none"/>
        </w:rPr>
      </w:pPr>
      <w:r>
        <w:rPr>
          <w:rFonts w:hint="eastAsia" w:ascii="仿宋" w:hAnsi="仿宋" w:eastAsia="仿宋" w:cs="仿宋_GB2312"/>
          <w:color w:val="auto"/>
          <w:sz w:val="32"/>
          <w:szCs w:val="32"/>
          <w:highlight w:val="none"/>
        </w:rPr>
        <w:t>经评价，该项指标得分</w:t>
      </w:r>
      <w:r>
        <w:rPr>
          <w:rFonts w:hint="eastAsia" w:cs="仿宋_GB2312"/>
          <w:color w:val="auto"/>
          <w:sz w:val="32"/>
          <w:szCs w:val="32"/>
          <w:highlight w:val="none"/>
          <w:lang w:val="en-US" w:eastAsia="zh-CN"/>
        </w:rPr>
        <w:t>3</w:t>
      </w:r>
      <w:r>
        <w:rPr>
          <w:rFonts w:hint="eastAsia" w:ascii="仿宋" w:hAnsi="仿宋" w:eastAsia="仿宋" w:cs="仿宋_GB2312"/>
          <w:color w:val="auto"/>
          <w:sz w:val="32"/>
          <w:szCs w:val="32"/>
          <w:highlight w:val="none"/>
        </w:rPr>
        <w:t>分。</w:t>
      </w:r>
    </w:p>
    <w:p>
      <w:pPr>
        <w:pStyle w:val="6"/>
        <w:spacing w:line="600" w:lineRule="exact"/>
        <w:ind w:firstLine="640"/>
        <w:rPr>
          <w:rFonts w:hint="eastAsia" w:ascii="仿宋" w:hAnsi="仿宋" w:eastAsia="仿宋" w:cs="仿宋_GB2312"/>
          <w:sz w:val="32"/>
          <w:szCs w:val="32"/>
        </w:rPr>
      </w:pPr>
      <w:r>
        <w:rPr>
          <w:rFonts w:hint="eastAsia" w:cs="仿宋_GB2312"/>
          <w:sz w:val="32"/>
          <w:szCs w:val="32"/>
          <w:lang w:eastAsia="zh-CN"/>
        </w:rPr>
        <w:t>（</w:t>
      </w:r>
      <w:r>
        <w:rPr>
          <w:rFonts w:hint="eastAsia" w:cs="仿宋_GB2312"/>
          <w:sz w:val="32"/>
          <w:szCs w:val="32"/>
          <w:lang w:val="en-US" w:eastAsia="zh-CN"/>
        </w:rPr>
        <w:t>3</w:t>
      </w:r>
      <w:r>
        <w:rPr>
          <w:rFonts w:hint="eastAsia" w:cs="仿宋_GB2312"/>
          <w:sz w:val="32"/>
          <w:szCs w:val="32"/>
          <w:lang w:eastAsia="zh-CN"/>
        </w:rPr>
        <w:t>）</w:t>
      </w:r>
      <w:r>
        <w:rPr>
          <w:rFonts w:hint="eastAsia" w:cs="仿宋_GB2312"/>
          <w:sz w:val="32"/>
          <w:szCs w:val="32"/>
          <w:lang w:val="en-US" w:eastAsia="zh-CN"/>
        </w:rPr>
        <w:t>及时</w:t>
      </w:r>
      <w:r>
        <w:rPr>
          <w:rFonts w:hint="eastAsia" w:ascii="仿宋" w:hAnsi="仿宋" w:eastAsia="仿宋" w:cs="仿宋_GB2312"/>
          <w:sz w:val="32"/>
          <w:szCs w:val="32"/>
        </w:rPr>
        <w:t>发放清洁员工资</w:t>
      </w:r>
      <w:r>
        <w:rPr>
          <w:rFonts w:hint="eastAsia"/>
          <w:color w:val="auto"/>
          <w:highlight w:val="none"/>
        </w:rPr>
        <w:t>（满分</w:t>
      </w:r>
      <w:r>
        <w:rPr>
          <w:rFonts w:hint="eastAsia"/>
          <w:color w:val="auto"/>
          <w:highlight w:val="none"/>
          <w:lang w:val="en-US" w:eastAsia="zh-CN"/>
        </w:rPr>
        <w:t>2</w:t>
      </w:r>
      <w:r>
        <w:rPr>
          <w:rFonts w:hint="eastAsia"/>
          <w:color w:val="auto"/>
          <w:highlight w:val="none"/>
        </w:rPr>
        <w:t>分，评价得分</w:t>
      </w:r>
      <w:r>
        <w:rPr>
          <w:rFonts w:hint="eastAsia"/>
          <w:color w:val="auto"/>
          <w:highlight w:val="none"/>
          <w:lang w:val="en-US" w:eastAsia="zh-CN"/>
        </w:rPr>
        <w:t>0</w:t>
      </w:r>
      <w:r>
        <w:rPr>
          <w:rFonts w:hint="eastAsia"/>
          <w:color w:val="auto"/>
          <w:highlight w:val="none"/>
        </w:rPr>
        <w:t>分）</w:t>
      </w:r>
    </w:p>
    <w:p>
      <w:pPr>
        <w:pStyle w:val="6"/>
        <w:spacing w:line="600" w:lineRule="exact"/>
        <w:ind w:firstLine="640"/>
        <w:rPr>
          <w:rFonts w:ascii="仿宋" w:hAnsi="仿宋" w:eastAsia="仿宋" w:cs="仿宋_GB2312"/>
          <w:sz w:val="32"/>
          <w:szCs w:val="32"/>
        </w:rPr>
      </w:pPr>
      <w:r>
        <w:rPr>
          <w:rFonts w:hint="eastAsia" w:ascii="仿宋" w:hAnsi="仿宋" w:eastAsia="仿宋" w:cs="仿宋_GB2312"/>
          <w:sz w:val="32"/>
          <w:szCs w:val="32"/>
        </w:rPr>
        <w:t>评价组查阅各分公司的运营成本时发现，每家公司给保洁员工资均未按月发放。截</w:t>
      </w:r>
      <w:r>
        <w:rPr>
          <w:rFonts w:hint="eastAsia" w:cs="仿宋_GB2312"/>
          <w:sz w:val="32"/>
          <w:szCs w:val="32"/>
          <w:lang w:val="en-US" w:eastAsia="zh-CN"/>
        </w:rPr>
        <w:t>至</w:t>
      </w:r>
      <w:r>
        <w:rPr>
          <w:rFonts w:hint="eastAsia" w:ascii="仿宋" w:hAnsi="仿宋" w:eastAsia="仿宋" w:cs="仿宋_GB2312"/>
          <w:sz w:val="32"/>
          <w:szCs w:val="32"/>
        </w:rPr>
        <w:t>10月11日，合骏公司发放保洁员工资到7月份，广拓公司发放保洁员工资到5月份，志程洁</w:t>
      </w:r>
      <w:r>
        <w:rPr>
          <w:rFonts w:hint="eastAsia" w:cs="仿宋_GB2312"/>
          <w:sz w:val="32"/>
          <w:szCs w:val="32"/>
          <w:lang w:val="en-US" w:eastAsia="zh-CN"/>
        </w:rPr>
        <w:t>公司</w:t>
      </w:r>
      <w:r>
        <w:rPr>
          <w:rFonts w:hint="eastAsia" w:ascii="仿宋" w:hAnsi="仿宋" w:eastAsia="仿宋" w:cs="仿宋_GB2312"/>
          <w:sz w:val="32"/>
          <w:szCs w:val="32"/>
        </w:rPr>
        <w:t>发放保洁员工资到6月份，</w:t>
      </w:r>
      <w:r>
        <w:rPr>
          <w:rFonts w:hint="eastAsia" w:cs="仿宋_GB2312"/>
          <w:sz w:val="32"/>
          <w:szCs w:val="32"/>
          <w:lang w:val="en-US" w:eastAsia="zh-CN"/>
        </w:rPr>
        <w:t>3家公司均存在延迟发放清洁工工资的情况，</w:t>
      </w:r>
      <w:r>
        <w:rPr>
          <w:rFonts w:hint="eastAsia" w:ascii="仿宋" w:hAnsi="仿宋" w:eastAsia="仿宋" w:cs="仿宋_GB2312"/>
          <w:sz w:val="32"/>
          <w:szCs w:val="32"/>
        </w:rPr>
        <w:t>可能会造成群体上访投诉案件，具有一定风险性。</w:t>
      </w:r>
    </w:p>
    <w:p>
      <w:pPr>
        <w:bidi w:val="0"/>
        <w:rPr>
          <w:rFonts w:hint="eastAsia"/>
        </w:rPr>
      </w:pPr>
      <w:r>
        <w:rPr>
          <w:rFonts w:hint="eastAsia" w:ascii="仿宋" w:hAnsi="仿宋" w:eastAsia="仿宋" w:cs="仿宋_GB2312"/>
          <w:color w:val="auto"/>
          <w:sz w:val="32"/>
          <w:szCs w:val="32"/>
          <w:highlight w:val="none"/>
        </w:rPr>
        <w:t>经评价，该项指标得分</w:t>
      </w:r>
      <w:r>
        <w:rPr>
          <w:rFonts w:hint="eastAsia" w:cs="仿宋_GB2312"/>
          <w:color w:val="auto"/>
          <w:sz w:val="32"/>
          <w:szCs w:val="32"/>
          <w:highlight w:val="none"/>
          <w:lang w:val="en-US" w:eastAsia="zh-CN"/>
        </w:rPr>
        <w:t>0</w:t>
      </w:r>
      <w:r>
        <w:rPr>
          <w:rFonts w:hint="eastAsia" w:ascii="仿宋" w:hAnsi="仿宋" w:eastAsia="仿宋" w:cs="仿宋_GB2312"/>
          <w:color w:val="auto"/>
          <w:sz w:val="32"/>
          <w:szCs w:val="32"/>
          <w:highlight w:val="none"/>
        </w:rPr>
        <w:t>分。</w:t>
      </w:r>
    </w:p>
    <w:p>
      <w:pPr>
        <w:pStyle w:val="5"/>
        <w:bidi w:val="0"/>
        <w:rPr>
          <w:rFonts w:ascii="仿宋" w:hAnsi="仿宋" w:eastAsia="仿宋" w:cs="Times New Roman"/>
          <w:b/>
          <w:szCs w:val="32"/>
        </w:rPr>
      </w:pPr>
      <w:r>
        <w:rPr>
          <w:rFonts w:hint="eastAsia"/>
        </w:rPr>
        <w:t>4.产出成本指标（满分</w:t>
      </w:r>
      <w:r>
        <w:rPr>
          <w:rFonts w:hint="eastAsia"/>
          <w:lang w:val="en-US" w:eastAsia="zh-CN"/>
        </w:rPr>
        <w:t>10</w:t>
      </w:r>
      <w:r>
        <w:rPr>
          <w:rFonts w:hint="eastAsia"/>
        </w:rPr>
        <w:t>分，评价得分</w:t>
      </w:r>
      <w:r>
        <w:rPr>
          <w:rFonts w:hint="eastAsia"/>
          <w:lang w:val="en-US" w:eastAsia="zh-CN"/>
        </w:rPr>
        <w:t>7.93</w:t>
      </w:r>
      <w:r>
        <w:rPr>
          <w:rFonts w:hint="eastAsia"/>
        </w:rPr>
        <w:t>分）</w:t>
      </w:r>
    </w:p>
    <w:bookmarkEnd w:id="43"/>
    <w:p>
      <w:pPr>
        <w:pStyle w:val="6"/>
        <w:spacing w:line="600" w:lineRule="exact"/>
        <w:ind w:firstLine="640"/>
        <w:rPr>
          <w:rFonts w:ascii="仿宋" w:hAnsi="仿宋" w:eastAsia="仿宋" w:cs="仿宋_GB2312"/>
          <w:sz w:val="32"/>
          <w:szCs w:val="32"/>
          <w:highlight w:val="none"/>
        </w:rPr>
      </w:pPr>
      <w:r>
        <w:rPr>
          <w:rFonts w:hint="eastAsia" w:ascii="仿宋" w:hAnsi="仿宋" w:eastAsia="仿宋" w:cs="仿宋_GB2312"/>
          <w:sz w:val="32"/>
          <w:szCs w:val="32"/>
        </w:rPr>
        <w:t>（1）成本控制</w:t>
      </w:r>
      <w:r>
        <w:rPr>
          <w:rFonts w:hint="eastAsia"/>
          <w:color w:val="auto"/>
          <w:highlight w:val="none"/>
        </w:rPr>
        <w:t>（满分</w:t>
      </w:r>
      <w:r>
        <w:rPr>
          <w:rFonts w:hint="eastAsia"/>
          <w:color w:val="auto"/>
          <w:highlight w:val="none"/>
          <w:lang w:val="en-US" w:eastAsia="zh-CN"/>
        </w:rPr>
        <w:t>5</w:t>
      </w:r>
      <w:r>
        <w:rPr>
          <w:rFonts w:hint="eastAsia"/>
          <w:color w:val="auto"/>
          <w:highlight w:val="none"/>
        </w:rPr>
        <w:t>分，评价得分</w:t>
      </w:r>
      <w:r>
        <w:rPr>
          <w:rFonts w:hint="eastAsia"/>
          <w:color w:val="auto"/>
          <w:highlight w:val="none"/>
          <w:lang w:val="en-US" w:eastAsia="zh-CN"/>
        </w:rPr>
        <w:t>5</w:t>
      </w:r>
      <w:r>
        <w:rPr>
          <w:rFonts w:hint="eastAsia"/>
          <w:color w:val="auto"/>
          <w:highlight w:val="none"/>
        </w:rPr>
        <w:t>分）</w:t>
      </w:r>
    </w:p>
    <w:p>
      <w:pPr>
        <w:spacing w:line="560" w:lineRule="exact"/>
        <w:ind w:firstLine="640"/>
        <w:rPr>
          <w:rFonts w:hint="eastAsia" w:ascii="仿宋" w:hAnsi="仿宋" w:eastAsia="仿宋" w:cs="仿宋_GB2312"/>
          <w:sz w:val="32"/>
          <w:szCs w:val="32"/>
        </w:rPr>
      </w:pPr>
      <w:r>
        <w:rPr>
          <w:rFonts w:hint="eastAsia" w:cs="仿宋_GB2312"/>
          <w:sz w:val="32"/>
          <w:szCs w:val="32"/>
          <w:lang w:val="en-US" w:eastAsia="zh-CN"/>
        </w:rPr>
        <w:t>城管局在项目进行招标前向财政局申请项</w:t>
      </w:r>
      <w:r>
        <w:rPr>
          <w:rFonts w:hint="eastAsia" w:cs="仿宋_GB2312"/>
          <w:sz w:val="32"/>
          <w:szCs w:val="32"/>
          <w:highlight w:val="none"/>
          <w:lang w:val="en-US" w:eastAsia="zh-CN"/>
        </w:rPr>
        <w:t>目金额为</w:t>
      </w:r>
      <w:r>
        <w:rPr>
          <w:rFonts w:hint="eastAsia" w:ascii="仿宋" w:hAnsi="仿宋" w:eastAsia="仿宋" w:cs="仿宋_GB2312"/>
          <w:sz w:val="32"/>
          <w:szCs w:val="32"/>
          <w:highlight w:val="none"/>
        </w:rPr>
        <w:t>2627.02万元。5月</w:t>
      </w:r>
      <w:r>
        <w:rPr>
          <w:rFonts w:hint="eastAsia" w:ascii="仿宋" w:hAnsi="仿宋" w:eastAsia="仿宋" w:cs="仿宋_GB2312"/>
          <w:sz w:val="32"/>
          <w:szCs w:val="32"/>
        </w:rPr>
        <w:t>城管局对该项目进行公开招标，中标单位为合骏、广拓、志程洁，2020年5月签订一年服务周期合同，合同金额为2624.51万元。合同金额未超预算</w:t>
      </w:r>
      <w:r>
        <w:rPr>
          <w:rFonts w:hint="eastAsia" w:cs="仿宋_GB2312"/>
          <w:sz w:val="32"/>
          <w:szCs w:val="32"/>
          <w:lang w:val="en-US" w:eastAsia="zh-CN"/>
        </w:rPr>
        <w:t>申请</w:t>
      </w:r>
      <w:r>
        <w:rPr>
          <w:rFonts w:hint="eastAsia" w:ascii="仿宋" w:hAnsi="仿宋" w:eastAsia="仿宋" w:cs="仿宋_GB2312"/>
          <w:sz w:val="32"/>
          <w:szCs w:val="32"/>
        </w:rPr>
        <w:t>金额。</w:t>
      </w:r>
    </w:p>
    <w:p>
      <w:pPr>
        <w:bidi w:val="0"/>
      </w:pPr>
      <w:r>
        <w:rPr>
          <w:rFonts w:hint="eastAsia" w:ascii="仿宋" w:hAnsi="仿宋" w:eastAsia="仿宋" w:cs="仿宋_GB2312"/>
          <w:color w:val="auto"/>
          <w:sz w:val="32"/>
          <w:szCs w:val="32"/>
          <w:highlight w:val="none"/>
        </w:rPr>
        <w:t>经评价，该项指标得分</w:t>
      </w:r>
      <w:r>
        <w:rPr>
          <w:rFonts w:hint="eastAsia" w:cs="仿宋_GB2312"/>
          <w:color w:val="auto"/>
          <w:sz w:val="32"/>
          <w:szCs w:val="32"/>
          <w:highlight w:val="none"/>
          <w:lang w:val="en-US" w:eastAsia="zh-CN"/>
        </w:rPr>
        <w:t>5</w:t>
      </w:r>
      <w:r>
        <w:rPr>
          <w:rFonts w:hint="eastAsia" w:ascii="仿宋" w:hAnsi="仿宋" w:eastAsia="仿宋" w:cs="仿宋_GB2312"/>
          <w:color w:val="auto"/>
          <w:sz w:val="32"/>
          <w:szCs w:val="32"/>
          <w:highlight w:val="none"/>
        </w:rPr>
        <w:t>分。</w:t>
      </w:r>
    </w:p>
    <w:p>
      <w:pPr>
        <w:pStyle w:val="6"/>
        <w:spacing w:line="600" w:lineRule="exact"/>
        <w:ind w:firstLine="640"/>
        <w:rPr>
          <w:rFonts w:ascii="仿宋" w:hAnsi="仿宋" w:eastAsia="仿宋" w:cs="仿宋_GB2312"/>
          <w:color w:val="auto"/>
          <w:sz w:val="32"/>
          <w:szCs w:val="32"/>
        </w:rPr>
      </w:pPr>
      <w:r>
        <w:rPr>
          <w:rFonts w:hint="eastAsia" w:cs="仿宋_GB2312"/>
          <w:color w:val="auto"/>
          <w:sz w:val="32"/>
          <w:szCs w:val="32"/>
          <w:lang w:eastAsia="zh-CN"/>
        </w:rPr>
        <w:t>（</w:t>
      </w:r>
      <w:r>
        <w:rPr>
          <w:rFonts w:hint="eastAsia" w:cs="仿宋_GB2312"/>
          <w:color w:val="auto"/>
          <w:sz w:val="32"/>
          <w:szCs w:val="32"/>
          <w:lang w:val="en-US" w:eastAsia="zh-CN"/>
        </w:rPr>
        <w:t>2</w:t>
      </w:r>
      <w:r>
        <w:rPr>
          <w:rFonts w:hint="eastAsia" w:cs="仿宋_GB2312"/>
          <w:color w:val="auto"/>
          <w:sz w:val="32"/>
          <w:szCs w:val="32"/>
          <w:lang w:eastAsia="zh-CN"/>
        </w:rPr>
        <w:t>）</w:t>
      </w:r>
      <w:r>
        <w:rPr>
          <w:rFonts w:hint="eastAsia" w:ascii="仿宋" w:hAnsi="仿宋" w:eastAsia="仿宋" w:cs="仿宋_GB2312"/>
          <w:color w:val="auto"/>
          <w:sz w:val="32"/>
          <w:szCs w:val="32"/>
        </w:rPr>
        <w:t>中标企业利润率</w:t>
      </w:r>
      <w:r>
        <w:rPr>
          <w:rFonts w:hint="eastAsia"/>
          <w:color w:val="auto"/>
          <w:highlight w:val="none"/>
        </w:rPr>
        <w:t>（满分</w:t>
      </w:r>
      <w:r>
        <w:rPr>
          <w:rFonts w:hint="eastAsia"/>
          <w:color w:val="auto"/>
          <w:highlight w:val="none"/>
          <w:lang w:val="en-US" w:eastAsia="zh-CN"/>
        </w:rPr>
        <w:t>5</w:t>
      </w:r>
      <w:r>
        <w:rPr>
          <w:rFonts w:hint="eastAsia"/>
          <w:color w:val="auto"/>
          <w:highlight w:val="none"/>
        </w:rPr>
        <w:t>分，评价得分</w:t>
      </w:r>
      <w:r>
        <w:rPr>
          <w:rFonts w:hint="eastAsia"/>
          <w:color w:val="auto"/>
          <w:highlight w:val="none"/>
          <w:lang w:val="en-US" w:eastAsia="zh-CN"/>
        </w:rPr>
        <w:t>2.93</w:t>
      </w:r>
      <w:r>
        <w:rPr>
          <w:rFonts w:hint="eastAsia"/>
          <w:color w:val="auto"/>
          <w:highlight w:val="none"/>
        </w:rPr>
        <w:t>分）</w:t>
      </w:r>
    </w:p>
    <w:p>
      <w:pPr>
        <w:pStyle w:val="13"/>
        <w:spacing w:line="600" w:lineRule="exact"/>
        <w:ind w:firstLine="640"/>
        <w:rPr>
          <w:rFonts w:hint="eastAsia" w:ascii="仿宋" w:hAnsi="仿宋" w:eastAsia="仿宋" w:cs="仿宋_GB2312"/>
          <w:sz w:val="32"/>
          <w:szCs w:val="32"/>
        </w:rPr>
      </w:pPr>
      <w:r>
        <w:rPr>
          <w:rFonts w:hint="eastAsia" w:ascii="仿宋" w:hAnsi="仿宋" w:eastAsia="仿宋" w:cs="仿宋_GB2312"/>
          <w:sz w:val="32"/>
          <w:szCs w:val="32"/>
        </w:rPr>
        <w:t>评价组对2020年中标的三家</w:t>
      </w:r>
      <w:r>
        <w:rPr>
          <w:rFonts w:hint="eastAsia" w:cs="仿宋_GB2312"/>
          <w:sz w:val="32"/>
          <w:szCs w:val="32"/>
          <w:lang w:val="en-US" w:eastAsia="zh-CN"/>
        </w:rPr>
        <w:t>公司</w:t>
      </w:r>
      <w:r>
        <w:rPr>
          <w:rFonts w:hint="eastAsia" w:ascii="仿宋" w:hAnsi="仿宋" w:eastAsia="仿宋" w:cs="仿宋_GB2312"/>
          <w:sz w:val="32"/>
          <w:szCs w:val="32"/>
        </w:rPr>
        <w:t>财务资料实施审阅程序，对合骏环境科技（河北）有限公司无极分公司、河北广拓环境工程有限公司无极县分公司和志程洁环保科技集团有限公司无极分公司统计运营成本，进行成本计算。审阅2020年6月1日-2021年6月1日运营资金具体情况如下：</w:t>
      </w:r>
    </w:p>
    <w:p>
      <w:pPr>
        <w:pStyle w:val="13"/>
        <w:spacing w:line="600" w:lineRule="exact"/>
        <w:ind w:firstLine="640"/>
        <w:rPr>
          <w:rFonts w:hint="eastAsia" w:ascii="仿宋" w:hAnsi="仿宋" w:eastAsia="仿宋" w:cs="仿宋_GB2312"/>
          <w:sz w:val="32"/>
          <w:szCs w:val="32"/>
        </w:rPr>
      </w:pPr>
    </w:p>
    <w:p>
      <w:pPr>
        <w:pStyle w:val="13"/>
        <w:spacing w:line="600" w:lineRule="exact"/>
        <w:ind w:firstLine="640"/>
        <w:rPr>
          <w:rFonts w:hint="eastAsia" w:ascii="仿宋" w:hAnsi="仿宋" w:eastAsia="仿宋" w:cs="仿宋_GB2312"/>
          <w:sz w:val="32"/>
          <w:szCs w:val="32"/>
        </w:rPr>
      </w:pPr>
    </w:p>
    <w:p>
      <w:pPr>
        <w:pStyle w:val="13"/>
        <w:spacing w:line="600" w:lineRule="exact"/>
        <w:ind w:firstLine="640"/>
        <w:rPr>
          <w:rFonts w:hint="eastAsia" w:ascii="仿宋" w:hAnsi="仿宋" w:eastAsia="仿宋" w:cs="仿宋_GB2312"/>
          <w:sz w:val="32"/>
          <w:szCs w:val="32"/>
        </w:rPr>
      </w:pPr>
    </w:p>
    <w:p>
      <w:pPr>
        <w:pStyle w:val="13"/>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hint="eastAsia" w:ascii="仿宋" w:hAnsi="仿宋" w:eastAsia="仿宋" w:cs="仿宋_GB2312"/>
          <w:b/>
          <w:bCs/>
          <w:sz w:val="30"/>
          <w:szCs w:val="30"/>
        </w:rPr>
      </w:pPr>
      <w:r>
        <w:rPr>
          <w:rFonts w:hint="eastAsia" w:ascii="仿宋" w:hAnsi="仿宋" w:eastAsia="仿宋" w:cs="仿宋_GB2312"/>
          <w:b/>
          <w:bCs/>
          <w:sz w:val="30"/>
          <w:szCs w:val="30"/>
        </w:rPr>
        <w:t>中标</w:t>
      </w:r>
      <w:r>
        <w:rPr>
          <w:rFonts w:hint="eastAsia" w:cs="仿宋_GB2312"/>
          <w:b/>
          <w:bCs/>
          <w:sz w:val="30"/>
          <w:szCs w:val="30"/>
          <w:lang w:val="en-US" w:eastAsia="zh-CN"/>
        </w:rPr>
        <w:t>公司</w:t>
      </w:r>
      <w:r>
        <w:rPr>
          <w:rFonts w:hint="eastAsia" w:ascii="仿宋" w:hAnsi="仿宋" w:eastAsia="仿宋" w:cs="仿宋_GB2312"/>
          <w:b/>
          <w:bCs/>
          <w:sz w:val="30"/>
          <w:szCs w:val="30"/>
        </w:rPr>
        <w:t>2020年6月-2021年5月运营成本情况</w:t>
      </w:r>
    </w:p>
    <w:p>
      <w:pPr>
        <w:pStyle w:val="13"/>
        <w:keepNext w:val="0"/>
        <w:keepLines w:val="0"/>
        <w:pageBreakBefore w:val="0"/>
        <w:widowControl w:val="0"/>
        <w:kinsoku/>
        <w:wordWrap/>
        <w:overflowPunct/>
        <w:topLinePunct w:val="0"/>
        <w:autoSpaceDE/>
        <w:autoSpaceDN/>
        <w:bidi w:val="0"/>
        <w:adjustRightInd/>
        <w:snapToGrid/>
        <w:spacing w:line="300" w:lineRule="exact"/>
        <w:ind w:firstLine="0" w:firstLineChars="0"/>
        <w:jc w:val="right"/>
        <w:textAlignment w:val="auto"/>
        <w:rPr>
          <w:rFonts w:hint="default" w:ascii="仿宋" w:hAnsi="仿宋" w:eastAsia="仿宋" w:cs="仿宋_GB2312"/>
          <w:b w:val="0"/>
          <w:bCs w:val="0"/>
          <w:sz w:val="24"/>
          <w:szCs w:val="24"/>
          <w:lang w:val="en-US" w:eastAsia="zh-CN"/>
        </w:rPr>
      </w:pPr>
      <w:r>
        <w:rPr>
          <w:rFonts w:hint="eastAsia" w:cs="仿宋_GB2312"/>
          <w:b w:val="0"/>
          <w:bCs w:val="0"/>
          <w:sz w:val="24"/>
          <w:szCs w:val="24"/>
          <w:lang w:val="en-US" w:eastAsia="zh-CN"/>
        </w:rPr>
        <w:t>单位：万元</w:t>
      </w:r>
    </w:p>
    <w:tbl>
      <w:tblPr>
        <w:tblStyle w:val="9"/>
        <w:tblW w:w="5057" w:type="pct"/>
        <w:tblInd w:w="0" w:type="dxa"/>
        <w:shd w:val="clear" w:color="auto" w:fill="auto"/>
        <w:tblLayout w:type="autofit"/>
        <w:tblCellMar>
          <w:top w:w="0" w:type="dxa"/>
          <w:left w:w="0" w:type="dxa"/>
          <w:bottom w:w="0" w:type="dxa"/>
          <w:right w:w="0" w:type="dxa"/>
        </w:tblCellMar>
      </w:tblPr>
      <w:tblGrid>
        <w:gridCol w:w="762"/>
        <w:gridCol w:w="1876"/>
        <w:gridCol w:w="1505"/>
        <w:gridCol w:w="1493"/>
        <w:gridCol w:w="1708"/>
        <w:gridCol w:w="1611"/>
      </w:tblGrid>
      <w:tr>
        <w:tblPrEx>
          <w:shd w:val="clear" w:color="auto" w:fill="auto"/>
          <w:tblCellMar>
            <w:top w:w="0" w:type="dxa"/>
            <w:left w:w="0" w:type="dxa"/>
            <w:bottom w:w="0" w:type="dxa"/>
            <w:right w:w="0" w:type="dxa"/>
          </w:tblCellMar>
        </w:tblPrEx>
        <w:trPr>
          <w:trHeight w:val="283" w:hRule="atLeast"/>
          <w:tblHeader/>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序号</w:t>
            </w: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项目</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合骏公司</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广拓公司</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志程洁公司</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小计</w:t>
            </w:r>
          </w:p>
        </w:tc>
      </w:tr>
      <w:tr>
        <w:tblPrEx>
          <w:shd w:val="clear" w:color="auto" w:fill="auto"/>
          <w:tblCellMar>
            <w:top w:w="0" w:type="dxa"/>
            <w:left w:w="0" w:type="dxa"/>
            <w:bottom w:w="0" w:type="dxa"/>
            <w:right w:w="0" w:type="dxa"/>
          </w:tblCellMar>
        </w:tblPrEx>
        <w:trPr>
          <w:trHeight w:val="285"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工资</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404.44 </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619.63 </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507.21 </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1531.27 </w:t>
            </w:r>
          </w:p>
        </w:tc>
      </w:tr>
      <w:tr>
        <w:tblPrEx>
          <w:shd w:val="clear" w:color="auto" w:fill="auto"/>
          <w:tblCellMar>
            <w:top w:w="0" w:type="dxa"/>
            <w:left w:w="0" w:type="dxa"/>
            <w:bottom w:w="0" w:type="dxa"/>
            <w:right w:w="0" w:type="dxa"/>
          </w:tblCellMar>
        </w:tblPrEx>
        <w:trPr>
          <w:trHeight w:val="285"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房屋租赁费</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2.37 </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4.00 </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8.41 </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14.78 </w:t>
            </w:r>
          </w:p>
        </w:tc>
      </w:tr>
      <w:tr>
        <w:tblPrEx>
          <w:shd w:val="clear" w:color="auto" w:fill="auto"/>
          <w:tblCellMar>
            <w:top w:w="0" w:type="dxa"/>
            <w:left w:w="0" w:type="dxa"/>
            <w:bottom w:w="0" w:type="dxa"/>
            <w:right w:w="0" w:type="dxa"/>
          </w:tblCellMar>
        </w:tblPrEx>
        <w:trPr>
          <w:trHeight w:val="285"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电费</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3.03 </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1.69 </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4.72 </w:t>
            </w:r>
          </w:p>
        </w:tc>
      </w:tr>
      <w:tr>
        <w:tblPrEx>
          <w:shd w:val="clear" w:color="auto" w:fill="auto"/>
          <w:tblCellMar>
            <w:top w:w="0" w:type="dxa"/>
            <w:left w:w="0" w:type="dxa"/>
            <w:bottom w:w="0" w:type="dxa"/>
            <w:right w:w="0" w:type="dxa"/>
          </w:tblCellMar>
        </w:tblPrEx>
        <w:trPr>
          <w:trHeight w:val="285"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招待费</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1.44 </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2.44 </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2.06 </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5.94 </w:t>
            </w:r>
          </w:p>
        </w:tc>
      </w:tr>
      <w:tr>
        <w:tblPrEx>
          <w:shd w:val="clear" w:color="auto" w:fill="auto"/>
          <w:tblCellMar>
            <w:top w:w="0" w:type="dxa"/>
            <w:left w:w="0" w:type="dxa"/>
            <w:bottom w:w="0" w:type="dxa"/>
            <w:right w:w="0" w:type="dxa"/>
          </w:tblCellMar>
        </w:tblPrEx>
        <w:trPr>
          <w:trHeight w:val="90"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w:t>
            </w: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办公费</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1.02 </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1.58 </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5.67 </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8.27 </w:t>
            </w:r>
          </w:p>
        </w:tc>
      </w:tr>
      <w:tr>
        <w:tblPrEx>
          <w:shd w:val="clear" w:color="auto" w:fill="auto"/>
          <w:tblCellMar>
            <w:top w:w="0" w:type="dxa"/>
            <w:left w:w="0" w:type="dxa"/>
            <w:bottom w:w="0" w:type="dxa"/>
            <w:right w:w="0" w:type="dxa"/>
          </w:tblCellMar>
        </w:tblPrEx>
        <w:trPr>
          <w:trHeight w:val="285"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w:t>
            </w: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差旅费</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0.10 </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1.38 </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1.47 </w:t>
            </w:r>
          </w:p>
        </w:tc>
      </w:tr>
      <w:tr>
        <w:tblPrEx>
          <w:shd w:val="clear" w:color="auto" w:fill="auto"/>
          <w:tblCellMar>
            <w:top w:w="0" w:type="dxa"/>
            <w:left w:w="0" w:type="dxa"/>
            <w:bottom w:w="0" w:type="dxa"/>
            <w:right w:w="0" w:type="dxa"/>
          </w:tblCellMar>
        </w:tblPrEx>
        <w:trPr>
          <w:trHeight w:val="285"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w:t>
            </w: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垃圾清理费</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8.16 </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2.41 </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10.58 </w:t>
            </w:r>
          </w:p>
        </w:tc>
      </w:tr>
      <w:tr>
        <w:tblPrEx>
          <w:shd w:val="clear" w:color="auto" w:fill="auto"/>
          <w:tblCellMar>
            <w:top w:w="0" w:type="dxa"/>
            <w:left w:w="0" w:type="dxa"/>
            <w:bottom w:w="0" w:type="dxa"/>
            <w:right w:w="0" w:type="dxa"/>
          </w:tblCellMar>
        </w:tblPrEx>
        <w:trPr>
          <w:trHeight w:val="285"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w:t>
            </w: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车辆燃油费</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75.07 </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82.90 </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55.66 </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213.63 </w:t>
            </w:r>
          </w:p>
        </w:tc>
      </w:tr>
      <w:tr>
        <w:tblPrEx>
          <w:shd w:val="clear" w:color="auto" w:fill="auto"/>
          <w:tblCellMar>
            <w:top w:w="0" w:type="dxa"/>
            <w:left w:w="0" w:type="dxa"/>
            <w:bottom w:w="0" w:type="dxa"/>
            <w:right w:w="0" w:type="dxa"/>
          </w:tblCellMar>
        </w:tblPrEx>
        <w:trPr>
          <w:trHeight w:val="660"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w:t>
            </w: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车辆维修费、保养、检测费</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21.81 </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27.80 </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31.63 </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81.24 </w:t>
            </w:r>
          </w:p>
        </w:tc>
      </w:tr>
      <w:tr>
        <w:tblPrEx>
          <w:shd w:val="clear" w:color="auto" w:fill="auto"/>
          <w:tblCellMar>
            <w:top w:w="0" w:type="dxa"/>
            <w:left w:w="0" w:type="dxa"/>
            <w:bottom w:w="0" w:type="dxa"/>
            <w:right w:w="0" w:type="dxa"/>
          </w:tblCellMar>
        </w:tblPrEx>
        <w:trPr>
          <w:trHeight w:val="285"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w:t>
            </w: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车辆商业险</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6.21 </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6.27 </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9.33 </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21.82 </w:t>
            </w:r>
          </w:p>
        </w:tc>
      </w:tr>
      <w:tr>
        <w:tblPrEx>
          <w:shd w:val="clear" w:color="auto" w:fill="auto"/>
          <w:tblCellMar>
            <w:top w:w="0" w:type="dxa"/>
            <w:left w:w="0" w:type="dxa"/>
            <w:bottom w:w="0" w:type="dxa"/>
            <w:right w:w="0" w:type="dxa"/>
          </w:tblCellMar>
        </w:tblPrEx>
        <w:trPr>
          <w:trHeight w:val="285"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w:t>
            </w: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固定资产折旧</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47.22 </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36.86 </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72.98 </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157.06 </w:t>
            </w:r>
          </w:p>
        </w:tc>
      </w:tr>
      <w:tr>
        <w:tblPrEx>
          <w:shd w:val="clear" w:color="auto" w:fill="auto"/>
          <w:tblCellMar>
            <w:top w:w="0" w:type="dxa"/>
            <w:left w:w="0" w:type="dxa"/>
            <w:bottom w:w="0" w:type="dxa"/>
            <w:right w:w="0" w:type="dxa"/>
          </w:tblCellMar>
        </w:tblPrEx>
        <w:trPr>
          <w:trHeight w:val="285"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12</w:t>
            </w: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雇主责任险</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1.04 </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3.85 </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22.35 </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27.24 </w:t>
            </w:r>
          </w:p>
        </w:tc>
      </w:tr>
      <w:tr>
        <w:tblPrEx>
          <w:shd w:val="clear" w:color="auto" w:fill="auto"/>
          <w:tblCellMar>
            <w:top w:w="0" w:type="dxa"/>
            <w:left w:w="0" w:type="dxa"/>
            <w:bottom w:w="0" w:type="dxa"/>
            <w:right w:w="0" w:type="dxa"/>
          </w:tblCellMar>
        </w:tblPrEx>
        <w:trPr>
          <w:trHeight w:val="285"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13</w:t>
            </w: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印花税</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0.14 </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0.34 </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0.48 </w:t>
            </w:r>
          </w:p>
        </w:tc>
      </w:tr>
      <w:tr>
        <w:tblPrEx>
          <w:shd w:val="clear" w:color="auto" w:fill="auto"/>
          <w:tblCellMar>
            <w:top w:w="0" w:type="dxa"/>
            <w:left w:w="0" w:type="dxa"/>
            <w:bottom w:w="0" w:type="dxa"/>
            <w:right w:w="0" w:type="dxa"/>
          </w:tblCellMar>
        </w:tblPrEx>
        <w:trPr>
          <w:trHeight w:val="285"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14</w:t>
            </w: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社保</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0.86 </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2.02 </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2.89 </w:t>
            </w:r>
          </w:p>
        </w:tc>
      </w:tr>
      <w:tr>
        <w:tblPrEx>
          <w:shd w:val="clear" w:color="auto" w:fill="auto"/>
          <w:tblCellMar>
            <w:top w:w="0" w:type="dxa"/>
            <w:left w:w="0" w:type="dxa"/>
            <w:bottom w:w="0" w:type="dxa"/>
            <w:right w:w="0" w:type="dxa"/>
          </w:tblCellMar>
        </w:tblPrEx>
        <w:trPr>
          <w:trHeight w:val="285"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15</w:t>
            </w: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捐赠</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0.75 </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0.50 </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1.25 </w:t>
            </w:r>
          </w:p>
        </w:tc>
      </w:tr>
      <w:tr>
        <w:tblPrEx>
          <w:shd w:val="clear" w:color="auto" w:fill="auto"/>
          <w:tblCellMar>
            <w:top w:w="0" w:type="dxa"/>
            <w:left w:w="0" w:type="dxa"/>
            <w:bottom w:w="0" w:type="dxa"/>
            <w:right w:w="0" w:type="dxa"/>
          </w:tblCellMar>
        </w:tblPrEx>
        <w:trPr>
          <w:trHeight w:val="285"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16</w:t>
            </w: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福利费</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3.38 </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2.65 </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4.41 </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10.44 </w:t>
            </w:r>
          </w:p>
        </w:tc>
      </w:tr>
      <w:tr>
        <w:tblPrEx>
          <w:shd w:val="clear" w:color="auto" w:fill="auto"/>
          <w:tblCellMar>
            <w:top w:w="0" w:type="dxa"/>
            <w:left w:w="0" w:type="dxa"/>
            <w:bottom w:w="0" w:type="dxa"/>
            <w:right w:w="0" w:type="dxa"/>
          </w:tblCellMar>
        </w:tblPrEx>
        <w:trPr>
          <w:trHeight w:val="285"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17</w:t>
            </w: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购买保洁工具</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2.85 </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0.61 </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8.84 </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12.29 </w:t>
            </w:r>
          </w:p>
        </w:tc>
      </w:tr>
      <w:tr>
        <w:tblPrEx>
          <w:shd w:val="clear" w:color="auto" w:fill="auto"/>
          <w:tblCellMar>
            <w:top w:w="0" w:type="dxa"/>
            <w:left w:w="0" w:type="dxa"/>
            <w:bottom w:w="0" w:type="dxa"/>
            <w:right w:w="0" w:type="dxa"/>
          </w:tblCellMar>
        </w:tblPrEx>
        <w:trPr>
          <w:trHeight w:val="285"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w:t>
            </w: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垃圾桶</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78.27 </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2.76 </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52.85 </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133.88 </w:t>
            </w:r>
          </w:p>
        </w:tc>
      </w:tr>
      <w:tr>
        <w:tblPrEx>
          <w:shd w:val="clear" w:color="auto" w:fill="auto"/>
          <w:tblCellMar>
            <w:top w:w="0" w:type="dxa"/>
            <w:left w:w="0" w:type="dxa"/>
            <w:bottom w:w="0" w:type="dxa"/>
            <w:right w:w="0" w:type="dxa"/>
          </w:tblCellMar>
        </w:tblPrEx>
        <w:trPr>
          <w:trHeight w:val="285"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19</w:t>
            </w: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防护服、劳保用品</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2.43 </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7.24 </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9.67 </w:t>
            </w:r>
          </w:p>
        </w:tc>
      </w:tr>
      <w:tr>
        <w:tblPrEx>
          <w:shd w:val="clear" w:color="auto" w:fill="auto"/>
          <w:tblCellMar>
            <w:top w:w="0" w:type="dxa"/>
            <w:left w:w="0" w:type="dxa"/>
            <w:bottom w:w="0" w:type="dxa"/>
            <w:right w:w="0" w:type="dxa"/>
          </w:tblCellMar>
        </w:tblPrEx>
        <w:trPr>
          <w:trHeight w:val="285"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w:t>
            </w: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税费</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5.47 </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15.32 </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20.79 </w:t>
            </w:r>
          </w:p>
        </w:tc>
      </w:tr>
      <w:tr>
        <w:tblPrEx>
          <w:shd w:val="clear" w:color="auto" w:fill="auto"/>
          <w:tblCellMar>
            <w:top w:w="0" w:type="dxa"/>
            <w:left w:w="0" w:type="dxa"/>
            <w:bottom w:w="0" w:type="dxa"/>
            <w:right w:w="0" w:type="dxa"/>
          </w:tblCellMar>
        </w:tblPrEx>
        <w:trPr>
          <w:trHeight w:val="570"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21</w:t>
            </w: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购买铲车、人力三轮车等</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8.81 </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8.81 </w:t>
            </w:r>
          </w:p>
        </w:tc>
      </w:tr>
      <w:tr>
        <w:tblPrEx>
          <w:shd w:val="clear" w:color="auto" w:fill="auto"/>
          <w:tblCellMar>
            <w:top w:w="0" w:type="dxa"/>
            <w:left w:w="0" w:type="dxa"/>
            <w:bottom w:w="0" w:type="dxa"/>
            <w:right w:w="0" w:type="dxa"/>
          </w:tblCellMar>
        </w:tblPrEx>
        <w:trPr>
          <w:trHeight w:val="285"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center"/>
              <w:rPr>
                <w:rFonts w:hint="eastAsia" w:ascii="仿宋" w:hAnsi="仿宋" w:eastAsia="仿宋" w:cs="仿宋"/>
                <w:b/>
                <w:bCs/>
                <w:i w:val="0"/>
                <w:iCs w:val="0"/>
                <w:color w:val="000000"/>
                <w:sz w:val="24"/>
                <w:szCs w:val="24"/>
                <w:u w:val="none"/>
              </w:rPr>
            </w:pPr>
          </w:p>
        </w:tc>
        <w:tc>
          <w:tcPr>
            <w:tcW w:w="10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合计</w:t>
            </w:r>
          </w:p>
        </w:tc>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 xml:space="preserve">659.62 </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 xml:space="preserve">807.55 </w:t>
            </w:r>
          </w:p>
        </w:tc>
        <w:tc>
          <w:tcPr>
            <w:tcW w:w="9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 xml:space="preserve">811.34 </w:t>
            </w:r>
          </w:p>
        </w:tc>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 xml:space="preserve">2278.51 </w:t>
            </w:r>
          </w:p>
        </w:tc>
      </w:tr>
    </w:tbl>
    <w:p>
      <w:pPr>
        <w:pStyle w:val="6"/>
        <w:spacing w:line="600" w:lineRule="exact"/>
        <w:ind w:left="0" w:leftChars="0" w:firstLine="480" w:firstLineChars="200"/>
        <w:rPr>
          <w:rFonts w:ascii="仿宋" w:hAnsi="仿宋" w:eastAsia="仿宋" w:cs="仿宋_GB2312"/>
          <w:sz w:val="24"/>
        </w:rPr>
      </w:pPr>
      <w:r>
        <w:rPr>
          <w:rFonts w:hint="eastAsia" w:ascii="仿宋" w:hAnsi="仿宋" w:eastAsia="仿宋" w:cs="仿宋_GB2312"/>
          <w:sz w:val="24"/>
        </w:rPr>
        <w:t>注：该统计表仅为评价组从2020年6月至2021年5月</w:t>
      </w:r>
      <w:r>
        <w:rPr>
          <w:rFonts w:hint="eastAsia" w:cs="仿宋_GB2312"/>
          <w:sz w:val="24"/>
          <w:lang w:val="en-US" w:eastAsia="zh-CN"/>
        </w:rPr>
        <w:t>3家</w:t>
      </w:r>
      <w:r>
        <w:rPr>
          <w:rFonts w:hint="eastAsia" w:ascii="仿宋" w:hAnsi="仿宋" w:eastAsia="仿宋" w:cs="仿宋_GB2312"/>
          <w:sz w:val="24"/>
        </w:rPr>
        <w:t>中标公司获取的运营成本数据，数据以万元统计，四舍五入忽略不计。</w:t>
      </w:r>
    </w:p>
    <w:p>
      <w:pPr>
        <w:pStyle w:val="6"/>
        <w:spacing w:line="600" w:lineRule="exact"/>
        <w:ind w:firstLine="640"/>
        <w:rPr>
          <w:rFonts w:hint="eastAsia" w:ascii="仿宋" w:hAnsi="仿宋" w:eastAsia="仿宋" w:cs="仿宋_GB2312"/>
          <w:sz w:val="32"/>
          <w:szCs w:val="32"/>
          <w:highlight w:val="none"/>
        </w:rPr>
      </w:pPr>
      <w:r>
        <w:rPr>
          <w:rFonts w:hint="eastAsia" w:ascii="仿宋" w:hAnsi="仿宋" w:eastAsia="仿宋" w:cs="仿宋_GB2312"/>
          <w:sz w:val="32"/>
          <w:szCs w:val="32"/>
        </w:rPr>
        <w:t>从表中信息得知，合骏、广拓、志程洁无极分公司的2020年6月-2021年5月的资金支出流水分别为: 659.62万元、807.55万元、811.34万元，</w:t>
      </w:r>
      <w:r>
        <w:rPr>
          <w:rFonts w:hint="eastAsia" w:ascii="仿宋" w:hAnsi="仿宋" w:eastAsia="仿宋" w:cs="仿宋_GB2312"/>
          <w:sz w:val="32"/>
          <w:szCs w:val="32"/>
          <w:highlight w:val="none"/>
        </w:rPr>
        <w:t>收到财政资金分别为:753.30万元、960.05万元、883.21万元</w:t>
      </w:r>
      <w:r>
        <w:rPr>
          <w:rFonts w:hint="eastAsia" w:cs="仿宋_GB2312"/>
          <w:sz w:val="32"/>
          <w:szCs w:val="32"/>
          <w:highlight w:val="none"/>
          <w:lang w:eastAsia="zh-CN"/>
        </w:rPr>
        <w:t>（</w:t>
      </w:r>
      <w:r>
        <w:rPr>
          <w:rFonts w:hint="eastAsia" w:cs="仿宋_GB2312"/>
          <w:sz w:val="32"/>
          <w:szCs w:val="32"/>
          <w:highlight w:val="none"/>
          <w:lang w:val="en-US" w:eastAsia="zh-CN"/>
        </w:rPr>
        <w:t>其中2021年4-5月的资金，城管局已提交支付申请</w:t>
      </w:r>
      <w:r>
        <w:rPr>
          <w:rFonts w:hint="eastAsia" w:cs="仿宋_GB2312"/>
          <w:sz w:val="32"/>
          <w:szCs w:val="32"/>
          <w:highlight w:val="none"/>
          <w:lang w:eastAsia="zh-CN"/>
        </w:rPr>
        <w:t>）</w:t>
      </w:r>
      <w:r>
        <w:rPr>
          <w:rFonts w:hint="eastAsia" w:ascii="仿宋" w:hAnsi="仿宋" w:eastAsia="仿宋" w:cs="仿宋_GB2312"/>
          <w:sz w:val="32"/>
          <w:szCs w:val="32"/>
          <w:highlight w:val="none"/>
        </w:rPr>
        <w:t>，计算得出利润分别为93.68</w:t>
      </w:r>
      <w:r>
        <w:rPr>
          <w:rFonts w:hint="eastAsia" w:cs="仿宋_GB2312"/>
          <w:sz w:val="32"/>
          <w:szCs w:val="32"/>
          <w:highlight w:val="none"/>
          <w:lang w:val="en-US" w:eastAsia="zh-CN"/>
        </w:rPr>
        <w:t>万元、</w:t>
      </w:r>
      <w:r>
        <w:rPr>
          <w:rFonts w:hint="eastAsia" w:ascii="仿宋" w:hAnsi="仿宋" w:eastAsia="仿宋" w:cs="仿宋_GB2312"/>
          <w:sz w:val="32"/>
          <w:szCs w:val="32"/>
          <w:highlight w:val="none"/>
        </w:rPr>
        <w:t>152.50</w:t>
      </w:r>
      <w:r>
        <w:rPr>
          <w:rFonts w:hint="eastAsia" w:cs="仿宋_GB2312"/>
          <w:sz w:val="32"/>
          <w:szCs w:val="32"/>
          <w:highlight w:val="none"/>
          <w:lang w:val="en-US" w:eastAsia="zh-CN"/>
        </w:rPr>
        <w:t>万元、</w:t>
      </w:r>
      <w:r>
        <w:rPr>
          <w:rFonts w:hint="eastAsia" w:ascii="仿宋" w:hAnsi="仿宋" w:eastAsia="仿宋" w:cs="仿宋_GB2312"/>
          <w:sz w:val="32"/>
          <w:szCs w:val="32"/>
          <w:highlight w:val="none"/>
        </w:rPr>
        <w:t xml:space="preserve"> 71.87</w:t>
      </w:r>
      <w:r>
        <w:rPr>
          <w:rFonts w:hint="eastAsia" w:cs="仿宋_GB2312"/>
          <w:sz w:val="32"/>
          <w:szCs w:val="32"/>
          <w:highlight w:val="none"/>
          <w:lang w:val="en-US" w:eastAsia="zh-CN"/>
        </w:rPr>
        <w:t>万元</w:t>
      </w:r>
      <w:r>
        <w:rPr>
          <w:rFonts w:hint="eastAsia" w:ascii="仿宋" w:hAnsi="仿宋" w:eastAsia="仿宋" w:cs="仿宋_GB2312"/>
          <w:sz w:val="32"/>
          <w:szCs w:val="32"/>
          <w:highlight w:val="none"/>
        </w:rPr>
        <w:t>。得利润率为12.44%</w:t>
      </w:r>
      <w:r>
        <w:rPr>
          <w:rFonts w:hint="eastAsia" w:cs="仿宋_GB2312"/>
          <w:sz w:val="32"/>
          <w:szCs w:val="32"/>
          <w:highlight w:val="none"/>
          <w:lang w:eastAsia="zh-CN"/>
        </w:rPr>
        <w:t>、</w:t>
      </w:r>
      <w:r>
        <w:rPr>
          <w:rFonts w:hint="eastAsia" w:ascii="仿宋" w:hAnsi="仿宋" w:eastAsia="仿宋" w:cs="仿宋_GB2312"/>
          <w:sz w:val="32"/>
          <w:szCs w:val="32"/>
          <w:highlight w:val="none"/>
        </w:rPr>
        <w:t>15.88%</w:t>
      </w:r>
      <w:r>
        <w:rPr>
          <w:rFonts w:hint="eastAsia" w:cs="仿宋_GB2312"/>
          <w:sz w:val="32"/>
          <w:szCs w:val="32"/>
          <w:highlight w:val="none"/>
          <w:lang w:eastAsia="zh-CN"/>
        </w:rPr>
        <w:t>、</w:t>
      </w:r>
      <w:r>
        <w:rPr>
          <w:rFonts w:hint="eastAsia" w:ascii="仿宋" w:hAnsi="仿宋" w:eastAsia="仿宋" w:cs="仿宋_GB2312"/>
          <w:sz w:val="32"/>
          <w:szCs w:val="32"/>
          <w:highlight w:val="none"/>
        </w:rPr>
        <w:t>8.14%。</w:t>
      </w:r>
      <w:r>
        <w:rPr>
          <w:rFonts w:hint="eastAsia" w:cs="仿宋_GB2312"/>
          <w:sz w:val="32"/>
          <w:szCs w:val="32"/>
          <w:highlight w:val="none"/>
          <w:lang w:val="en-US" w:eastAsia="zh-CN"/>
        </w:rPr>
        <w:t>3家中标公司</w:t>
      </w:r>
      <w:r>
        <w:rPr>
          <w:rFonts w:hint="eastAsia" w:ascii="仿宋" w:hAnsi="仿宋" w:eastAsia="仿宋" w:cs="仿宋_GB2312"/>
          <w:sz w:val="32"/>
          <w:szCs w:val="32"/>
          <w:highlight w:val="none"/>
        </w:rPr>
        <w:t>平均利润率</w:t>
      </w:r>
      <w:r>
        <w:rPr>
          <w:rFonts w:hint="eastAsia" w:cs="仿宋_GB2312"/>
          <w:sz w:val="32"/>
          <w:szCs w:val="32"/>
          <w:highlight w:val="none"/>
          <w:lang w:val="en-US" w:eastAsia="zh-CN"/>
        </w:rPr>
        <w:t>为</w:t>
      </w:r>
      <w:r>
        <w:rPr>
          <w:rFonts w:hint="eastAsia" w:ascii="仿宋" w:hAnsi="仿宋" w:eastAsia="仿宋" w:cs="仿宋_GB2312"/>
          <w:sz w:val="32"/>
          <w:szCs w:val="32"/>
          <w:highlight w:val="none"/>
        </w:rPr>
        <w:t>12.15%</w:t>
      </w:r>
      <w:r>
        <w:rPr>
          <w:rFonts w:hint="eastAsia" w:cs="仿宋_GB2312"/>
          <w:sz w:val="32"/>
          <w:szCs w:val="32"/>
          <w:highlight w:val="none"/>
          <w:lang w:eastAsia="zh-CN"/>
        </w:rPr>
        <w:t>，高出行业合理利润率</w:t>
      </w:r>
      <w:r>
        <w:rPr>
          <w:rFonts w:hint="eastAsia" w:cs="仿宋_GB2312"/>
          <w:sz w:val="32"/>
          <w:szCs w:val="32"/>
          <w:highlight w:val="none"/>
          <w:lang w:val="en-US" w:eastAsia="zh-CN"/>
        </w:rPr>
        <w:t>4</w:t>
      </w:r>
      <w:r>
        <w:rPr>
          <w:rFonts w:hint="eastAsia" w:cs="仿宋_GB2312"/>
          <w:sz w:val="32"/>
          <w:szCs w:val="32"/>
          <w:highlight w:val="none"/>
          <w:lang w:eastAsia="zh-CN"/>
        </w:rPr>
        <w:t>.</w:t>
      </w:r>
      <w:r>
        <w:rPr>
          <w:rFonts w:hint="eastAsia" w:cs="仿宋_GB2312"/>
          <w:sz w:val="32"/>
          <w:szCs w:val="32"/>
          <w:highlight w:val="none"/>
          <w:lang w:val="en-US" w:eastAsia="zh-CN"/>
        </w:rPr>
        <w:t>15</w:t>
      </w:r>
      <w:r>
        <w:rPr>
          <w:rFonts w:hint="eastAsia" w:cs="仿宋_GB2312"/>
          <w:sz w:val="32"/>
          <w:szCs w:val="32"/>
          <w:highlight w:val="none"/>
          <w:lang w:eastAsia="zh-CN"/>
        </w:rPr>
        <w:t>%，</w:t>
      </w:r>
      <w:r>
        <w:rPr>
          <w:rFonts w:hint="eastAsia" w:cs="仿宋_GB2312"/>
          <w:sz w:val="32"/>
          <w:szCs w:val="32"/>
          <w:highlight w:val="none"/>
          <w:lang w:val="en-US" w:eastAsia="zh-CN"/>
        </w:rPr>
        <w:t>扣2.07分</w:t>
      </w:r>
      <w:r>
        <w:rPr>
          <w:rFonts w:hint="eastAsia" w:ascii="仿宋" w:hAnsi="仿宋" w:eastAsia="仿宋" w:cs="仿宋_GB2312"/>
          <w:sz w:val="32"/>
          <w:szCs w:val="32"/>
          <w:highlight w:val="none"/>
        </w:rPr>
        <w:t>。</w:t>
      </w:r>
    </w:p>
    <w:p>
      <w:pPr>
        <w:bidi w:val="0"/>
        <w:rPr>
          <w:rFonts w:hint="eastAsia" w:ascii="仿宋" w:hAnsi="仿宋" w:eastAsia="仿宋" w:cs="仿宋_GB2312"/>
          <w:sz w:val="32"/>
          <w:szCs w:val="32"/>
        </w:rPr>
      </w:pPr>
      <w:r>
        <w:rPr>
          <w:rFonts w:hint="eastAsia" w:ascii="仿宋" w:hAnsi="仿宋" w:eastAsia="仿宋" w:cs="仿宋_GB2312"/>
          <w:color w:val="auto"/>
          <w:sz w:val="32"/>
          <w:szCs w:val="32"/>
          <w:highlight w:val="none"/>
        </w:rPr>
        <w:t>经评价，该项指标得分</w:t>
      </w:r>
      <w:r>
        <w:rPr>
          <w:rFonts w:hint="eastAsia" w:cs="仿宋_GB2312"/>
          <w:color w:val="auto"/>
          <w:sz w:val="32"/>
          <w:szCs w:val="32"/>
          <w:highlight w:val="none"/>
          <w:lang w:val="en-US" w:eastAsia="zh-CN"/>
        </w:rPr>
        <w:t>2.93</w:t>
      </w:r>
      <w:r>
        <w:rPr>
          <w:rFonts w:hint="eastAsia" w:ascii="仿宋" w:hAnsi="仿宋" w:eastAsia="仿宋" w:cs="仿宋_GB2312"/>
          <w:color w:val="auto"/>
          <w:sz w:val="32"/>
          <w:szCs w:val="32"/>
          <w:highlight w:val="none"/>
        </w:rPr>
        <w:t>分。</w:t>
      </w:r>
    </w:p>
    <w:p>
      <w:pPr>
        <w:pStyle w:val="4"/>
        <w:bidi w:val="0"/>
      </w:pPr>
      <w:bookmarkStart w:id="44" w:name="_Toc5317"/>
      <w:bookmarkStart w:id="45" w:name="_Toc18274"/>
      <w:r>
        <w:rPr>
          <w:rFonts w:hint="eastAsia"/>
        </w:rPr>
        <w:t>（四）项目效益</w:t>
      </w:r>
      <w:bookmarkEnd w:id="44"/>
      <w:bookmarkEnd w:id="45"/>
    </w:p>
    <w:p>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kern w:val="0"/>
          <w:sz w:val="28"/>
          <w:szCs w:val="28"/>
          <w:lang w:val="en-US" w:eastAsia="zh-CN"/>
        </w:rPr>
      </w:pPr>
      <w:r>
        <w:rPr>
          <w:rFonts w:hint="eastAsia" w:ascii="仿宋" w:hAnsi="仿宋" w:eastAsia="仿宋" w:cs="仿宋"/>
          <w:b/>
          <w:bCs/>
          <w:kern w:val="0"/>
          <w:sz w:val="28"/>
          <w:szCs w:val="28"/>
          <w:lang w:val="en-US" w:eastAsia="zh-CN"/>
        </w:rPr>
        <w:t>项目效益绩效得分情况表</w:t>
      </w:r>
    </w:p>
    <w:tbl>
      <w:tblPr>
        <w:tblStyle w:val="9"/>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85"/>
        <w:gridCol w:w="1862"/>
        <w:gridCol w:w="4396"/>
        <w:gridCol w:w="12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exact"/>
          <w:jc w:val="center"/>
        </w:trPr>
        <w:tc>
          <w:tcPr>
            <w:tcW w:w="875" w:type="pct"/>
            <w:shd w:val="clear" w:color="auto" w:fill="BEBEB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bCs/>
                <w:color w:val="auto"/>
                <w:sz w:val="24"/>
                <w:highlight w:val="none"/>
                <w:lang w:val="en-US" w:eastAsia="zh-CN"/>
              </w:rPr>
            </w:pPr>
            <w:r>
              <w:rPr>
                <w:rFonts w:hint="eastAsia" w:cs="仿宋"/>
                <w:b/>
                <w:bCs/>
                <w:color w:val="auto"/>
                <w:sz w:val="24"/>
                <w:highlight w:val="none"/>
                <w:lang w:val="en-US" w:eastAsia="zh-CN"/>
              </w:rPr>
              <w:t>一级指标</w:t>
            </w:r>
          </w:p>
        </w:tc>
        <w:tc>
          <w:tcPr>
            <w:tcW w:w="1028" w:type="pct"/>
            <w:shd w:val="clear" w:color="auto" w:fill="BEBEB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bCs/>
                <w:color w:val="auto"/>
                <w:sz w:val="24"/>
                <w:highlight w:val="none"/>
                <w:lang w:val="en-US" w:eastAsia="zh-CN"/>
              </w:rPr>
            </w:pPr>
            <w:r>
              <w:rPr>
                <w:rFonts w:hint="eastAsia" w:cs="仿宋"/>
                <w:b/>
                <w:bCs/>
                <w:color w:val="auto"/>
                <w:sz w:val="24"/>
                <w:highlight w:val="none"/>
                <w:lang w:val="en-US" w:eastAsia="zh-CN"/>
              </w:rPr>
              <w:t>二级指标</w:t>
            </w:r>
          </w:p>
        </w:tc>
        <w:tc>
          <w:tcPr>
            <w:tcW w:w="2427" w:type="pct"/>
            <w:shd w:val="clear" w:color="auto" w:fill="BEBEB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bCs/>
                <w:color w:val="auto"/>
                <w:sz w:val="24"/>
                <w:highlight w:val="none"/>
                <w:lang w:val="en-US" w:eastAsia="zh-CN"/>
              </w:rPr>
            </w:pPr>
            <w:r>
              <w:rPr>
                <w:rFonts w:hint="eastAsia" w:cs="仿宋"/>
                <w:b/>
                <w:bCs/>
                <w:color w:val="auto"/>
                <w:sz w:val="24"/>
                <w:highlight w:val="none"/>
                <w:lang w:val="en-US" w:eastAsia="zh-CN"/>
              </w:rPr>
              <w:t>三级指标</w:t>
            </w:r>
          </w:p>
        </w:tc>
        <w:tc>
          <w:tcPr>
            <w:tcW w:w="669" w:type="pct"/>
            <w:shd w:val="clear" w:color="auto" w:fill="BEBEB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bCs/>
                <w:color w:val="auto"/>
                <w:sz w:val="24"/>
                <w:highlight w:val="none"/>
                <w:lang w:val="en-US" w:eastAsia="zh-CN"/>
              </w:rPr>
            </w:pPr>
            <w:r>
              <w:rPr>
                <w:rFonts w:hint="eastAsia" w:cs="仿宋"/>
                <w:b/>
                <w:bCs/>
                <w:color w:val="auto"/>
                <w:sz w:val="24"/>
                <w:highlight w:val="none"/>
                <w:lang w:val="en-US" w:eastAsia="zh-CN"/>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jc w:val="center"/>
        </w:trPr>
        <w:tc>
          <w:tcPr>
            <w:tcW w:w="875" w:type="pct"/>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color w:val="auto"/>
                <w:sz w:val="24"/>
                <w:highlight w:val="none"/>
                <w:lang w:val="en-US" w:eastAsia="zh-CN"/>
              </w:rPr>
            </w:pPr>
            <w:r>
              <w:rPr>
                <w:rFonts w:hint="eastAsia" w:cs="仿宋"/>
                <w:b w:val="0"/>
                <w:bCs w:val="0"/>
                <w:color w:val="auto"/>
                <w:sz w:val="24"/>
                <w:highlight w:val="none"/>
                <w:lang w:val="en-US" w:eastAsia="zh-CN"/>
              </w:rPr>
              <w:t>效益（20分）</w:t>
            </w:r>
          </w:p>
        </w:tc>
        <w:tc>
          <w:tcPr>
            <w:tcW w:w="1028" w:type="pct"/>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default" w:cs="仿宋"/>
                <w:b w:val="0"/>
                <w:bCs w:val="0"/>
                <w:color w:val="auto"/>
                <w:sz w:val="24"/>
                <w:highlight w:val="none"/>
                <w:lang w:val="en-US" w:eastAsia="zh-CN"/>
              </w:rPr>
            </w:pPr>
            <w:r>
              <w:rPr>
                <w:rFonts w:hint="eastAsia" w:cs="仿宋"/>
                <w:b w:val="0"/>
                <w:bCs w:val="0"/>
                <w:color w:val="auto"/>
                <w:sz w:val="24"/>
                <w:highlight w:val="none"/>
                <w:lang w:val="en-US" w:eastAsia="zh-CN"/>
              </w:rPr>
              <w:t>项目效益</w:t>
            </w:r>
          </w:p>
        </w:tc>
        <w:tc>
          <w:tcPr>
            <w:tcW w:w="2427"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仿宋" w:hAnsi="仿宋" w:eastAsia="仿宋" w:cs="仿宋"/>
                <w:b w:val="0"/>
                <w:bCs w:val="0"/>
                <w:color w:val="auto"/>
                <w:kern w:val="2"/>
                <w:sz w:val="24"/>
                <w:szCs w:val="24"/>
                <w:highlight w:val="none"/>
                <w:lang w:val="en-US" w:eastAsia="zh-CN" w:bidi="ar-SA"/>
              </w:rPr>
            </w:pPr>
            <w:r>
              <w:rPr>
                <w:rFonts w:hint="eastAsia" w:cs="仿宋"/>
                <w:b w:val="0"/>
                <w:bCs w:val="0"/>
                <w:color w:val="auto"/>
                <w:sz w:val="24"/>
                <w:highlight w:val="none"/>
                <w:lang w:val="en-US" w:eastAsia="zh-CN"/>
              </w:rPr>
              <w:t>社会效益（10分）</w:t>
            </w:r>
          </w:p>
        </w:tc>
        <w:tc>
          <w:tcPr>
            <w:tcW w:w="669"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color w:val="auto"/>
                <w:sz w:val="24"/>
                <w:highlight w:val="none"/>
                <w:lang w:val="en-US" w:eastAsia="zh-CN"/>
              </w:rPr>
            </w:pPr>
            <w:r>
              <w:rPr>
                <w:rFonts w:hint="eastAsia" w:cs="仿宋"/>
                <w:b w:val="0"/>
                <w:bCs w:val="0"/>
                <w:color w:val="auto"/>
                <w:sz w:val="24"/>
                <w:highlight w:val="none"/>
                <w:lang w:val="en-US"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875" w:type="pct"/>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color w:val="auto"/>
                <w:sz w:val="24"/>
                <w:highlight w:val="none"/>
                <w:lang w:val="en-US" w:eastAsia="zh-CN"/>
              </w:rPr>
            </w:pPr>
          </w:p>
        </w:tc>
        <w:tc>
          <w:tcPr>
            <w:tcW w:w="1028" w:type="pct"/>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val="0"/>
                <w:bCs w:val="0"/>
                <w:color w:val="auto"/>
                <w:sz w:val="24"/>
                <w:highlight w:val="none"/>
                <w:lang w:val="en-US" w:eastAsia="zh-CN"/>
              </w:rPr>
            </w:pPr>
          </w:p>
        </w:tc>
        <w:tc>
          <w:tcPr>
            <w:tcW w:w="2427"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default" w:ascii="仿宋" w:hAnsi="仿宋" w:eastAsia="仿宋" w:cs="仿宋"/>
                <w:b w:val="0"/>
                <w:bCs w:val="0"/>
                <w:color w:val="auto"/>
                <w:kern w:val="2"/>
                <w:sz w:val="24"/>
                <w:szCs w:val="24"/>
                <w:highlight w:val="none"/>
                <w:lang w:val="en-US" w:eastAsia="zh-CN" w:bidi="ar-SA"/>
              </w:rPr>
            </w:pPr>
            <w:r>
              <w:rPr>
                <w:rFonts w:hint="eastAsia" w:cs="仿宋"/>
                <w:b w:val="0"/>
                <w:bCs w:val="0"/>
                <w:color w:val="auto"/>
                <w:sz w:val="24"/>
                <w:highlight w:val="none"/>
                <w:lang w:val="en-US" w:eastAsia="zh-CN"/>
              </w:rPr>
              <w:t>生态效益（10分）</w:t>
            </w:r>
          </w:p>
        </w:tc>
        <w:tc>
          <w:tcPr>
            <w:tcW w:w="669"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default" w:cs="仿宋"/>
                <w:b w:val="0"/>
                <w:bCs w:val="0"/>
                <w:color w:val="auto"/>
                <w:sz w:val="24"/>
                <w:highlight w:val="none"/>
                <w:lang w:val="en-US" w:eastAsia="zh-CN"/>
              </w:rPr>
            </w:pPr>
            <w:r>
              <w:rPr>
                <w:rFonts w:hint="eastAsia" w:cs="仿宋"/>
                <w:b w:val="0"/>
                <w:bCs w:val="0"/>
                <w:color w:val="auto"/>
                <w:sz w:val="24"/>
                <w:highlight w:val="no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330" w:type="pct"/>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cs="仿宋"/>
                <w:b/>
                <w:bCs/>
                <w:color w:val="auto"/>
                <w:sz w:val="24"/>
                <w:highlight w:val="none"/>
                <w:lang w:val="en-US" w:eastAsia="zh-CN"/>
              </w:rPr>
            </w:pPr>
            <w:r>
              <w:rPr>
                <w:rFonts w:hint="eastAsia" w:cs="仿宋"/>
                <w:b/>
                <w:bCs/>
                <w:color w:val="auto"/>
                <w:sz w:val="24"/>
                <w:highlight w:val="none"/>
                <w:lang w:val="en-US" w:eastAsia="zh-CN"/>
              </w:rPr>
              <w:t>合计</w:t>
            </w:r>
          </w:p>
        </w:tc>
        <w:tc>
          <w:tcPr>
            <w:tcW w:w="669" w:type="pc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default" w:cs="仿宋"/>
                <w:b/>
                <w:bCs/>
                <w:color w:val="auto"/>
                <w:sz w:val="24"/>
                <w:highlight w:val="none"/>
                <w:lang w:val="en-US" w:eastAsia="zh-CN"/>
              </w:rPr>
            </w:pPr>
            <w:r>
              <w:rPr>
                <w:rFonts w:hint="eastAsia" w:cs="仿宋"/>
                <w:b/>
                <w:bCs/>
                <w:color w:val="auto"/>
                <w:sz w:val="24"/>
                <w:highlight w:val="none"/>
                <w:lang w:val="en-US" w:eastAsia="zh-CN"/>
              </w:rPr>
              <w:t>17</w:t>
            </w:r>
          </w:p>
        </w:tc>
      </w:tr>
    </w:tbl>
    <w:p>
      <w:pPr>
        <w:pStyle w:val="5"/>
        <w:bidi w:val="0"/>
      </w:pPr>
      <w:r>
        <w:rPr>
          <w:rFonts w:hint="eastAsia"/>
        </w:rPr>
        <w:t>1.社会效益指标（满分</w:t>
      </w:r>
      <w:r>
        <w:rPr>
          <w:rFonts w:hint="eastAsia"/>
          <w:lang w:val="en-US" w:eastAsia="zh-CN"/>
        </w:rPr>
        <w:t>10</w:t>
      </w:r>
      <w:r>
        <w:rPr>
          <w:rFonts w:hint="eastAsia"/>
        </w:rPr>
        <w:t>分，评价得分</w:t>
      </w:r>
      <w:r>
        <w:rPr>
          <w:rFonts w:hint="eastAsia"/>
          <w:lang w:val="en-US" w:eastAsia="zh-CN"/>
        </w:rPr>
        <w:t>7</w:t>
      </w:r>
      <w:r>
        <w:rPr>
          <w:rFonts w:hint="eastAsia"/>
        </w:rPr>
        <w:t>分）</w:t>
      </w:r>
    </w:p>
    <w:p>
      <w:pPr>
        <w:pStyle w:val="6"/>
        <w:spacing w:line="600" w:lineRule="exact"/>
        <w:ind w:firstLine="640"/>
        <w:rPr>
          <w:rFonts w:ascii="仿宋" w:hAnsi="仿宋" w:eastAsia="仿宋" w:cs="仿宋_GB2312"/>
          <w:sz w:val="32"/>
          <w:szCs w:val="32"/>
        </w:rPr>
      </w:pPr>
      <w:bookmarkStart w:id="46" w:name="_Toc51231080"/>
      <w:bookmarkStart w:id="47" w:name="_Toc51253464"/>
      <w:bookmarkStart w:id="48" w:name="_Toc6706"/>
      <w:bookmarkStart w:id="49" w:name="_Toc51234320"/>
      <w:r>
        <w:rPr>
          <w:rFonts w:hint="eastAsia" w:ascii="仿宋" w:hAnsi="仿宋" w:eastAsia="仿宋" w:cs="仿宋_GB2312"/>
          <w:sz w:val="32"/>
          <w:szCs w:val="32"/>
        </w:rPr>
        <w:t>深入推进全市农村生活垃圾治理，提升城乡生产生活条件和生态质量，完善农村生活垃圾收运体系建设。农村生活垃圾源头减量、资源化利用工作，不断提升农村人居环境。</w:t>
      </w:r>
    </w:p>
    <w:p>
      <w:pPr>
        <w:pStyle w:val="11"/>
        <w:spacing w:line="600" w:lineRule="exact"/>
        <w:ind w:firstLine="640"/>
        <w:rPr>
          <w:rFonts w:hint="eastAsia" w:ascii="仿宋" w:hAnsi="仿宋" w:eastAsia="仿宋" w:cs="仿宋_GB2312"/>
          <w:sz w:val="32"/>
          <w:szCs w:val="32"/>
          <w:lang w:eastAsia="zh-CN"/>
        </w:rPr>
      </w:pPr>
      <w:r>
        <w:rPr>
          <w:rFonts w:hint="eastAsia" w:ascii="仿宋" w:hAnsi="仿宋" w:eastAsia="仿宋" w:cs="仿宋_GB2312"/>
          <w:sz w:val="32"/>
          <w:szCs w:val="32"/>
        </w:rPr>
        <w:t>评价组现场查看3个乡镇</w:t>
      </w:r>
      <w:r>
        <w:rPr>
          <w:rFonts w:hint="eastAsia" w:ascii="仿宋" w:hAnsi="仿宋" w:eastAsia="仿宋" w:cs="仿宋_GB2312"/>
          <w:sz w:val="32"/>
          <w:szCs w:val="32"/>
          <w:highlight w:val="none"/>
        </w:rPr>
        <w:t>30个村庄，实地了解垃圾清运情况，并入户询问村民对垃圾清理的感受，向村委会了解公司清运垃圾情况，现场走访发现有一处不合格扣0.</w:t>
      </w:r>
      <w:r>
        <w:rPr>
          <w:rFonts w:hint="eastAsia" w:cs="仿宋_GB2312"/>
          <w:sz w:val="32"/>
          <w:szCs w:val="32"/>
          <w:highlight w:val="none"/>
          <w:lang w:val="en-US" w:eastAsia="zh-CN"/>
        </w:rPr>
        <w:t>1</w:t>
      </w:r>
      <w:r>
        <w:rPr>
          <w:rFonts w:hint="eastAsia" w:ascii="仿宋" w:hAnsi="仿宋" w:eastAsia="仿宋" w:cs="仿宋_GB2312"/>
          <w:sz w:val="32"/>
          <w:szCs w:val="32"/>
          <w:highlight w:val="none"/>
        </w:rPr>
        <w:t>分。现场</w:t>
      </w:r>
      <w:r>
        <w:rPr>
          <w:rFonts w:hint="eastAsia" w:cs="仿宋_GB2312"/>
          <w:sz w:val="32"/>
          <w:szCs w:val="32"/>
          <w:highlight w:val="none"/>
          <w:lang w:val="en-US" w:eastAsia="zh-CN"/>
        </w:rPr>
        <w:t>核查结果见附件2《无极县垃圾清运项目现场情况表》</w:t>
      </w:r>
      <w:r>
        <w:rPr>
          <w:rFonts w:hint="eastAsia" w:cs="仿宋_GB2312"/>
          <w:sz w:val="32"/>
          <w:szCs w:val="32"/>
          <w:highlight w:val="none"/>
          <w:lang w:eastAsia="zh-CN"/>
        </w:rPr>
        <w:t>。</w:t>
      </w:r>
    </w:p>
    <w:p>
      <w:pPr>
        <w:pStyle w:val="11"/>
        <w:spacing w:line="600" w:lineRule="exact"/>
        <w:ind w:firstLine="640"/>
        <w:rPr>
          <w:rFonts w:ascii="仿宋" w:hAnsi="仿宋" w:eastAsia="仿宋" w:cs="仿宋_GB2312"/>
          <w:color w:val="auto"/>
          <w:sz w:val="32"/>
          <w:szCs w:val="32"/>
        </w:rPr>
      </w:pPr>
      <w:r>
        <w:rPr>
          <w:rFonts w:hint="eastAsia" w:ascii="仿宋" w:hAnsi="仿宋" w:eastAsia="仿宋" w:cs="仿宋_GB2312"/>
          <w:color w:val="auto"/>
          <w:sz w:val="32"/>
          <w:szCs w:val="32"/>
        </w:rPr>
        <w:t>评级组走访</w:t>
      </w:r>
      <w:r>
        <w:rPr>
          <w:rFonts w:hint="eastAsia" w:cs="仿宋_GB2312"/>
          <w:color w:val="auto"/>
          <w:sz w:val="32"/>
          <w:szCs w:val="32"/>
          <w:lang w:val="en-US" w:eastAsia="zh-CN"/>
        </w:rPr>
        <w:t>30</w:t>
      </w:r>
      <w:r>
        <w:rPr>
          <w:rFonts w:hint="eastAsia" w:ascii="仿宋" w:hAnsi="仿宋" w:eastAsia="仿宋" w:cs="仿宋_GB2312"/>
          <w:color w:val="auto"/>
          <w:sz w:val="32"/>
          <w:szCs w:val="32"/>
        </w:rPr>
        <w:t>个村庄共扣</w:t>
      </w:r>
      <w:r>
        <w:rPr>
          <w:rFonts w:hint="eastAsia" w:cs="仿宋_GB2312"/>
          <w:color w:val="auto"/>
          <w:sz w:val="32"/>
          <w:szCs w:val="32"/>
          <w:lang w:val="en-US" w:eastAsia="zh-CN"/>
        </w:rPr>
        <w:t>3</w:t>
      </w:r>
      <w:r>
        <w:rPr>
          <w:rFonts w:hint="eastAsia" w:ascii="仿宋" w:hAnsi="仿宋" w:eastAsia="仿宋" w:cs="仿宋_GB2312"/>
          <w:color w:val="auto"/>
          <w:sz w:val="32"/>
          <w:szCs w:val="32"/>
        </w:rPr>
        <w:t>分，合骏</w:t>
      </w:r>
      <w:r>
        <w:rPr>
          <w:rFonts w:hint="eastAsia" w:cs="仿宋_GB2312"/>
          <w:color w:val="auto"/>
          <w:sz w:val="32"/>
          <w:szCs w:val="32"/>
          <w:lang w:val="en-US" w:eastAsia="zh-CN"/>
        </w:rPr>
        <w:t>公司</w:t>
      </w:r>
      <w:r>
        <w:rPr>
          <w:rFonts w:hint="eastAsia" w:ascii="仿宋" w:hAnsi="仿宋" w:eastAsia="仿宋" w:cs="仿宋_GB2312"/>
          <w:color w:val="auto"/>
          <w:sz w:val="32"/>
          <w:szCs w:val="32"/>
        </w:rPr>
        <w:t>、广拓</w:t>
      </w:r>
      <w:r>
        <w:rPr>
          <w:rFonts w:hint="eastAsia" w:cs="仿宋_GB2312"/>
          <w:color w:val="auto"/>
          <w:sz w:val="32"/>
          <w:szCs w:val="32"/>
          <w:lang w:val="en-US" w:eastAsia="zh-CN"/>
        </w:rPr>
        <w:t>公司</w:t>
      </w:r>
      <w:r>
        <w:rPr>
          <w:rFonts w:hint="eastAsia" w:ascii="仿宋" w:hAnsi="仿宋" w:eastAsia="仿宋" w:cs="仿宋_GB2312"/>
          <w:color w:val="auto"/>
          <w:sz w:val="32"/>
          <w:szCs w:val="32"/>
        </w:rPr>
        <w:t>、志程洁</w:t>
      </w:r>
      <w:r>
        <w:rPr>
          <w:rFonts w:hint="eastAsia" w:cs="仿宋_GB2312"/>
          <w:color w:val="auto"/>
          <w:sz w:val="32"/>
          <w:szCs w:val="32"/>
          <w:lang w:val="en-US" w:eastAsia="zh-CN"/>
        </w:rPr>
        <w:t>公司</w:t>
      </w:r>
      <w:r>
        <w:rPr>
          <w:rFonts w:hint="eastAsia" w:ascii="仿宋" w:hAnsi="仿宋" w:eastAsia="仿宋" w:cs="仿宋_GB2312"/>
          <w:color w:val="auto"/>
          <w:sz w:val="32"/>
          <w:szCs w:val="32"/>
        </w:rPr>
        <w:t>分别扣</w:t>
      </w:r>
      <w:r>
        <w:rPr>
          <w:rFonts w:hint="eastAsia" w:cs="仿宋_GB2312"/>
          <w:color w:val="auto"/>
          <w:sz w:val="32"/>
          <w:szCs w:val="32"/>
          <w:lang w:val="en-US" w:eastAsia="zh-CN"/>
        </w:rPr>
        <w:t>1.5</w:t>
      </w:r>
      <w:r>
        <w:rPr>
          <w:rFonts w:hint="eastAsia" w:ascii="仿宋" w:hAnsi="仿宋" w:eastAsia="仿宋" w:cs="仿宋_GB2312"/>
          <w:color w:val="auto"/>
          <w:sz w:val="32"/>
          <w:szCs w:val="32"/>
        </w:rPr>
        <w:t>分、</w:t>
      </w:r>
      <w:r>
        <w:rPr>
          <w:rFonts w:hint="eastAsia" w:cs="仿宋_GB2312"/>
          <w:color w:val="auto"/>
          <w:sz w:val="32"/>
          <w:szCs w:val="32"/>
          <w:lang w:val="en-US" w:eastAsia="zh-CN"/>
        </w:rPr>
        <w:t>0.9</w:t>
      </w:r>
      <w:r>
        <w:rPr>
          <w:rFonts w:hint="eastAsia" w:ascii="仿宋" w:hAnsi="仿宋" w:eastAsia="仿宋" w:cs="仿宋_GB2312"/>
          <w:color w:val="auto"/>
          <w:sz w:val="32"/>
          <w:szCs w:val="32"/>
        </w:rPr>
        <w:t>分、0.</w:t>
      </w:r>
      <w:r>
        <w:rPr>
          <w:rFonts w:hint="eastAsia" w:cs="仿宋_GB2312"/>
          <w:color w:val="auto"/>
          <w:sz w:val="32"/>
          <w:szCs w:val="32"/>
          <w:lang w:val="en-US" w:eastAsia="zh-CN"/>
        </w:rPr>
        <w:t>6</w:t>
      </w:r>
      <w:r>
        <w:rPr>
          <w:rFonts w:hint="eastAsia" w:ascii="仿宋" w:hAnsi="仿宋" w:eastAsia="仿宋" w:cs="仿宋_GB2312"/>
          <w:color w:val="auto"/>
          <w:sz w:val="32"/>
          <w:szCs w:val="32"/>
        </w:rPr>
        <w:t>分。</w:t>
      </w:r>
      <w:bookmarkEnd w:id="46"/>
      <w:bookmarkEnd w:id="47"/>
      <w:bookmarkEnd w:id="48"/>
      <w:bookmarkEnd w:id="49"/>
      <w:bookmarkStart w:id="50" w:name="_Toc20994"/>
      <w:bookmarkStart w:id="51" w:name="_Toc20791"/>
      <w:r>
        <w:rPr>
          <w:rFonts w:hint="eastAsia" w:ascii="仿宋" w:hAnsi="仿宋" w:eastAsia="仿宋" w:cs="仿宋_GB2312"/>
          <w:color w:val="auto"/>
          <w:sz w:val="32"/>
          <w:szCs w:val="32"/>
        </w:rPr>
        <w:t>综合分析三家公司扣分情况得知</w:t>
      </w:r>
      <w:r>
        <w:rPr>
          <w:rFonts w:hint="eastAsia" w:cs="仿宋_GB2312"/>
          <w:color w:val="auto"/>
          <w:sz w:val="32"/>
          <w:szCs w:val="32"/>
          <w:lang w:eastAsia="zh-CN"/>
        </w:rPr>
        <w:t>，</w:t>
      </w:r>
      <w:r>
        <w:rPr>
          <w:rFonts w:hint="eastAsia" w:ascii="仿宋" w:hAnsi="仿宋" w:eastAsia="仿宋" w:cs="仿宋_GB2312"/>
          <w:color w:val="auto"/>
          <w:sz w:val="32"/>
          <w:szCs w:val="32"/>
        </w:rPr>
        <w:t>对比其它两家公司，志程洁</w:t>
      </w:r>
      <w:r>
        <w:rPr>
          <w:rFonts w:hint="eastAsia" w:cs="仿宋_GB2312"/>
          <w:color w:val="auto"/>
          <w:sz w:val="32"/>
          <w:szCs w:val="32"/>
          <w:lang w:val="en-US" w:eastAsia="zh-CN"/>
        </w:rPr>
        <w:t>公司</w:t>
      </w:r>
      <w:r>
        <w:rPr>
          <w:rFonts w:hint="eastAsia" w:ascii="仿宋" w:hAnsi="仿宋" w:eastAsia="仿宋" w:cs="仿宋_GB2312"/>
          <w:color w:val="auto"/>
          <w:sz w:val="32"/>
          <w:szCs w:val="32"/>
        </w:rPr>
        <w:t>垃圾清运情况较好。</w:t>
      </w:r>
    </w:p>
    <w:p>
      <w:pPr>
        <w:spacing w:line="60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农村垃圾清运项目实现农村人居环境明显改善，村庄环境基本干净整洁有序，村民环境与健康意识普遍增强，实现全市人居环境质量全面提升，实现农村生活垃圾处置体系全覆盖。</w:t>
      </w:r>
    </w:p>
    <w:p>
      <w:pPr>
        <w:spacing w:line="60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经评价，该项指标得分</w:t>
      </w:r>
      <w:r>
        <w:rPr>
          <w:rFonts w:hint="eastAsia" w:cs="仿宋_GB2312"/>
          <w:sz w:val="32"/>
          <w:szCs w:val="32"/>
          <w:lang w:val="en-US" w:eastAsia="zh-CN"/>
        </w:rPr>
        <w:t>7</w:t>
      </w:r>
      <w:r>
        <w:rPr>
          <w:rFonts w:hint="eastAsia" w:ascii="仿宋" w:hAnsi="仿宋" w:eastAsia="仿宋" w:cs="仿宋_GB2312"/>
          <w:sz w:val="32"/>
          <w:szCs w:val="32"/>
        </w:rPr>
        <w:t>分。</w:t>
      </w:r>
    </w:p>
    <w:p>
      <w:pPr>
        <w:pStyle w:val="5"/>
        <w:bidi w:val="0"/>
      </w:pPr>
      <w:r>
        <w:rPr>
          <w:rFonts w:hint="eastAsia"/>
        </w:rPr>
        <w:t>2.生态效益</w:t>
      </w:r>
      <w:r>
        <w:rPr>
          <w:rFonts w:hint="eastAsia"/>
          <w:lang w:val="en-US" w:eastAsia="zh-CN"/>
        </w:rPr>
        <w:t>指标</w:t>
      </w:r>
      <w:r>
        <w:rPr>
          <w:rFonts w:hint="eastAsia"/>
        </w:rPr>
        <w:t>（满分</w:t>
      </w:r>
      <w:r>
        <w:rPr>
          <w:rFonts w:hint="eastAsia"/>
          <w:lang w:val="en-US" w:eastAsia="zh-CN"/>
        </w:rPr>
        <w:t>10</w:t>
      </w:r>
      <w:r>
        <w:rPr>
          <w:rFonts w:hint="eastAsia"/>
        </w:rPr>
        <w:t>分，评价得分</w:t>
      </w:r>
      <w:r>
        <w:rPr>
          <w:rFonts w:hint="eastAsia"/>
          <w:lang w:val="en-US" w:eastAsia="zh-CN"/>
        </w:rPr>
        <w:t>10</w:t>
      </w:r>
      <w:r>
        <w:rPr>
          <w:rFonts w:hint="eastAsia"/>
        </w:rPr>
        <w:t>分）</w:t>
      </w:r>
    </w:p>
    <w:p>
      <w:pPr>
        <w:pStyle w:val="11"/>
        <w:spacing w:line="600" w:lineRule="exact"/>
        <w:ind w:firstLine="640"/>
        <w:rPr>
          <w:rFonts w:hint="eastAsia" w:ascii="仿宋" w:hAnsi="仿宋" w:eastAsia="仿宋" w:cs="仿宋_GB2312"/>
          <w:sz w:val="32"/>
          <w:szCs w:val="32"/>
          <w:highlight w:val="none"/>
          <w:lang w:eastAsia="zh-CN"/>
        </w:rPr>
      </w:pPr>
      <w:r>
        <w:rPr>
          <w:rFonts w:hint="eastAsia" w:ascii="仿宋" w:hAnsi="仿宋" w:eastAsia="仿宋" w:cs="仿宋_GB2312"/>
          <w:sz w:val="32"/>
          <w:szCs w:val="32"/>
          <w:highlight w:val="none"/>
        </w:rPr>
        <w:t>各村每家配备小垃圾桶，街道配备大垃圾桶，减少生活垃圾中有些不易降解的物质对土地的侵蚀。环卫公司集中收集垃圾，运往生活垃圾焚烧厂焚烧处理，改变以前农村采用卫生填埋甚至简易填埋的方式，改变农村垃圾虫蝇乱飞，污水四溢，臭气熏天的状态，减少环境的污染，改善村中面貌</w:t>
      </w:r>
      <w:r>
        <w:rPr>
          <w:rFonts w:hint="eastAsia" w:cs="仿宋_GB2312"/>
          <w:sz w:val="32"/>
          <w:szCs w:val="32"/>
          <w:highlight w:val="none"/>
          <w:lang w:eastAsia="zh-CN"/>
        </w:rPr>
        <w:t>。</w:t>
      </w:r>
      <w:r>
        <w:rPr>
          <w:rFonts w:hint="eastAsia" w:ascii="仿宋" w:hAnsi="仿宋" w:eastAsia="仿宋" w:cs="仿宋_GB2312"/>
          <w:sz w:val="32"/>
          <w:szCs w:val="32"/>
          <w:highlight w:val="none"/>
        </w:rPr>
        <w:t>使居民生活环境得到长期有效的改善</w:t>
      </w:r>
      <w:r>
        <w:rPr>
          <w:rFonts w:hint="eastAsia" w:cs="仿宋_GB2312"/>
          <w:sz w:val="32"/>
          <w:szCs w:val="32"/>
          <w:highlight w:val="none"/>
          <w:lang w:eastAsia="zh-CN"/>
        </w:rPr>
        <w:t>。</w:t>
      </w:r>
    </w:p>
    <w:p>
      <w:pPr>
        <w:pStyle w:val="11"/>
        <w:spacing w:line="600" w:lineRule="exact"/>
        <w:ind w:firstLine="640"/>
        <w:rPr>
          <w:rFonts w:ascii="仿宋" w:hAnsi="仿宋" w:eastAsia="仿宋" w:cs="仿宋_GB2312"/>
          <w:sz w:val="32"/>
          <w:szCs w:val="32"/>
          <w:highlight w:val="none"/>
        </w:rPr>
      </w:pPr>
      <w:r>
        <w:rPr>
          <w:rFonts w:hint="eastAsia" w:ascii="仿宋" w:hAnsi="仿宋" w:eastAsia="仿宋" w:cs="仿宋_GB2312"/>
          <w:sz w:val="32"/>
          <w:szCs w:val="32"/>
          <w:highlight w:val="none"/>
        </w:rPr>
        <w:t>经评价，该项指标得分</w:t>
      </w:r>
      <w:r>
        <w:rPr>
          <w:rFonts w:hint="eastAsia" w:cs="仿宋_GB2312"/>
          <w:sz w:val="32"/>
          <w:szCs w:val="32"/>
          <w:highlight w:val="none"/>
          <w:lang w:val="en-US" w:eastAsia="zh-CN"/>
        </w:rPr>
        <w:t>10</w:t>
      </w:r>
      <w:r>
        <w:rPr>
          <w:rFonts w:hint="eastAsia" w:ascii="仿宋" w:hAnsi="仿宋" w:eastAsia="仿宋" w:cs="仿宋_GB2312"/>
          <w:sz w:val="32"/>
          <w:szCs w:val="32"/>
          <w:highlight w:val="none"/>
        </w:rPr>
        <w:t>分。</w:t>
      </w:r>
    </w:p>
    <w:p>
      <w:pPr>
        <w:pStyle w:val="3"/>
        <w:bidi w:val="0"/>
      </w:pPr>
      <w:bookmarkStart w:id="52" w:name="_Toc20505"/>
      <w:bookmarkStart w:id="53" w:name="_Toc28267"/>
      <w:r>
        <w:rPr>
          <w:rFonts w:hint="eastAsia"/>
        </w:rPr>
        <w:t>四、评价结论和评价等级</w:t>
      </w:r>
      <w:bookmarkEnd w:id="50"/>
      <w:bookmarkEnd w:id="52"/>
      <w:bookmarkEnd w:id="53"/>
    </w:p>
    <w:p>
      <w:pPr>
        <w:spacing w:line="60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总体</w:t>
      </w:r>
      <w:r>
        <w:rPr>
          <w:rFonts w:ascii="仿宋" w:hAnsi="仿宋" w:eastAsia="仿宋" w:cs="仿宋_GB2312"/>
          <w:sz w:val="32"/>
          <w:szCs w:val="32"/>
        </w:rPr>
        <w:t>来看，</w:t>
      </w:r>
      <w:r>
        <w:rPr>
          <w:rFonts w:hint="eastAsia" w:ascii="仿宋" w:hAnsi="仿宋" w:eastAsia="仿宋" w:cs="仿宋_GB2312"/>
          <w:sz w:val="32"/>
          <w:szCs w:val="32"/>
        </w:rPr>
        <w:t>无极县农村垃圾清运采购项目实施改善了村民的生活环境，提升了城市的整体形象。</w:t>
      </w:r>
      <w:r>
        <w:rPr>
          <w:rFonts w:ascii="仿宋" w:hAnsi="仿宋" w:eastAsia="仿宋" w:cs="仿宋_GB2312"/>
          <w:sz w:val="32"/>
          <w:szCs w:val="32"/>
        </w:rPr>
        <w:t>但该项目</w:t>
      </w:r>
      <w:r>
        <w:rPr>
          <w:rFonts w:hint="eastAsia" w:ascii="仿宋" w:hAnsi="仿宋" w:eastAsia="仿宋" w:cs="仿宋_GB2312"/>
          <w:sz w:val="32"/>
          <w:szCs w:val="32"/>
        </w:rPr>
        <w:t>在控制成本、垃圾清</w:t>
      </w:r>
      <w:r>
        <w:rPr>
          <w:rFonts w:hint="eastAsia" w:ascii="仿宋" w:hAnsi="仿宋" w:eastAsia="仿宋" w:cs="仿宋_GB2312"/>
          <w:sz w:val="32"/>
          <w:szCs w:val="32"/>
          <w:highlight w:val="none"/>
        </w:rPr>
        <w:t>运</w:t>
      </w:r>
      <w:r>
        <w:rPr>
          <w:rFonts w:hint="eastAsia" w:cs="仿宋_GB2312"/>
          <w:sz w:val="32"/>
          <w:szCs w:val="32"/>
          <w:highlight w:val="none"/>
          <w:lang w:val="en-US" w:eastAsia="zh-CN"/>
        </w:rPr>
        <w:t>及时性</w:t>
      </w:r>
      <w:r>
        <w:rPr>
          <w:rFonts w:hint="eastAsia" w:ascii="仿宋" w:hAnsi="仿宋" w:eastAsia="仿宋" w:cs="仿宋_GB2312"/>
          <w:sz w:val="32"/>
          <w:szCs w:val="32"/>
          <w:highlight w:val="none"/>
        </w:rPr>
        <w:t>等方面</w:t>
      </w:r>
      <w:r>
        <w:rPr>
          <w:rFonts w:ascii="仿宋" w:hAnsi="仿宋" w:eastAsia="仿宋" w:cs="仿宋_GB2312"/>
          <w:sz w:val="32"/>
          <w:szCs w:val="32"/>
          <w:highlight w:val="none"/>
        </w:rPr>
        <w:t>仍有可提高的空间</w:t>
      </w:r>
      <w:r>
        <w:rPr>
          <w:rFonts w:hint="eastAsia" w:ascii="仿宋" w:hAnsi="仿宋" w:eastAsia="仿宋" w:cs="仿宋_GB2312"/>
          <w:sz w:val="32"/>
          <w:szCs w:val="32"/>
          <w:highlight w:val="none"/>
        </w:rPr>
        <w:t>。</w:t>
      </w:r>
      <w:r>
        <w:rPr>
          <w:rFonts w:ascii="仿宋" w:hAnsi="仿宋" w:eastAsia="仿宋" w:cs="仿宋_GB2312"/>
          <w:sz w:val="32"/>
          <w:szCs w:val="32"/>
          <w:highlight w:val="none"/>
        </w:rPr>
        <w:t>经评议，该项目综合得分</w:t>
      </w:r>
      <w:r>
        <w:rPr>
          <w:rFonts w:hint="eastAsia" w:cs="仿宋_GB2312"/>
          <w:sz w:val="32"/>
          <w:szCs w:val="32"/>
          <w:highlight w:val="none"/>
          <w:lang w:val="en-US" w:eastAsia="zh-CN"/>
        </w:rPr>
        <w:t>80.81</w:t>
      </w:r>
      <w:r>
        <w:rPr>
          <w:rFonts w:hint="eastAsia" w:ascii="仿宋" w:hAnsi="仿宋" w:eastAsia="仿宋" w:cs="仿宋_GB2312"/>
          <w:sz w:val="32"/>
          <w:szCs w:val="32"/>
          <w:highlight w:val="none"/>
        </w:rPr>
        <w:t>分</w:t>
      </w:r>
      <w:r>
        <w:rPr>
          <w:rFonts w:ascii="仿宋" w:hAnsi="仿宋" w:eastAsia="仿宋" w:cs="仿宋_GB2312"/>
          <w:sz w:val="32"/>
          <w:szCs w:val="32"/>
          <w:highlight w:val="none"/>
        </w:rPr>
        <w:t>，</w:t>
      </w:r>
      <w:r>
        <w:rPr>
          <w:rFonts w:hint="eastAsia" w:ascii="仿宋" w:hAnsi="仿宋" w:eastAsia="仿宋" w:cs="仿宋_GB2312"/>
          <w:sz w:val="32"/>
          <w:szCs w:val="32"/>
          <w:highlight w:val="none"/>
        </w:rPr>
        <w:t>评</w:t>
      </w:r>
      <w:r>
        <w:rPr>
          <w:rFonts w:hint="eastAsia" w:ascii="仿宋" w:hAnsi="仿宋" w:eastAsia="仿宋" w:cs="仿宋_GB2312"/>
          <w:sz w:val="32"/>
          <w:szCs w:val="32"/>
        </w:rPr>
        <w:t>价</w:t>
      </w:r>
      <w:r>
        <w:rPr>
          <w:rFonts w:ascii="仿宋" w:hAnsi="仿宋" w:eastAsia="仿宋" w:cs="仿宋_GB2312"/>
          <w:sz w:val="32"/>
          <w:szCs w:val="32"/>
        </w:rPr>
        <w:t>等级为“</w:t>
      </w:r>
      <w:r>
        <w:rPr>
          <w:rFonts w:hint="eastAsia" w:ascii="仿宋" w:hAnsi="仿宋" w:eastAsia="仿宋" w:cs="仿宋_GB2312"/>
          <w:sz w:val="32"/>
          <w:szCs w:val="32"/>
        </w:rPr>
        <w:t>良好</w:t>
      </w:r>
      <w:r>
        <w:rPr>
          <w:rFonts w:ascii="仿宋" w:hAnsi="仿宋" w:eastAsia="仿宋" w:cs="仿宋_GB2312"/>
          <w:sz w:val="32"/>
          <w:szCs w:val="32"/>
        </w:rPr>
        <w:t>”</w:t>
      </w:r>
      <w:r>
        <w:rPr>
          <w:rFonts w:hint="eastAsia" w:ascii="仿宋" w:hAnsi="仿宋" w:eastAsia="仿宋" w:cs="仿宋_GB2312"/>
          <w:sz w:val="32"/>
          <w:szCs w:val="32"/>
        </w:rPr>
        <w:t>，具体得分情况如下表：</w:t>
      </w:r>
    </w:p>
    <w:tbl>
      <w:tblPr>
        <w:tblStyle w:val="9"/>
        <w:tblW w:w="4997" w:type="pct"/>
        <w:jc w:val="center"/>
        <w:tblLayout w:type="autofit"/>
        <w:tblCellMar>
          <w:top w:w="0" w:type="dxa"/>
          <w:left w:w="0" w:type="dxa"/>
          <w:bottom w:w="0" w:type="dxa"/>
          <w:right w:w="0" w:type="dxa"/>
        </w:tblCellMar>
      </w:tblPr>
      <w:tblGrid>
        <w:gridCol w:w="2955"/>
        <w:gridCol w:w="2956"/>
        <w:gridCol w:w="2958"/>
      </w:tblGrid>
      <w:tr>
        <w:tblPrEx>
          <w:tblCellMar>
            <w:top w:w="0" w:type="dxa"/>
            <w:left w:w="0" w:type="dxa"/>
            <w:bottom w:w="0" w:type="dxa"/>
            <w:right w:w="0" w:type="dxa"/>
          </w:tblCellMar>
        </w:tblPrEx>
        <w:trPr>
          <w:trHeight w:val="270" w:hRule="atLeast"/>
          <w:jc w:val="center"/>
        </w:trPr>
        <w:tc>
          <w:tcPr>
            <w:tcW w:w="166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sz w:val="24"/>
                <w:szCs w:val="24"/>
              </w:rPr>
            </w:pPr>
            <w:r>
              <w:rPr>
                <w:rFonts w:hint="eastAsia" w:ascii="仿宋" w:hAnsi="仿宋" w:eastAsia="仿宋" w:cs="仿宋"/>
                <w:b/>
                <w:bCs/>
                <w:kern w:val="0"/>
                <w:sz w:val="24"/>
                <w:szCs w:val="24"/>
                <w:lang w:bidi="ar"/>
              </w:rPr>
              <w:t>评价维度</w:t>
            </w:r>
          </w:p>
        </w:tc>
        <w:tc>
          <w:tcPr>
            <w:tcW w:w="166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sz w:val="24"/>
                <w:szCs w:val="24"/>
              </w:rPr>
            </w:pPr>
            <w:r>
              <w:rPr>
                <w:rFonts w:hint="eastAsia" w:ascii="仿宋" w:hAnsi="仿宋" w:eastAsia="仿宋" w:cs="仿宋"/>
                <w:b/>
                <w:bCs/>
                <w:kern w:val="0"/>
                <w:sz w:val="24"/>
                <w:szCs w:val="24"/>
                <w:lang w:bidi="ar"/>
              </w:rPr>
              <w:t>分值</w:t>
            </w:r>
          </w:p>
        </w:tc>
        <w:tc>
          <w:tcPr>
            <w:tcW w:w="166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sz w:val="24"/>
                <w:szCs w:val="24"/>
              </w:rPr>
            </w:pPr>
            <w:r>
              <w:rPr>
                <w:rFonts w:hint="eastAsia" w:ascii="仿宋" w:hAnsi="仿宋" w:eastAsia="仿宋" w:cs="仿宋"/>
                <w:b/>
                <w:bCs/>
                <w:kern w:val="0"/>
                <w:sz w:val="24"/>
                <w:szCs w:val="24"/>
                <w:lang w:bidi="ar"/>
              </w:rPr>
              <w:t>评价得分</w:t>
            </w:r>
          </w:p>
        </w:tc>
      </w:tr>
      <w:tr>
        <w:tblPrEx>
          <w:tblCellMar>
            <w:top w:w="0" w:type="dxa"/>
            <w:left w:w="0" w:type="dxa"/>
            <w:bottom w:w="0" w:type="dxa"/>
            <w:right w:w="0" w:type="dxa"/>
          </w:tblCellMar>
        </w:tblPrEx>
        <w:trPr>
          <w:trHeight w:val="270" w:hRule="atLeast"/>
          <w:jc w:val="center"/>
        </w:trPr>
        <w:tc>
          <w:tcPr>
            <w:tcW w:w="166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sz w:val="24"/>
                <w:szCs w:val="24"/>
              </w:rPr>
            </w:pPr>
            <w:bookmarkStart w:id="54" w:name="OLE_LINK2" w:colFirst="2" w:colLast="2"/>
            <w:r>
              <w:rPr>
                <w:rFonts w:hint="eastAsia" w:ascii="仿宋" w:hAnsi="仿宋" w:eastAsia="仿宋" w:cs="仿宋"/>
                <w:sz w:val="24"/>
                <w:szCs w:val="24"/>
              </w:rPr>
              <w:t>项目决策</w:t>
            </w:r>
          </w:p>
        </w:tc>
        <w:tc>
          <w:tcPr>
            <w:tcW w:w="166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sz w:val="24"/>
                <w:szCs w:val="24"/>
              </w:rPr>
            </w:pPr>
            <w:r>
              <w:rPr>
                <w:rFonts w:hint="eastAsia" w:ascii="仿宋" w:hAnsi="仿宋" w:eastAsia="仿宋" w:cs="仿宋"/>
                <w:sz w:val="24"/>
                <w:szCs w:val="24"/>
              </w:rPr>
              <w:t>20</w:t>
            </w:r>
          </w:p>
        </w:tc>
        <w:tc>
          <w:tcPr>
            <w:tcW w:w="166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default" w:ascii="仿宋" w:hAnsi="仿宋" w:eastAsia="仿宋" w:cs="仿宋"/>
                <w:sz w:val="24"/>
                <w:szCs w:val="24"/>
                <w:highlight w:val="none"/>
                <w:lang w:val="en-US" w:eastAsia="zh-CN"/>
              </w:rPr>
            </w:pPr>
            <w:r>
              <w:rPr>
                <w:rFonts w:hint="eastAsia" w:cs="仿宋"/>
                <w:sz w:val="24"/>
                <w:szCs w:val="24"/>
                <w:highlight w:val="none"/>
                <w:lang w:val="en-US" w:eastAsia="zh-CN"/>
              </w:rPr>
              <w:t>15</w:t>
            </w:r>
          </w:p>
        </w:tc>
      </w:tr>
      <w:tr>
        <w:tblPrEx>
          <w:tblCellMar>
            <w:top w:w="0" w:type="dxa"/>
            <w:left w:w="0" w:type="dxa"/>
            <w:bottom w:w="0" w:type="dxa"/>
            <w:right w:w="0" w:type="dxa"/>
          </w:tblCellMar>
        </w:tblPrEx>
        <w:trPr>
          <w:trHeight w:val="270" w:hRule="atLeast"/>
          <w:jc w:val="center"/>
        </w:trPr>
        <w:tc>
          <w:tcPr>
            <w:tcW w:w="166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sz w:val="24"/>
                <w:szCs w:val="24"/>
              </w:rPr>
            </w:pPr>
            <w:r>
              <w:rPr>
                <w:rFonts w:hint="eastAsia" w:ascii="仿宋" w:hAnsi="仿宋" w:eastAsia="仿宋" w:cs="仿宋"/>
                <w:sz w:val="24"/>
                <w:szCs w:val="24"/>
              </w:rPr>
              <w:t>项目过程</w:t>
            </w:r>
          </w:p>
        </w:tc>
        <w:tc>
          <w:tcPr>
            <w:tcW w:w="166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sz w:val="24"/>
                <w:szCs w:val="24"/>
              </w:rPr>
            </w:pPr>
            <w:r>
              <w:rPr>
                <w:rFonts w:hint="eastAsia" w:ascii="仿宋" w:hAnsi="仿宋" w:eastAsia="仿宋" w:cs="仿宋"/>
                <w:sz w:val="24"/>
                <w:szCs w:val="24"/>
              </w:rPr>
              <w:t>20</w:t>
            </w:r>
          </w:p>
        </w:tc>
        <w:tc>
          <w:tcPr>
            <w:tcW w:w="166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default" w:ascii="仿宋" w:hAnsi="仿宋" w:eastAsia="仿宋" w:cs="仿宋"/>
                <w:sz w:val="24"/>
                <w:szCs w:val="24"/>
                <w:highlight w:val="none"/>
                <w:lang w:val="en-US" w:eastAsia="zh-CN"/>
              </w:rPr>
            </w:pPr>
            <w:r>
              <w:rPr>
                <w:rFonts w:hint="eastAsia" w:cs="仿宋"/>
                <w:sz w:val="24"/>
                <w:szCs w:val="24"/>
                <w:highlight w:val="none"/>
                <w:lang w:val="en-US" w:eastAsia="zh-CN"/>
              </w:rPr>
              <w:t>18.94</w:t>
            </w:r>
          </w:p>
        </w:tc>
      </w:tr>
      <w:tr>
        <w:tblPrEx>
          <w:tblCellMar>
            <w:top w:w="0" w:type="dxa"/>
            <w:left w:w="0" w:type="dxa"/>
            <w:bottom w:w="0" w:type="dxa"/>
            <w:right w:w="0" w:type="dxa"/>
          </w:tblCellMar>
        </w:tblPrEx>
        <w:trPr>
          <w:trHeight w:val="270" w:hRule="atLeast"/>
          <w:jc w:val="center"/>
        </w:trPr>
        <w:tc>
          <w:tcPr>
            <w:tcW w:w="166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sz w:val="24"/>
                <w:szCs w:val="24"/>
              </w:rPr>
            </w:pPr>
            <w:r>
              <w:rPr>
                <w:rFonts w:hint="eastAsia" w:ascii="仿宋" w:hAnsi="仿宋" w:eastAsia="仿宋" w:cs="仿宋"/>
                <w:sz w:val="24"/>
                <w:szCs w:val="24"/>
              </w:rPr>
              <w:t>项目产出</w:t>
            </w:r>
          </w:p>
        </w:tc>
        <w:tc>
          <w:tcPr>
            <w:tcW w:w="166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sz w:val="24"/>
                <w:szCs w:val="24"/>
              </w:rPr>
            </w:pPr>
            <w:r>
              <w:rPr>
                <w:rFonts w:hint="eastAsia" w:ascii="仿宋" w:hAnsi="仿宋" w:eastAsia="仿宋" w:cs="仿宋"/>
                <w:sz w:val="24"/>
                <w:szCs w:val="24"/>
              </w:rPr>
              <w:t>40</w:t>
            </w:r>
          </w:p>
        </w:tc>
        <w:tc>
          <w:tcPr>
            <w:tcW w:w="166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default" w:ascii="仿宋" w:hAnsi="仿宋" w:eastAsia="仿宋" w:cs="仿宋"/>
                <w:sz w:val="24"/>
                <w:szCs w:val="24"/>
                <w:highlight w:val="none"/>
                <w:lang w:val="en-US" w:eastAsia="zh-CN"/>
              </w:rPr>
            </w:pPr>
            <w:r>
              <w:rPr>
                <w:rFonts w:hint="eastAsia" w:cs="仿宋"/>
                <w:sz w:val="24"/>
                <w:szCs w:val="24"/>
                <w:highlight w:val="none"/>
                <w:lang w:val="en-US" w:eastAsia="zh-CN"/>
              </w:rPr>
              <w:t>29.87</w:t>
            </w:r>
          </w:p>
        </w:tc>
      </w:tr>
      <w:tr>
        <w:tblPrEx>
          <w:tblCellMar>
            <w:top w:w="0" w:type="dxa"/>
            <w:left w:w="0" w:type="dxa"/>
            <w:bottom w:w="0" w:type="dxa"/>
            <w:right w:w="0" w:type="dxa"/>
          </w:tblCellMar>
        </w:tblPrEx>
        <w:trPr>
          <w:trHeight w:val="270" w:hRule="atLeast"/>
          <w:jc w:val="center"/>
        </w:trPr>
        <w:tc>
          <w:tcPr>
            <w:tcW w:w="166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sz w:val="24"/>
                <w:szCs w:val="24"/>
              </w:rPr>
            </w:pPr>
            <w:r>
              <w:rPr>
                <w:rFonts w:hint="eastAsia" w:ascii="仿宋" w:hAnsi="仿宋" w:eastAsia="仿宋" w:cs="仿宋"/>
                <w:sz w:val="24"/>
                <w:szCs w:val="24"/>
              </w:rPr>
              <w:t>项目效益</w:t>
            </w:r>
          </w:p>
        </w:tc>
        <w:tc>
          <w:tcPr>
            <w:tcW w:w="166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sz w:val="24"/>
                <w:szCs w:val="24"/>
              </w:rPr>
            </w:pPr>
            <w:r>
              <w:rPr>
                <w:rFonts w:hint="eastAsia" w:ascii="仿宋" w:hAnsi="仿宋" w:eastAsia="仿宋" w:cs="仿宋"/>
                <w:sz w:val="24"/>
                <w:szCs w:val="24"/>
              </w:rPr>
              <w:t>20</w:t>
            </w:r>
          </w:p>
        </w:tc>
        <w:tc>
          <w:tcPr>
            <w:tcW w:w="166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default" w:ascii="仿宋" w:hAnsi="仿宋" w:eastAsia="仿宋" w:cs="仿宋"/>
                <w:sz w:val="24"/>
                <w:szCs w:val="24"/>
                <w:highlight w:val="none"/>
                <w:lang w:val="en-US" w:eastAsia="zh-CN"/>
              </w:rPr>
            </w:pPr>
            <w:r>
              <w:rPr>
                <w:rFonts w:hint="eastAsia" w:cs="仿宋"/>
                <w:sz w:val="24"/>
                <w:szCs w:val="24"/>
                <w:highlight w:val="none"/>
                <w:lang w:val="en-US" w:eastAsia="zh-CN"/>
              </w:rPr>
              <w:t>17</w:t>
            </w:r>
          </w:p>
        </w:tc>
      </w:tr>
      <w:bookmarkEnd w:id="54"/>
      <w:tr>
        <w:tblPrEx>
          <w:tblCellMar>
            <w:top w:w="0" w:type="dxa"/>
            <w:left w:w="0" w:type="dxa"/>
            <w:bottom w:w="0" w:type="dxa"/>
            <w:right w:w="0" w:type="dxa"/>
          </w:tblCellMar>
        </w:tblPrEx>
        <w:trPr>
          <w:trHeight w:val="270" w:hRule="atLeast"/>
          <w:jc w:val="center"/>
        </w:trPr>
        <w:tc>
          <w:tcPr>
            <w:tcW w:w="166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sz w:val="24"/>
                <w:szCs w:val="24"/>
              </w:rPr>
            </w:pPr>
            <w:r>
              <w:rPr>
                <w:rFonts w:hint="eastAsia" w:ascii="仿宋" w:hAnsi="仿宋" w:eastAsia="仿宋" w:cs="仿宋"/>
                <w:b/>
                <w:bCs/>
                <w:kern w:val="0"/>
                <w:sz w:val="24"/>
                <w:szCs w:val="24"/>
                <w:lang w:bidi="ar"/>
              </w:rPr>
              <w:t>合计</w:t>
            </w:r>
          </w:p>
        </w:tc>
        <w:tc>
          <w:tcPr>
            <w:tcW w:w="166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eastAsia" w:ascii="仿宋" w:hAnsi="仿宋" w:eastAsia="仿宋" w:cs="仿宋"/>
                <w:b/>
                <w:bCs/>
                <w:sz w:val="24"/>
                <w:szCs w:val="24"/>
              </w:rPr>
            </w:pPr>
            <w:r>
              <w:rPr>
                <w:rFonts w:hint="eastAsia" w:ascii="仿宋" w:hAnsi="仿宋" w:eastAsia="仿宋" w:cs="仿宋"/>
                <w:b/>
                <w:bCs/>
                <w:kern w:val="0"/>
                <w:sz w:val="24"/>
                <w:szCs w:val="24"/>
                <w:lang w:bidi="ar"/>
              </w:rPr>
              <w:t>100</w:t>
            </w:r>
          </w:p>
        </w:tc>
        <w:tc>
          <w:tcPr>
            <w:tcW w:w="166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center"/>
              <w:textAlignment w:val="center"/>
              <w:rPr>
                <w:rFonts w:hint="default" w:ascii="仿宋" w:hAnsi="仿宋" w:eastAsia="仿宋" w:cs="仿宋"/>
                <w:b/>
                <w:bCs/>
                <w:sz w:val="24"/>
                <w:szCs w:val="24"/>
                <w:highlight w:val="none"/>
                <w:lang w:val="en-US" w:eastAsia="zh-CN"/>
              </w:rPr>
            </w:pPr>
            <w:r>
              <w:rPr>
                <w:rFonts w:hint="eastAsia" w:cs="仿宋"/>
                <w:b/>
                <w:bCs/>
                <w:sz w:val="24"/>
                <w:szCs w:val="24"/>
                <w:highlight w:val="none"/>
                <w:lang w:val="en-US" w:eastAsia="zh-CN"/>
              </w:rPr>
              <w:t>80.81</w:t>
            </w:r>
          </w:p>
        </w:tc>
      </w:tr>
    </w:tbl>
    <w:p>
      <w:pPr>
        <w:pStyle w:val="6"/>
        <w:spacing w:line="600" w:lineRule="exact"/>
      </w:pPr>
      <w:r>
        <w:rPr>
          <w:rFonts w:hint="eastAsia"/>
        </w:rPr>
        <w:t>注</w:t>
      </w:r>
      <w:r>
        <w:t>：各指标的详细得分及评分依据情况详见</w:t>
      </w:r>
      <w:r>
        <w:rPr>
          <w:rFonts w:hint="eastAsia"/>
        </w:rPr>
        <w:t>附表《无极县农村垃圾清运采购服务项目绩效评价指标体系及评价得分情况》</w:t>
      </w:r>
    </w:p>
    <w:p>
      <w:pPr>
        <w:pStyle w:val="3"/>
        <w:bidi w:val="0"/>
      </w:pPr>
      <w:bookmarkStart w:id="55" w:name="_Toc17875"/>
      <w:bookmarkStart w:id="56" w:name="_Toc1638"/>
      <w:r>
        <w:rPr>
          <w:rFonts w:hint="eastAsia"/>
        </w:rPr>
        <w:t>五、存在的问题</w:t>
      </w:r>
      <w:bookmarkEnd w:id="51"/>
      <w:bookmarkEnd w:id="55"/>
      <w:bookmarkEnd w:id="56"/>
    </w:p>
    <w:p>
      <w:pPr>
        <w:pStyle w:val="11"/>
        <w:spacing w:line="600" w:lineRule="exact"/>
        <w:ind w:firstLine="640"/>
        <w:outlineLvl w:val="1"/>
        <w:rPr>
          <w:rFonts w:hint="eastAsia" w:ascii="楷体" w:hAnsi="楷体" w:eastAsia="楷体" w:cs="Times New Roman"/>
          <w:bCs/>
          <w:color w:val="auto"/>
          <w:sz w:val="32"/>
          <w:szCs w:val="32"/>
        </w:rPr>
      </w:pPr>
      <w:bookmarkStart w:id="57" w:name="_Toc2391"/>
      <w:bookmarkStart w:id="58" w:name="OLE_LINK1"/>
      <w:bookmarkStart w:id="59" w:name="_Toc17735"/>
      <w:r>
        <w:rPr>
          <w:rFonts w:hint="eastAsia" w:ascii="楷体" w:hAnsi="楷体" w:eastAsia="楷体" w:cs="Times New Roman"/>
          <w:bCs/>
          <w:color w:val="auto"/>
          <w:sz w:val="32"/>
          <w:szCs w:val="32"/>
        </w:rPr>
        <w:t>（一）预算资金依据不充分</w:t>
      </w:r>
      <w:bookmarkEnd w:id="57"/>
    </w:p>
    <w:p>
      <w:pPr>
        <w:bidi w:val="0"/>
        <w:rPr>
          <w:rFonts w:hint="eastAsia"/>
          <w:lang w:eastAsia="zh-CN"/>
        </w:rPr>
      </w:pPr>
      <w:r>
        <w:rPr>
          <w:rFonts w:hint="eastAsia"/>
          <w:lang w:val="en-US" w:eastAsia="zh-CN"/>
        </w:rPr>
        <w:t>城管局测算</w:t>
      </w:r>
      <w:r>
        <w:rPr>
          <w:rFonts w:hint="eastAsia"/>
        </w:rPr>
        <w:t>农村垃圾清运</w:t>
      </w:r>
      <w:r>
        <w:rPr>
          <w:rFonts w:hint="eastAsia"/>
          <w:lang w:val="en-US" w:eastAsia="zh-CN"/>
        </w:rPr>
        <w:t>服务费</w:t>
      </w:r>
      <w:r>
        <w:rPr>
          <w:rFonts w:hint="eastAsia"/>
        </w:rPr>
        <w:t>以人口数为基数</w:t>
      </w:r>
      <w:r>
        <w:rPr>
          <w:rFonts w:hint="eastAsia"/>
          <w:lang w:eastAsia="zh-CN"/>
        </w:rPr>
        <w:t>，</w:t>
      </w:r>
      <w:r>
        <w:rPr>
          <w:rFonts w:hint="eastAsia"/>
          <w:lang w:val="en-US" w:eastAsia="zh-CN"/>
        </w:rPr>
        <w:t>结合人均费用标准计算所需财政资金金额。</w:t>
      </w:r>
      <w:r>
        <w:rPr>
          <w:rFonts w:hint="eastAsia"/>
        </w:rPr>
        <w:t>城管局通过咨询其他县市，并结合实际，</w:t>
      </w:r>
      <w:r>
        <w:rPr>
          <w:rFonts w:hint="eastAsia"/>
          <w:lang w:val="en-US" w:eastAsia="zh-CN"/>
        </w:rPr>
        <w:t>将</w:t>
      </w:r>
      <w:r>
        <w:rPr>
          <w:rFonts w:hint="eastAsia"/>
        </w:rPr>
        <w:t>农村垃圾清运</w:t>
      </w:r>
      <w:r>
        <w:rPr>
          <w:rFonts w:hint="eastAsia"/>
          <w:lang w:val="en-US" w:eastAsia="zh-CN"/>
        </w:rPr>
        <w:t>服务费用</w:t>
      </w:r>
      <w:r>
        <w:rPr>
          <w:rFonts w:hint="eastAsia"/>
        </w:rPr>
        <w:t>招标价格</w:t>
      </w:r>
      <w:r>
        <w:rPr>
          <w:rFonts w:hint="eastAsia"/>
          <w:lang w:val="en-US" w:eastAsia="zh-CN"/>
        </w:rPr>
        <w:t>标准</w:t>
      </w:r>
      <w:r>
        <w:rPr>
          <w:rFonts w:hint="eastAsia"/>
        </w:rPr>
        <w:t>定为农村环卫61元/人/年</w:t>
      </w:r>
      <w:r>
        <w:rPr>
          <w:rFonts w:hint="eastAsia"/>
          <w:lang w:eastAsia="zh-CN"/>
        </w:rPr>
        <w:t>，</w:t>
      </w:r>
      <w:r>
        <w:rPr>
          <w:rFonts w:hint="eastAsia"/>
          <w:lang w:val="en-US" w:eastAsia="zh-CN"/>
        </w:rPr>
        <w:t>该</w:t>
      </w:r>
      <w:r>
        <w:rPr>
          <w:rFonts w:hint="eastAsia"/>
        </w:rPr>
        <w:t>标准没有正式的批文</w:t>
      </w:r>
      <w:r>
        <w:rPr>
          <w:rFonts w:hint="eastAsia"/>
          <w:lang w:eastAsia="zh-CN"/>
        </w:rPr>
        <w:t>。</w:t>
      </w:r>
      <w:r>
        <w:rPr>
          <w:rFonts w:hint="eastAsia"/>
          <w:lang w:val="en-US" w:eastAsia="zh-CN"/>
        </w:rPr>
        <w:t>数量指标按人数计算，</w:t>
      </w:r>
      <w:r>
        <w:rPr>
          <w:rFonts w:hint="eastAsia"/>
        </w:rPr>
        <w:t>从现实考虑，按照我国农村现状，常住人口与农村户口人数往往存在差异</w:t>
      </w:r>
      <w:r>
        <w:rPr>
          <w:rFonts w:hint="eastAsia"/>
          <w:lang w:eastAsia="zh-CN"/>
        </w:rPr>
        <w:t>，</w:t>
      </w:r>
      <w:r>
        <w:rPr>
          <w:rFonts w:hint="eastAsia"/>
        </w:rPr>
        <w:t>长期外出务工人员较多</w:t>
      </w:r>
      <w:r>
        <w:rPr>
          <w:rFonts w:hint="eastAsia"/>
          <w:lang w:eastAsia="zh-CN"/>
        </w:rPr>
        <w:t>，</w:t>
      </w:r>
      <w:r>
        <w:rPr>
          <w:rFonts w:hint="eastAsia"/>
          <w:lang w:val="en-US" w:eastAsia="zh-CN"/>
        </w:rPr>
        <w:t>容易造成预算依据不准确。</w:t>
      </w:r>
      <w:r>
        <w:rPr>
          <w:rFonts w:hint="eastAsia"/>
        </w:rPr>
        <w:t>对于以人口数为基数的</w:t>
      </w:r>
      <w:r>
        <w:rPr>
          <w:rFonts w:hint="eastAsia"/>
          <w:lang w:val="en-US" w:eastAsia="zh-CN"/>
        </w:rPr>
        <w:t>定额</w:t>
      </w:r>
      <w:r>
        <w:rPr>
          <w:rFonts w:hint="eastAsia"/>
        </w:rPr>
        <w:t>计算方式依据不充分，不科学。</w:t>
      </w:r>
    </w:p>
    <w:bookmarkEnd w:id="58"/>
    <w:bookmarkEnd w:id="59"/>
    <w:p>
      <w:pPr>
        <w:pStyle w:val="4"/>
        <w:bidi w:val="0"/>
        <w:rPr>
          <w:rFonts w:hint="default" w:ascii="楷体" w:hAnsi="楷体" w:eastAsia="楷体" w:cs="Times New Roman"/>
          <w:bCs/>
          <w:color w:val="FF0000"/>
          <w:szCs w:val="32"/>
          <w:lang w:val="en-US" w:eastAsia="zh-CN"/>
        </w:rPr>
      </w:pPr>
      <w:bookmarkStart w:id="60" w:name="_Toc13397"/>
      <w:bookmarkStart w:id="61" w:name="_Toc13033"/>
      <w:bookmarkStart w:id="62" w:name="_Toc32525"/>
      <w:r>
        <w:rPr>
          <w:rFonts w:hint="eastAsia"/>
        </w:rPr>
        <w:t>（二）预算项目绩效表</w:t>
      </w:r>
      <w:bookmarkEnd w:id="60"/>
      <w:r>
        <w:rPr>
          <w:rFonts w:hint="eastAsia"/>
          <w:lang w:val="en-US" w:eastAsia="zh-CN"/>
        </w:rPr>
        <w:t>待完善</w:t>
      </w:r>
      <w:bookmarkEnd w:id="61"/>
    </w:p>
    <w:p>
      <w:pPr>
        <w:bidi w:val="0"/>
        <w:rPr>
          <w:rFonts w:hint="default" w:eastAsia="仿宋"/>
          <w:lang w:val="en-US" w:eastAsia="zh-CN"/>
        </w:rPr>
      </w:pPr>
      <w:r>
        <w:rPr>
          <w:rFonts w:hint="eastAsia"/>
        </w:rPr>
        <w:t>城管局编制的</w:t>
      </w:r>
      <w:r>
        <w:rPr>
          <w:rFonts w:hint="eastAsia"/>
          <w:lang w:val="en-US" w:eastAsia="zh-CN"/>
        </w:rPr>
        <w:t>预算项目绩效信息表</w:t>
      </w:r>
      <w:r>
        <w:rPr>
          <w:rFonts w:hint="eastAsia"/>
        </w:rPr>
        <w:t>，</w:t>
      </w:r>
      <w:r>
        <w:rPr>
          <w:rFonts w:hint="eastAsia"/>
          <w:lang w:val="en-US" w:eastAsia="zh-CN"/>
        </w:rPr>
        <w:t>一级产出指标下的数量指标“村庄覆盖”与质量指标“按天处理当天产生的生活垃圾量”均未设定明确的指标值；已设定效益指标如“打造宜居的人居环境”不便于量化考核。</w:t>
      </w:r>
      <w:r>
        <w:rPr>
          <w:rFonts w:hint="eastAsia"/>
        </w:rPr>
        <w:t>绩效目标编制项目单位</w:t>
      </w:r>
      <w:r>
        <w:rPr>
          <w:rFonts w:hint="eastAsia"/>
          <w:lang w:val="en-US" w:eastAsia="zh-CN"/>
        </w:rPr>
        <w:t>在</w:t>
      </w:r>
      <w:r>
        <w:rPr>
          <w:rFonts w:hint="eastAsia"/>
        </w:rPr>
        <w:t>项目开展前期编制预算，项目的绩效指标细化程度不足，指标值可衡量性不高，在一定程度上影响项目指标对项目实施</w:t>
      </w:r>
      <w:r>
        <w:rPr>
          <w:rFonts w:hint="eastAsia"/>
          <w:lang w:val="en-US" w:eastAsia="zh-CN"/>
        </w:rPr>
        <w:t>所发挥</w:t>
      </w:r>
      <w:r>
        <w:rPr>
          <w:rFonts w:hint="eastAsia"/>
        </w:rPr>
        <w:t>的</w:t>
      </w:r>
      <w:r>
        <w:rPr>
          <w:rFonts w:hint="eastAsia"/>
          <w:lang w:val="en-US" w:eastAsia="zh-CN"/>
        </w:rPr>
        <w:t>引导</w:t>
      </w:r>
      <w:r>
        <w:rPr>
          <w:rFonts w:hint="eastAsia"/>
        </w:rPr>
        <w:t>作用，而且不利于后期对项目实施作出全面的评价。</w:t>
      </w:r>
      <w:r>
        <w:rPr>
          <w:rFonts w:hint="eastAsia"/>
          <w:lang w:val="en-US" w:eastAsia="zh-CN"/>
        </w:rPr>
        <w:t xml:space="preserve">  </w:t>
      </w:r>
    </w:p>
    <w:p>
      <w:pPr>
        <w:pStyle w:val="4"/>
        <w:bidi w:val="0"/>
        <w:rPr>
          <w:rFonts w:hint="eastAsia"/>
        </w:rPr>
      </w:pPr>
      <w:bookmarkStart w:id="63" w:name="_Toc29487"/>
      <w:r>
        <w:rPr>
          <w:rFonts w:hint="eastAsia"/>
          <w:lang w:eastAsia="zh-CN"/>
        </w:rPr>
        <w:t>（</w:t>
      </w:r>
      <w:r>
        <w:rPr>
          <w:rFonts w:hint="eastAsia"/>
          <w:lang w:val="en-US" w:eastAsia="zh-CN"/>
        </w:rPr>
        <w:t>三</w:t>
      </w:r>
      <w:r>
        <w:rPr>
          <w:rFonts w:hint="eastAsia"/>
          <w:lang w:eastAsia="zh-CN"/>
        </w:rPr>
        <w:t>）</w:t>
      </w:r>
      <w:r>
        <w:rPr>
          <w:rFonts w:hint="eastAsia"/>
        </w:rPr>
        <w:t>垃圾清运不及时</w:t>
      </w:r>
      <w:bookmarkEnd w:id="63"/>
    </w:p>
    <w:p>
      <w:pPr>
        <w:bidi w:val="0"/>
        <w:rPr>
          <w:rFonts w:hint="eastAsia"/>
        </w:rPr>
      </w:pPr>
      <w:r>
        <w:rPr>
          <w:rFonts w:hint="eastAsia"/>
        </w:rPr>
        <w:t>评价组抽查3个乡镇30个村庄，其中有10个村庄存在垃圾清理不及时的问题</w:t>
      </w:r>
      <w:r>
        <w:rPr>
          <w:rFonts w:hint="eastAsia"/>
          <w:lang w:eastAsia="zh-CN"/>
        </w:rPr>
        <w:t>，</w:t>
      </w:r>
      <w:r>
        <w:rPr>
          <w:rFonts w:hint="eastAsia"/>
        </w:rPr>
        <w:t>环卫公司清理不及时，垃圾集中存放点不能做到日产日清，个别村庄垃圾集中存放点垃圾大量堆积，异味严重影响村内环境，甚至影响临近村民正常生活</w:t>
      </w:r>
      <w:r>
        <w:rPr>
          <w:rFonts w:hint="eastAsia"/>
          <w:lang w:eastAsia="zh-CN"/>
        </w:rPr>
        <w:t>，</w:t>
      </w:r>
      <w:r>
        <w:rPr>
          <w:rFonts w:hint="eastAsia"/>
          <w:lang w:val="en-US" w:eastAsia="zh-CN"/>
        </w:rPr>
        <w:t>抽查村庄的清扫</w:t>
      </w:r>
      <w:r>
        <w:rPr>
          <w:rFonts w:hint="eastAsia"/>
        </w:rPr>
        <w:t>完成及时率</w:t>
      </w:r>
      <w:r>
        <w:rPr>
          <w:rFonts w:hint="eastAsia"/>
          <w:lang w:val="en-US" w:eastAsia="zh-CN"/>
        </w:rPr>
        <w:t>仅达到</w:t>
      </w:r>
      <w:r>
        <w:rPr>
          <w:rFonts w:hint="eastAsia"/>
        </w:rPr>
        <w:t>33.33%。</w:t>
      </w:r>
    </w:p>
    <w:p>
      <w:pPr>
        <w:pStyle w:val="4"/>
        <w:bidi w:val="0"/>
        <w:rPr>
          <w:rFonts w:hint="eastAsia"/>
        </w:rPr>
      </w:pPr>
      <w:bookmarkStart w:id="64" w:name="_Toc16095"/>
      <w:r>
        <w:rPr>
          <w:rFonts w:hint="eastAsia"/>
          <w:lang w:eastAsia="zh-CN"/>
        </w:rPr>
        <w:t>（</w:t>
      </w:r>
      <w:r>
        <w:rPr>
          <w:rFonts w:hint="eastAsia"/>
          <w:lang w:val="en-US" w:eastAsia="zh-CN"/>
        </w:rPr>
        <w:t>四</w:t>
      </w:r>
      <w:r>
        <w:rPr>
          <w:rFonts w:hint="eastAsia"/>
          <w:lang w:eastAsia="zh-CN"/>
        </w:rPr>
        <w:t>）</w:t>
      </w:r>
      <w:r>
        <w:rPr>
          <w:rFonts w:hint="eastAsia"/>
        </w:rPr>
        <w:t>服务质量合规情况有待提高</w:t>
      </w:r>
      <w:bookmarkEnd w:id="64"/>
    </w:p>
    <w:p>
      <w:pPr>
        <w:pStyle w:val="12"/>
        <w:rPr>
          <w:rFonts w:hint="default"/>
          <w:highlight w:val="none"/>
          <w:lang w:val="en-US" w:eastAsia="zh-CN"/>
        </w:rPr>
      </w:pPr>
      <w:r>
        <w:rPr>
          <w:rFonts w:hint="eastAsia" w:cs="仿宋_GB2312"/>
          <w:sz w:val="32"/>
          <w:szCs w:val="32"/>
          <w:highlight w:val="none"/>
          <w:lang w:val="en-US" w:eastAsia="zh-CN"/>
        </w:rPr>
        <w:t>城管局与各乡镇每月对3家中标公司负责的11个乡镇的环境卫生情况进行总体考核，</w:t>
      </w:r>
      <w:r>
        <w:rPr>
          <w:rFonts w:hint="eastAsia" w:ascii="仿宋_GB2312" w:hAnsi="仿宋_GB2312" w:eastAsia="仿宋_GB2312" w:cs="仿宋_GB2312"/>
          <w:sz w:val="32"/>
          <w:szCs w:val="32"/>
          <w:highlight w:val="none"/>
          <w:lang w:val="en-US" w:eastAsia="zh-CN"/>
        </w:rPr>
        <w:t>考核结果直接挂钩三家中标公司的环境卫生及垃圾清运经费的拨付。经城管局与各乡镇的考核，</w:t>
      </w:r>
      <w:r>
        <w:rPr>
          <w:rFonts w:hint="eastAsia"/>
          <w:highlight w:val="none"/>
          <w:lang w:val="en-US" w:eastAsia="zh-CN"/>
        </w:rPr>
        <w:t>2020年6月1日至2021年5月31日，每月均存在考核低于180分的情况，合同总金额为2624.51万元，考核扣除费用总金额为27.94万元，服务质量合规情况有待提升。</w:t>
      </w:r>
    </w:p>
    <w:p>
      <w:pPr>
        <w:pStyle w:val="4"/>
        <w:bidi w:val="0"/>
        <w:rPr>
          <w:rFonts w:hint="eastAsia"/>
        </w:rPr>
      </w:pPr>
      <w:bookmarkStart w:id="65" w:name="_Toc11258"/>
      <w:r>
        <w:rPr>
          <w:rFonts w:hint="eastAsia"/>
          <w:lang w:eastAsia="zh-CN"/>
        </w:rPr>
        <w:t>（</w:t>
      </w:r>
      <w:r>
        <w:rPr>
          <w:rFonts w:hint="eastAsia"/>
          <w:lang w:val="en-US" w:eastAsia="zh-CN"/>
        </w:rPr>
        <w:t>五</w:t>
      </w:r>
      <w:r>
        <w:rPr>
          <w:rFonts w:hint="eastAsia"/>
          <w:lang w:eastAsia="zh-CN"/>
        </w:rPr>
        <w:t>）</w:t>
      </w:r>
      <w:r>
        <w:rPr>
          <w:rFonts w:hint="eastAsia"/>
        </w:rPr>
        <w:t>未</w:t>
      </w:r>
      <w:r>
        <w:rPr>
          <w:rFonts w:hint="eastAsia"/>
          <w:lang w:val="en-US" w:eastAsia="zh-CN"/>
        </w:rPr>
        <w:t>按</w:t>
      </w:r>
      <w:r>
        <w:rPr>
          <w:rFonts w:hint="eastAsia"/>
        </w:rPr>
        <w:t>合同要求履行</w:t>
      </w:r>
      <w:bookmarkEnd w:id="65"/>
    </w:p>
    <w:p>
      <w:pPr>
        <w:pStyle w:val="5"/>
        <w:bidi w:val="0"/>
        <w:rPr>
          <w:rFonts w:hint="default"/>
          <w:lang w:val="en-US" w:eastAsia="zh-CN"/>
        </w:rPr>
      </w:pPr>
      <w:r>
        <w:rPr>
          <w:rFonts w:hint="eastAsia"/>
          <w:lang w:val="en-US" w:eastAsia="zh-CN"/>
        </w:rPr>
        <w:t>1.中标公司未按合同要求配备保洁员</w:t>
      </w:r>
    </w:p>
    <w:p>
      <w:pPr>
        <w:bidi w:val="0"/>
        <w:rPr>
          <w:rFonts w:hint="default" w:eastAsia="仿宋"/>
          <w:lang w:val="en-US" w:eastAsia="zh-CN"/>
        </w:rPr>
      </w:pPr>
      <w:r>
        <w:rPr>
          <w:rFonts w:hint="eastAsia"/>
          <w:lang w:val="en-US" w:eastAsia="zh-CN"/>
        </w:rPr>
        <w:t>根据评价组现场核查及3家中标</w:t>
      </w:r>
      <w:r>
        <w:rPr>
          <w:rFonts w:hint="eastAsia"/>
        </w:rPr>
        <w:t>公司</w:t>
      </w:r>
      <w:r>
        <w:rPr>
          <w:rFonts w:hint="eastAsia"/>
          <w:lang w:val="en-US" w:eastAsia="zh-CN"/>
        </w:rPr>
        <w:t>提供的人员清单资料</w:t>
      </w:r>
      <w:r>
        <w:rPr>
          <w:rFonts w:hint="eastAsia"/>
        </w:rPr>
        <w:t>，</w:t>
      </w:r>
      <w:r>
        <w:rPr>
          <w:rFonts w:hint="eastAsia"/>
          <w:lang w:val="en-US" w:eastAsia="zh-CN"/>
        </w:rPr>
        <w:t>截止检查日，3家中标</w:t>
      </w:r>
      <w:r>
        <w:rPr>
          <w:rFonts w:hint="eastAsia"/>
        </w:rPr>
        <w:t>公司有保洁员1200个，封闭式压缩车39辆，铲车及其它车辆共2辆，人力三轮保洁车1285辆，240L的垃圾桶9286个。各环卫保洁公司按合同要求配备了车辆、清洁工具等</w:t>
      </w:r>
      <w:r>
        <w:rPr>
          <w:rFonts w:hint="eastAsia"/>
          <w:lang w:eastAsia="zh-CN"/>
        </w:rPr>
        <w:t>。</w:t>
      </w:r>
      <w:r>
        <w:rPr>
          <w:rFonts w:hint="eastAsia"/>
          <w:lang w:val="en-US" w:eastAsia="zh-CN"/>
        </w:rPr>
        <w:t>但存在以下两个问题：</w:t>
      </w:r>
    </w:p>
    <w:p>
      <w:pPr>
        <w:bidi w:val="0"/>
        <w:rPr>
          <w:rFonts w:hint="default" w:eastAsia="仿宋"/>
          <w:lang w:val="en-US" w:eastAsia="zh-CN"/>
        </w:rPr>
      </w:pPr>
      <w:r>
        <w:rPr>
          <w:rFonts w:hint="eastAsia"/>
          <w:lang w:eastAsia="zh-CN"/>
        </w:rPr>
        <w:t>（</w:t>
      </w:r>
      <w:r>
        <w:rPr>
          <w:rFonts w:hint="eastAsia"/>
          <w:lang w:val="en-US" w:eastAsia="zh-CN"/>
        </w:rPr>
        <w:t>1</w:t>
      </w:r>
      <w:r>
        <w:rPr>
          <w:rFonts w:hint="eastAsia"/>
          <w:lang w:eastAsia="zh-CN"/>
        </w:rPr>
        <w:t>）</w:t>
      </w:r>
      <w:r>
        <w:rPr>
          <w:rFonts w:hint="eastAsia"/>
          <w:lang w:val="en-US" w:eastAsia="zh-CN"/>
        </w:rPr>
        <w:t>保洁员配备不足</w:t>
      </w:r>
    </w:p>
    <w:p>
      <w:pPr>
        <w:bidi w:val="0"/>
        <w:rPr>
          <w:rFonts w:hint="default"/>
          <w:lang w:val="en-US" w:eastAsia="zh-CN"/>
        </w:rPr>
      </w:pPr>
      <w:r>
        <w:rPr>
          <w:rFonts w:hint="eastAsia"/>
          <w:lang w:val="en-US" w:eastAsia="zh-CN"/>
        </w:rPr>
        <w:t>根据3家中标公司服务的11个乡镇的户数核算的应配备保洁员人数为1293名，实际保洁员人数为1200名，保洁人员缺少平均比例为7.2%。其中，志程洁公司的保洁人员缺少比例达10.39%，严重违反服务合同要求的保洁员配备比例。具体情况见下表：</w:t>
      </w:r>
    </w:p>
    <w:tbl>
      <w:tblPr>
        <w:tblStyle w:val="9"/>
        <w:tblW w:w="5000" w:type="pct"/>
        <w:tblInd w:w="0" w:type="dxa"/>
        <w:shd w:val="clear" w:color="auto" w:fill="auto"/>
        <w:tblLayout w:type="fixed"/>
        <w:tblCellMar>
          <w:top w:w="0" w:type="dxa"/>
          <w:left w:w="108" w:type="dxa"/>
          <w:bottom w:w="0" w:type="dxa"/>
          <w:right w:w="108" w:type="dxa"/>
        </w:tblCellMar>
      </w:tblPr>
      <w:tblGrid>
        <w:gridCol w:w="625"/>
        <w:gridCol w:w="1505"/>
        <w:gridCol w:w="1230"/>
        <w:gridCol w:w="1300"/>
        <w:gridCol w:w="1230"/>
        <w:gridCol w:w="1042"/>
        <w:gridCol w:w="1018"/>
        <w:gridCol w:w="1110"/>
      </w:tblGrid>
      <w:tr>
        <w:tblPrEx>
          <w:shd w:val="clear" w:color="auto" w:fill="auto"/>
          <w:tblCellMar>
            <w:top w:w="0" w:type="dxa"/>
            <w:left w:w="108" w:type="dxa"/>
            <w:bottom w:w="0" w:type="dxa"/>
            <w:right w:w="108" w:type="dxa"/>
          </w:tblCellMar>
        </w:tblPrEx>
        <w:trPr>
          <w:trHeight w:val="855" w:hRule="atLeast"/>
        </w:trPr>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序号</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公司名称</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服务乡镇总人数</w:t>
            </w:r>
          </w:p>
        </w:tc>
        <w:tc>
          <w:tcPr>
            <w:tcW w:w="7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服务乡镇总户数</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应配备保洁人员</w:t>
            </w:r>
          </w:p>
        </w:tc>
        <w:tc>
          <w:tcPr>
            <w:tcW w:w="5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实际保洁员人数</w:t>
            </w:r>
          </w:p>
        </w:tc>
        <w:tc>
          <w:tcPr>
            <w:tcW w:w="5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缺少保洁员人数</w:t>
            </w:r>
          </w:p>
        </w:tc>
        <w:tc>
          <w:tcPr>
            <w:tcW w:w="6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保洁人员缺少比例</w:t>
            </w:r>
          </w:p>
        </w:tc>
      </w:tr>
      <w:tr>
        <w:tblPrEx>
          <w:shd w:val="clear" w:color="auto" w:fill="auto"/>
          <w:tblCellMar>
            <w:top w:w="0" w:type="dxa"/>
            <w:left w:w="108" w:type="dxa"/>
            <w:bottom w:w="0" w:type="dxa"/>
            <w:right w:w="108" w:type="dxa"/>
          </w:tblCellMar>
        </w:tblPrEx>
        <w:trPr>
          <w:trHeight w:val="285" w:hRule="atLeast"/>
        </w:trPr>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1</w:t>
            </w:r>
          </w:p>
        </w:tc>
        <w:tc>
          <w:tcPr>
            <w:tcW w:w="8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合骏公司</w:t>
            </w:r>
          </w:p>
        </w:tc>
        <w:tc>
          <w:tcPr>
            <w:tcW w:w="67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166196</w:t>
            </w:r>
          </w:p>
        </w:tc>
        <w:tc>
          <w:tcPr>
            <w:tcW w:w="7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44234</w:t>
            </w:r>
          </w:p>
        </w:tc>
        <w:tc>
          <w:tcPr>
            <w:tcW w:w="67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442</w:t>
            </w:r>
          </w:p>
        </w:tc>
        <w:tc>
          <w:tcPr>
            <w:tcW w:w="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401</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41</w:t>
            </w:r>
          </w:p>
        </w:tc>
        <w:tc>
          <w:tcPr>
            <w:tcW w:w="6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9.35%</w:t>
            </w:r>
          </w:p>
        </w:tc>
      </w:tr>
      <w:tr>
        <w:tblPrEx>
          <w:shd w:val="clear" w:color="auto" w:fill="auto"/>
          <w:tblCellMar>
            <w:top w:w="0" w:type="dxa"/>
            <w:left w:w="108" w:type="dxa"/>
            <w:bottom w:w="0" w:type="dxa"/>
            <w:right w:w="108" w:type="dxa"/>
          </w:tblCellMar>
        </w:tblPrEx>
        <w:trPr>
          <w:trHeight w:val="285" w:hRule="atLeast"/>
        </w:trPr>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2</w:t>
            </w:r>
          </w:p>
        </w:tc>
        <w:tc>
          <w:tcPr>
            <w:tcW w:w="8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广拓公司</w:t>
            </w:r>
          </w:p>
        </w:tc>
        <w:tc>
          <w:tcPr>
            <w:tcW w:w="67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150193</w:t>
            </w:r>
          </w:p>
        </w:tc>
        <w:tc>
          <w:tcPr>
            <w:tcW w:w="7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41551</w:t>
            </w:r>
          </w:p>
        </w:tc>
        <w:tc>
          <w:tcPr>
            <w:tcW w:w="67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416</w:t>
            </w:r>
          </w:p>
        </w:tc>
        <w:tc>
          <w:tcPr>
            <w:tcW w:w="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409</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w:t>
            </w:r>
          </w:p>
        </w:tc>
        <w:tc>
          <w:tcPr>
            <w:tcW w:w="6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1.57%</w:t>
            </w:r>
          </w:p>
        </w:tc>
      </w:tr>
      <w:tr>
        <w:tblPrEx>
          <w:shd w:val="clear" w:color="auto" w:fill="auto"/>
          <w:tblCellMar>
            <w:top w:w="0" w:type="dxa"/>
            <w:left w:w="108" w:type="dxa"/>
            <w:bottom w:w="0" w:type="dxa"/>
            <w:right w:w="108" w:type="dxa"/>
          </w:tblCellMar>
        </w:tblPrEx>
        <w:trPr>
          <w:trHeight w:val="285" w:hRule="atLeast"/>
        </w:trPr>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3</w:t>
            </w:r>
          </w:p>
        </w:tc>
        <w:tc>
          <w:tcPr>
            <w:tcW w:w="8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志程洁公司</w:t>
            </w:r>
          </w:p>
        </w:tc>
        <w:tc>
          <w:tcPr>
            <w:tcW w:w="67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155546</w:t>
            </w:r>
          </w:p>
        </w:tc>
        <w:tc>
          <w:tcPr>
            <w:tcW w:w="7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43521</w:t>
            </w:r>
          </w:p>
        </w:tc>
        <w:tc>
          <w:tcPr>
            <w:tcW w:w="67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435</w:t>
            </w:r>
          </w:p>
        </w:tc>
        <w:tc>
          <w:tcPr>
            <w:tcW w:w="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390</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45</w:t>
            </w:r>
          </w:p>
        </w:tc>
        <w:tc>
          <w:tcPr>
            <w:tcW w:w="6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10.39%</w:t>
            </w:r>
          </w:p>
        </w:tc>
      </w:tr>
      <w:tr>
        <w:tblPrEx>
          <w:shd w:val="clear" w:color="auto" w:fill="auto"/>
          <w:tblCellMar>
            <w:top w:w="0" w:type="dxa"/>
            <w:left w:w="108" w:type="dxa"/>
            <w:bottom w:w="0" w:type="dxa"/>
            <w:right w:w="108" w:type="dxa"/>
          </w:tblCellMar>
        </w:tblPrEx>
        <w:trPr>
          <w:trHeight w:val="285" w:hRule="atLeast"/>
        </w:trPr>
        <w:tc>
          <w:tcPr>
            <w:tcW w:w="117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合计</w:t>
            </w:r>
          </w:p>
        </w:tc>
        <w:tc>
          <w:tcPr>
            <w:tcW w:w="67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471935</w:t>
            </w:r>
          </w:p>
        </w:tc>
        <w:tc>
          <w:tcPr>
            <w:tcW w:w="7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129306</w:t>
            </w:r>
          </w:p>
        </w:tc>
        <w:tc>
          <w:tcPr>
            <w:tcW w:w="67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1293</w:t>
            </w:r>
          </w:p>
        </w:tc>
        <w:tc>
          <w:tcPr>
            <w:tcW w:w="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1200</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93</w:t>
            </w:r>
          </w:p>
        </w:tc>
        <w:tc>
          <w:tcPr>
            <w:tcW w:w="6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7.20%</w:t>
            </w:r>
          </w:p>
        </w:tc>
      </w:tr>
    </w:tbl>
    <w:p>
      <w:pPr>
        <w:bidi w:val="0"/>
        <w:rPr>
          <w:rFonts w:hint="eastAsia"/>
          <w:lang w:val="en-US" w:eastAsia="zh-CN"/>
        </w:rPr>
      </w:pPr>
      <w:r>
        <w:rPr>
          <w:rFonts w:hint="eastAsia"/>
          <w:lang w:val="en-US" w:eastAsia="zh-CN"/>
        </w:rPr>
        <w:t>（2）保洁员、垃圾桶配备不均</w:t>
      </w:r>
    </w:p>
    <w:p>
      <w:pPr>
        <w:bidi w:val="0"/>
        <w:rPr>
          <w:rFonts w:hint="eastAsia"/>
          <w:lang w:val="en-US" w:eastAsia="zh-CN"/>
        </w:rPr>
      </w:pPr>
      <w:r>
        <w:rPr>
          <w:rFonts w:hint="eastAsia"/>
          <w:lang w:val="en-US" w:eastAsia="zh-CN"/>
        </w:rPr>
        <w:t>经评价，5个村存在少配备保洁员情况，2个村存在过多配备保洁员的情况；5个村存在少配备垃圾桶情况，2个村存在过多配备垃圾桶情况。3家中标公司均涉及保洁员、垃圾桶配备不均。如，志程洁公司负责的北郝庄村，全村人数510人，共136户。根据城管局与志程洁公司签订的购买服务合同的条款“第三条：服务要求及质量标准 3、按每一百户配备一名保洁员的原则足额配备保洁人员”，应配备保洁人员1-2人。而根据城管局提供的《无极县农村垃圾治理一体化台账》，志程洁公司在该村配备了13名保洁员。志程洁公司未按照合同要求配备保洁人员，配备保洁人员过多，容易造成人力资源的浪费，增加成本费用，不符合成本效益的原则。整体来看，配备不均容易造成村庄垃圾清扫不及时的情况，配备人员或垃圾桶过多会造成资源浪费。</w:t>
      </w:r>
    </w:p>
    <w:p>
      <w:pPr>
        <w:pStyle w:val="5"/>
        <w:bidi w:val="0"/>
        <w:rPr>
          <w:rFonts w:hint="default"/>
          <w:highlight w:val="yellow"/>
          <w:lang w:val="en-US" w:eastAsia="zh-CN"/>
        </w:rPr>
      </w:pPr>
      <w:r>
        <w:rPr>
          <w:rFonts w:hint="eastAsia"/>
          <w:highlight w:val="none"/>
          <w:lang w:val="en-US" w:eastAsia="zh-CN"/>
        </w:rPr>
        <w:t>2.城管局</w:t>
      </w:r>
      <w:r>
        <w:rPr>
          <w:rFonts w:hint="default"/>
          <w:highlight w:val="none"/>
          <w:lang w:val="en-US" w:eastAsia="zh-CN"/>
        </w:rPr>
        <w:t>未按合同要求支付款项</w:t>
      </w:r>
    </w:p>
    <w:p>
      <w:pPr>
        <w:bidi w:val="0"/>
        <w:rPr>
          <w:rFonts w:hint="default"/>
          <w:lang w:val="en-US" w:eastAsia="zh-CN"/>
        </w:rPr>
      </w:pPr>
      <w:r>
        <w:rPr>
          <w:rFonts w:hint="eastAsia"/>
          <w:lang w:val="en-US" w:eastAsia="zh-CN"/>
        </w:rPr>
        <w:t>城管局与3家中标公司签订的服务合同中，支付方式为甲方（城管局）每月对乙方（中标公司）工作完成情况进行考评，根据考评结果按月支付乙方服务费用，甲方在每月10日前向乙方支付上月的服务费用。根据城管局与3家中标公司提供的财务资料，五次付款时点为2020年9月、2020年12月、2021年3月2021年6月与2021年7月。未按合同要求的支付方式付款，存在合同违约风险。</w:t>
      </w:r>
    </w:p>
    <w:p>
      <w:pPr>
        <w:pStyle w:val="4"/>
        <w:bidi w:val="0"/>
        <w:rPr>
          <w:rFonts w:hint="default" w:eastAsia="楷体"/>
          <w:lang w:val="en-US" w:eastAsia="zh-CN"/>
        </w:rPr>
      </w:pPr>
      <w:bookmarkStart w:id="66" w:name="_Toc21270"/>
      <w:r>
        <w:rPr>
          <w:rFonts w:hint="eastAsia"/>
          <w:lang w:eastAsia="zh-CN"/>
        </w:rPr>
        <w:t>（</w:t>
      </w:r>
      <w:r>
        <w:rPr>
          <w:rFonts w:hint="eastAsia"/>
          <w:lang w:val="en-US" w:eastAsia="zh-CN"/>
        </w:rPr>
        <w:t>六</w:t>
      </w:r>
      <w:r>
        <w:rPr>
          <w:rFonts w:hint="eastAsia"/>
          <w:lang w:eastAsia="zh-CN"/>
        </w:rPr>
        <w:t>）</w:t>
      </w:r>
      <w:r>
        <w:rPr>
          <w:rFonts w:hint="eastAsia"/>
        </w:rPr>
        <w:t>未及时发放清洁员工资</w:t>
      </w:r>
      <w:bookmarkEnd w:id="66"/>
    </w:p>
    <w:p>
      <w:pPr>
        <w:rPr>
          <w:rFonts w:ascii="仿宋" w:hAnsi="仿宋" w:eastAsia="仿宋" w:cs="仿宋_GB2312"/>
          <w:sz w:val="32"/>
          <w:szCs w:val="32"/>
        </w:rPr>
      </w:pPr>
      <w:r>
        <w:rPr>
          <w:rFonts w:hint="eastAsia" w:ascii="仿宋" w:hAnsi="仿宋" w:eastAsia="仿宋" w:cs="仿宋_GB2312"/>
          <w:sz w:val="32"/>
          <w:szCs w:val="32"/>
        </w:rPr>
        <w:t>评价组查阅各分公司的运营成本时发现，每家公司给保洁员工资均未按月发放。截</w:t>
      </w:r>
      <w:r>
        <w:rPr>
          <w:rFonts w:hint="eastAsia" w:cs="仿宋_GB2312"/>
          <w:sz w:val="32"/>
          <w:szCs w:val="32"/>
          <w:lang w:val="en-US" w:eastAsia="zh-CN"/>
        </w:rPr>
        <w:t>至</w:t>
      </w:r>
      <w:r>
        <w:rPr>
          <w:rFonts w:hint="eastAsia" w:ascii="仿宋" w:hAnsi="仿宋" w:eastAsia="仿宋" w:cs="仿宋_GB2312"/>
          <w:sz w:val="32"/>
          <w:szCs w:val="32"/>
        </w:rPr>
        <w:t>10月11日，合骏公司发放保洁员工资到7月份，广拓公司发放保洁员工资到5月份，志程洁发放保洁员工资到6月份，</w:t>
      </w:r>
      <w:r>
        <w:rPr>
          <w:rFonts w:hint="eastAsia" w:cs="仿宋_GB2312"/>
          <w:sz w:val="32"/>
          <w:szCs w:val="32"/>
          <w:lang w:val="en-US" w:eastAsia="zh-CN"/>
        </w:rPr>
        <w:t>3家公司均存在延迟发放清洁工工资的情况，</w:t>
      </w:r>
      <w:r>
        <w:rPr>
          <w:rFonts w:hint="eastAsia"/>
          <w:lang w:val="en-US" w:eastAsia="zh-CN"/>
        </w:rPr>
        <w:t>企业责任履行缺失，损害了劳动者的利益，</w:t>
      </w:r>
      <w:r>
        <w:rPr>
          <w:rFonts w:hint="eastAsia" w:ascii="仿宋" w:hAnsi="仿宋" w:eastAsia="仿宋" w:cs="仿宋_GB2312"/>
          <w:sz w:val="32"/>
          <w:szCs w:val="32"/>
        </w:rPr>
        <w:t>可能会造成群体上访投诉案件，具有一定风险性。</w:t>
      </w:r>
    </w:p>
    <w:p>
      <w:pPr>
        <w:pStyle w:val="3"/>
        <w:bidi w:val="0"/>
      </w:pPr>
      <w:bookmarkStart w:id="67" w:name="_Toc31379"/>
      <w:bookmarkStart w:id="68" w:name="_Toc13734"/>
      <w:r>
        <w:rPr>
          <w:rFonts w:hint="eastAsia"/>
        </w:rPr>
        <w:t>六、相关建议</w:t>
      </w:r>
      <w:bookmarkEnd w:id="62"/>
      <w:bookmarkEnd w:id="67"/>
      <w:bookmarkEnd w:id="68"/>
      <w:bookmarkStart w:id="82" w:name="_GoBack"/>
      <w:bookmarkEnd w:id="82"/>
    </w:p>
    <w:p>
      <w:pPr>
        <w:pStyle w:val="4"/>
        <w:bidi w:val="0"/>
        <w:rPr>
          <w:rFonts w:hint="eastAsia"/>
          <w:lang w:eastAsia="zh-CN"/>
        </w:rPr>
      </w:pPr>
      <w:bookmarkStart w:id="69" w:name="_Toc23741"/>
      <w:r>
        <w:rPr>
          <w:rFonts w:hint="eastAsia"/>
          <w:lang w:eastAsia="zh-CN"/>
        </w:rPr>
        <w:t>（一）进一步精准</w:t>
      </w:r>
      <w:r>
        <w:rPr>
          <w:rFonts w:hint="eastAsia"/>
          <w:lang w:val="en-US" w:eastAsia="zh-CN"/>
        </w:rPr>
        <w:t>测算</w:t>
      </w:r>
      <w:r>
        <w:rPr>
          <w:rFonts w:hint="eastAsia"/>
          <w:lang w:eastAsia="zh-CN"/>
        </w:rPr>
        <w:t>预算资金</w:t>
      </w:r>
      <w:bookmarkEnd w:id="69"/>
    </w:p>
    <w:p>
      <w:pPr>
        <w:spacing w:line="600" w:lineRule="exact"/>
        <w:ind w:firstLine="640" w:firstLineChars="200"/>
        <w:rPr>
          <w:rFonts w:hint="eastAsia"/>
          <w:lang w:eastAsia="zh-CN"/>
        </w:rPr>
      </w:pPr>
      <w:r>
        <w:rPr>
          <w:rFonts w:hint="eastAsia" w:ascii="仿宋" w:hAnsi="仿宋" w:eastAsia="仿宋" w:cs="仿宋_GB2312"/>
          <w:sz w:val="32"/>
          <w:szCs w:val="32"/>
        </w:rPr>
        <w:t>农村垃圾清运项目采用定额标准进行招标</w:t>
      </w:r>
      <w:r>
        <w:rPr>
          <w:rFonts w:hint="eastAsia" w:cs="仿宋_GB2312"/>
          <w:sz w:val="32"/>
          <w:szCs w:val="32"/>
          <w:lang w:val="en-US" w:eastAsia="zh-CN"/>
        </w:rPr>
        <w:t>的情况较多</w:t>
      </w:r>
      <w:r>
        <w:rPr>
          <w:rFonts w:hint="eastAsia" w:ascii="仿宋" w:hAnsi="仿宋" w:eastAsia="仿宋" w:cs="仿宋_GB2312"/>
          <w:sz w:val="32"/>
          <w:szCs w:val="32"/>
        </w:rPr>
        <w:t>，</w:t>
      </w:r>
      <w:r>
        <w:rPr>
          <w:rFonts w:hint="eastAsia" w:cs="仿宋_GB2312"/>
          <w:sz w:val="32"/>
          <w:szCs w:val="32"/>
          <w:lang w:val="en-US" w:eastAsia="zh-CN"/>
        </w:rPr>
        <w:t>但人口数与常住人口数一般差异较大，建议以常住人口或道路面积为基数进行测算。常住人口或道路面积较农村人口数而言，更加</w:t>
      </w:r>
      <w:r>
        <w:rPr>
          <w:rFonts w:hint="eastAsia" w:ascii="仿宋" w:hAnsi="仿宋" w:eastAsia="仿宋" w:cs="仿宋_GB2312"/>
          <w:sz w:val="32"/>
          <w:szCs w:val="32"/>
        </w:rPr>
        <w:t>科学合理</w:t>
      </w:r>
      <w:r>
        <w:rPr>
          <w:rFonts w:hint="eastAsia" w:cs="仿宋_GB2312"/>
          <w:sz w:val="32"/>
          <w:szCs w:val="32"/>
          <w:lang w:eastAsia="zh-CN"/>
        </w:rPr>
        <w:t>，</w:t>
      </w:r>
      <w:r>
        <w:rPr>
          <w:rFonts w:hint="eastAsia" w:cs="仿宋_GB2312"/>
          <w:sz w:val="32"/>
          <w:szCs w:val="32"/>
          <w:lang w:val="en-US" w:eastAsia="zh-CN"/>
        </w:rPr>
        <w:t>且道路面积变动情况较小</w:t>
      </w:r>
      <w:r>
        <w:rPr>
          <w:rFonts w:hint="eastAsia" w:ascii="仿宋" w:hAnsi="仿宋" w:eastAsia="仿宋" w:cs="仿宋_GB2312"/>
          <w:sz w:val="32"/>
          <w:szCs w:val="32"/>
        </w:rPr>
        <w:t>。</w:t>
      </w:r>
      <w:r>
        <w:rPr>
          <w:rFonts w:hint="eastAsia" w:cs="仿宋_GB2312"/>
          <w:sz w:val="32"/>
          <w:szCs w:val="32"/>
          <w:lang w:val="en-US" w:eastAsia="zh-CN"/>
        </w:rPr>
        <w:t>同时建议对项目进行事前评估，</w:t>
      </w:r>
      <w:r>
        <w:rPr>
          <w:rFonts w:hint="eastAsia"/>
          <w:lang w:eastAsia="zh-CN"/>
        </w:rPr>
        <w:t>预算单位在预算编制的准确性上下工夫，通过积极组织、认真论证、领导决策等程序，确保做实预算，坚持财政资金“少花钱、多办事、办好事”的宗旨。</w:t>
      </w:r>
    </w:p>
    <w:p>
      <w:pPr>
        <w:pStyle w:val="4"/>
        <w:bidi w:val="0"/>
        <w:rPr>
          <w:rFonts w:hint="eastAsia"/>
          <w:lang w:eastAsia="zh-CN"/>
        </w:rPr>
      </w:pPr>
      <w:bookmarkStart w:id="70" w:name="_Toc14291"/>
      <w:r>
        <w:rPr>
          <w:rFonts w:hint="eastAsia"/>
          <w:lang w:eastAsia="zh-CN"/>
        </w:rPr>
        <w:t>（二）完善</w:t>
      </w:r>
      <w:r>
        <w:rPr>
          <w:rFonts w:hint="eastAsia"/>
          <w:lang w:val="en-US" w:eastAsia="zh-CN"/>
        </w:rPr>
        <w:t>预算项目绩效表</w:t>
      </w:r>
      <w:bookmarkEnd w:id="70"/>
    </w:p>
    <w:p>
      <w:pPr>
        <w:bidi w:val="0"/>
        <w:rPr>
          <w:rFonts w:hint="default"/>
          <w:lang w:val="en-US" w:eastAsia="zh-CN"/>
        </w:rPr>
      </w:pPr>
      <w:r>
        <w:rPr>
          <w:rFonts w:hint="eastAsia"/>
          <w:lang w:eastAsia="zh-CN"/>
        </w:rPr>
        <w:t>建议城管局按照市财政局规定的“相关性、完成性、准确性、匹配性、先进性”五项标准，科学设定绩效目标，根据项目具体实施内容进一步细化完善绩效指标的制定，提高设定质量。</w:t>
      </w:r>
      <w:r>
        <w:rPr>
          <w:rFonts w:hint="eastAsia"/>
          <w:lang w:val="en-US" w:eastAsia="zh-CN"/>
        </w:rPr>
        <w:t>应对指标设定具体的目标指标值，目标指标值可根据乡镇实际面积、户数情况，农村垃圾实际待清理情况等进行设定。尽可能设置可量化的指标，提高项目效果评价的可行性。如一级指标项目效益中可设定满意度指标，定期结合不定期抽查村民的满意度，收集意见与建议，进行评分，便于量化考核。</w:t>
      </w:r>
    </w:p>
    <w:p>
      <w:pPr>
        <w:pStyle w:val="4"/>
        <w:bidi w:val="0"/>
        <w:rPr>
          <w:rFonts w:hint="eastAsia"/>
          <w:lang w:eastAsia="zh-CN"/>
        </w:rPr>
      </w:pPr>
      <w:bookmarkStart w:id="71" w:name="_Toc16243"/>
      <w:r>
        <w:rPr>
          <w:rFonts w:hint="eastAsia"/>
          <w:lang w:eastAsia="zh-CN"/>
        </w:rPr>
        <w:t>（三）及时清运垃圾</w:t>
      </w:r>
      <w:bookmarkEnd w:id="71"/>
    </w:p>
    <w:p>
      <w:pPr>
        <w:bidi w:val="0"/>
        <w:rPr>
          <w:rFonts w:hint="eastAsia"/>
          <w:lang w:eastAsia="zh-CN"/>
        </w:rPr>
      </w:pPr>
      <w:r>
        <w:rPr>
          <w:rFonts w:hint="eastAsia"/>
          <w:lang w:val="en-US" w:eastAsia="zh-CN"/>
        </w:rPr>
        <w:t>建议各环卫公司</w:t>
      </w:r>
      <w:r>
        <w:rPr>
          <w:rFonts w:hint="eastAsia"/>
          <w:lang w:eastAsia="zh-CN"/>
        </w:rPr>
        <w:t>合理安排垃圾车清运路线、清运时间，制定垃圾车清运排班名单并签名；保洁人员做好路面清洁，并督促村民将垃圾放进垃圾桶内便于清运，节省清运时间；环卫公司做好清运反馈，做到日产日清。</w:t>
      </w:r>
    </w:p>
    <w:p>
      <w:pPr>
        <w:pStyle w:val="4"/>
        <w:bidi w:val="0"/>
        <w:rPr>
          <w:rFonts w:hint="eastAsia"/>
          <w:lang w:eastAsia="zh-CN"/>
        </w:rPr>
      </w:pPr>
      <w:bookmarkStart w:id="72" w:name="_Toc27"/>
      <w:r>
        <w:rPr>
          <w:rFonts w:hint="eastAsia"/>
          <w:lang w:eastAsia="zh-CN"/>
        </w:rPr>
        <w:t>（四）提高服务质量，加强监督与考核</w:t>
      </w:r>
      <w:bookmarkEnd w:id="72"/>
    </w:p>
    <w:p>
      <w:pPr>
        <w:bidi w:val="0"/>
        <w:rPr>
          <w:rFonts w:hint="default"/>
          <w:lang w:val="en-US" w:eastAsia="zh-CN"/>
        </w:rPr>
      </w:pPr>
      <w:r>
        <w:rPr>
          <w:rFonts w:hint="eastAsia"/>
          <w:lang w:eastAsia="zh-CN"/>
        </w:rPr>
        <w:t>城管局需加大督导力度，增加</w:t>
      </w:r>
      <w:r>
        <w:rPr>
          <w:rFonts w:hint="eastAsia"/>
          <w:lang w:val="en-US" w:eastAsia="zh-CN"/>
        </w:rPr>
        <w:t>不定期</w:t>
      </w:r>
      <w:r>
        <w:rPr>
          <w:rFonts w:hint="eastAsia"/>
          <w:lang w:eastAsia="zh-CN"/>
        </w:rPr>
        <w:t>考核次数，严格执行农村环境卫生清扫保洁标准，提升服务质量合规情况；环保公司应严格录用保洁人员，如吃苦耐劳、服从管理、年龄限制、身体健康等，对保洁人员应定期进行培训，加强自身服务意识的培养，保证农村生活垃圾的日产日清，保障农村环境卫生的干净整洁，</w:t>
      </w:r>
      <w:r>
        <w:rPr>
          <w:rFonts w:hint="eastAsia"/>
          <w:lang w:val="en-US" w:eastAsia="zh-CN"/>
        </w:rPr>
        <w:t>打造整洁优美的环境。</w:t>
      </w:r>
    </w:p>
    <w:p>
      <w:pPr>
        <w:pStyle w:val="4"/>
        <w:bidi w:val="0"/>
        <w:rPr>
          <w:rFonts w:hint="eastAsia"/>
          <w:lang w:eastAsia="zh-CN"/>
        </w:rPr>
      </w:pPr>
      <w:bookmarkStart w:id="73" w:name="_Toc4347"/>
      <w:r>
        <w:rPr>
          <w:rFonts w:hint="eastAsia"/>
          <w:lang w:eastAsia="zh-CN"/>
        </w:rPr>
        <w:t>（五）严格遵循合同各项要求</w:t>
      </w:r>
      <w:bookmarkEnd w:id="73"/>
    </w:p>
    <w:p>
      <w:pPr>
        <w:bidi w:val="0"/>
        <w:rPr>
          <w:rFonts w:hint="eastAsia"/>
          <w:lang w:eastAsia="zh-CN"/>
        </w:rPr>
      </w:pPr>
      <w:r>
        <w:rPr>
          <w:rFonts w:hint="eastAsia"/>
          <w:lang w:eastAsia="zh-CN"/>
        </w:rPr>
        <w:t>环卫公司应严格遵循合同内容</w:t>
      </w:r>
      <w:r>
        <w:rPr>
          <w:rFonts w:hint="eastAsia"/>
          <w:lang w:val="en-US" w:eastAsia="zh-CN"/>
        </w:rPr>
        <w:t>提供</w:t>
      </w:r>
      <w:r>
        <w:rPr>
          <w:rFonts w:hint="eastAsia"/>
          <w:lang w:eastAsia="zh-CN"/>
        </w:rPr>
        <w:t>服务，保质保量完成合同内容，配备相应的保洁人员、垃圾桶数量。</w:t>
      </w:r>
      <w:r>
        <w:rPr>
          <w:rFonts w:hint="eastAsia"/>
          <w:lang w:val="en-US" w:eastAsia="zh-CN"/>
        </w:rPr>
        <w:t>同时，</w:t>
      </w:r>
      <w:r>
        <w:rPr>
          <w:rFonts w:hint="eastAsia"/>
          <w:lang w:eastAsia="zh-CN"/>
        </w:rPr>
        <w:t>城管局应在符合申报批准程序情况下，按时支付环卫公司服务费，降低违约风险。</w:t>
      </w:r>
    </w:p>
    <w:p>
      <w:pPr>
        <w:pStyle w:val="4"/>
        <w:bidi w:val="0"/>
        <w:rPr>
          <w:rFonts w:hint="eastAsia"/>
          <w:lang w:eastAsia="zh-CN"/>
        </w:rPr>
      </w:pPr>
      <w:bookmarkStart w:id="74" w:name="_Toc6530"/>
      <w:r>
        <w:rPr>
          <w:rFonts w:hint="eastAsia"/>
          <w:lang w:eastAsia="zh-CN"/>
        </w:rPr>
        <w:t>（六）及时发放</w:t>
      </w:r>
      <w:r>
        <w:rPr>
          <w:rFonts w:hint="eastAsia"/>
          <w:lang w:val="en-US" w:eastAsia="zh-CN"/>
        </w:rPr>
        <w:t>保洁员工资</w:t>
      </w:r>
      <w:r>
        <w:rPr>
          <w:rFonts w:hint="eastAsia"/>
          <w:lang w:eastAsia="zh-CN"/>
        </w:rPr>
        <w:t>，建立奖惩机制</w:t>
      </w:r>
      <w:bookmarkEnd w:id="74"/>
    </w:p>
    <w:p>
      <w:pPr>
        <w:bidi w:val="0"/>
        <w:rPr>
          <w:rFonts w:hint="eastAsia"/>
          <w:lang w:eastAsia="zh-CN"/>
        </w:rPr>
      </w:pPr>
      <w:r>
        <w:rPr>
          <w:rFonts w:hint="eastAsia"/>
          <w:lang w:val="en-US" w:eastAsia="zh-CN"/>
        </w:rPr>
        <w:t>建议</w:t>
      </w:r>
      <w:r>
        <w:rPr>
          <w:rFonts w:hint="eastAsia"/>
          <w:lang w:eastAsia="zh-CN"/>
        </w:rPr>
        <w:t>环卫公司及时清算保洁员工资，维护保洁员利益，提高保洁员劳作积极性。</w:t>
      </w:r>
      <w:r>
        <w:rPr>
          <w:rFonts w:hint="eastAsia"/>
          <w:lang w:val="en-US" w:eastAsia="zh-CN"/>
        </w:rPr>
        <w:t>建议城管局</w:t>
      </w:r>
      <w:r>
        <w:rPr>
          <w:rFonts w:hint="eastAsia"/>
          <w:lang w:eastAsia="zh-CN"/>
        </w:rPr>
        <w:t>实行奖惩机制，建议主管部门协调，上级财政给予适当的奖补资金，进一步激发农村搞好卫生环境、提高人居生活质量的积极性。</w:t>
      </w:r>
    </w:p>
    <w:p>
      <w:pPr>
        <w:pStyle w:val="4"/>
        <w:bidi w:val="0"/>
        <w:rPr>
          <w:rFonts w:hint="eastAsia"/>
          <w:lang w:eastAsia="zh-CN"/>
        </w:rPr>
      </w:pPr>
      <w:bookmarkStart w:id="75" w:name="_Toc29551"/>
      <w:r>
        <w:rPr>
          <w:rFonts w:hint="eastAsia"/>
          <w:lang w:eastAsia="zh-CN"/>
        </w:rPr>
        <w:t>（七）建议收回</w:t>
      </w:r>
      <w:r>
        <w:rPr>
          <w:rFonts w:hint="eastAsia"/>
          <w:lang w:val="en-US" w:eastAsia="zh-CN"/>
        </w:rPr>
        <w:t>结余资金28.05</w:t>
      </w:r>
      <w:r>
        <w:rPr>
          <w:rFonts w:hint="eastAsia"/>
          <w:lang w:eastAsia="zh-CN"/>
        </w:rPr>
        <w:t>万元</w:t>
      </w:r>
      <w:bookmarkEnd w:id="75"/>
    </w:p>
    <w:p>
      <w:pPr>
        <w:spacing w:line="600" w:lineRule="exact"/>
        <w:ind w:firstLine="640" w:firstLineChars="200"/>
        <w:rPr>
          <w:rFonts w:hint="default" w:ascii="仿宋" w:hAnsi="仿宋" w:eastAsia="仿宋" w:cs="仿宋_GB2312"/>
          <w:sz w:val="32"/>
          <w:szCs w:val="32"/>
          <w:highlight w:val="none"/>
          <w:lang w:val="en-US" w:eastAsia="zh-CN"/>
        </w:rPr>
      </w:pPr>
      <w:r>
        <w:rPr>
          <w:rFonts w:hint="eastAsia" w:ascii="仿宋" w:hAnsi="仿宋" w:eastAsia="仿宋" w:cs="仿宋_GB2312"/>
          <w:sz w:val="32"/>
          <w:szCs w:val="32"/>
          <w:highlight w:val="none"/>
        </w:rPr>
        <w:t>该项目</w:t>
      </w:r>
      <w:r>
        <w:rPr>
          <w:rFonts w:hint="eastAsia" w:cs="仿宋_GB2312"/>
          <w:sz w:val="32"/>
          <w:szCs w:val="32"/>
          <w:highlight w:val="none"/>
          <w:lang w:val="en-US" w:eastAsia="zh-CN"/>
        </w:rPr>
        <w:t>2020年收到财政资金874.83万元，截止2020年底实际支出876.93万元，无结余。2021年收到财政资金1312.25万元，截止2021年9月30日，已支出1284.20万元，结余项目资金28.05万元</w:t>
      </w:r>
      <w:r>
        <w:rPr>
          <w:rFonts w:hint="eastAsia" w:ascii="仿宋" w:hAnsi="仿宋" w:eastAsia="仿宋" w:cs="仿宋_GB2312"/>
          <w:sz w:val="32"/>
          <w:szCs w:val="32"/>
          <w:highlight w:val="none"/>
        </w:rPr>
        <w:t>。</w:t>
      </w:r>
      <w:r>
        <w:rPr>
          <w:rFonts w:hint="eastAsia" w:ascii="仿宋" w:hAnsi="仿宋" w:eastAsia="仿宋" w:cs="仿宋_GB2312"/>
          <w:sz w:val="32"/>
          <w:szCs w:val="32"/>
          <w:highlight w:val="none"/>
          <w:lang w:val="en-US" w:eastAsia="zh-CN"/>
        </w:rPr>
        <w:t>2021年10月8日，城管局申请支付</w:t>
      </w:r>
      <w:r>
        <w:rPr>
          <w:rFonts w:hint="eastAsia" w:ascii="仿宋" w:hAnsi="仿宋" w:eastAsia="仿宋" w:cs="仿宋_GB2312"/>
          <w:sz w:val="32"/>
          <w:szCs w:val="32"/>
          <w:highlight w:val="none"/>
        </w:rPr>
        <w:t>2021年4-5月份</w:t>
      </w:r>
      <w:r>
        <w:rPr>
          <w:rFonts w:hint="eastAsia" w:ascii="仿宋" w:hAnsi="仿宋" w:eastAsia="仿宋" w:cs="仿宋_GB2312"/>
          <w:sz w:val="32"/>
          <w:szCs w:val="32"/>
          <w:highlight w:val="none"/>
          <w:lang w:val="en-US" w:eastAsia="zh-CN"/>
        </w:rPr>
        <w:t>垃圾清运服务费</w:t>
      </w:r>
      <w:r>
        <w:rPr>
          <w:rFonts w:hint="eastAsia" w:cs="仿宋_GB2312"/>
          <w:sz w:val="32"/>
          <w:szCs w:val="32"/>
          <w:highlight w:val="none"/>
          <w:lang w:val="en-US" w:eastAsia="zh-CN"/>
        </w:rPr>
        <w:t>437.42</w:t>
      </w:r>
      <w:r>
        <w:rPr>
          <w:rFonts w:hint="eastAsia" w:ascii="仿宋" w:hAnsi="仿宋" w:eastAsia="仿宋" w:cs="仿宋_GB2312"/>
          <w:sz w:val="32"/>
          <w:szCs w:val="32"/>
          <w:highlight w:val="none"/>
          <w:lang w:val="en-US" w:eastAsia="zh-CN"/>
        </w:rPr>
        <w:t>万元</w:t>
      </w:r>
      <w:r>
        <w:rPr>
          <w:rFonts w:hint="eastAsia"/>
          <w:highlight w:val="none"/>
          <w:lang w:eastAsia="zh-CN"/>
        </w:rPr>
        <w:t>（含</w:t>
      </w:r>
      <w:r>
        <w:rPr>
          <w:rFonts w:hint="eastAsia"/>
          <w:highlight w:val="none"/>
          <w:lang w:val="en-US" w:eastAsia="zh-CN"/>
        </w:rPr>
        <w:t>2</w:t>
      </w:r>
      <w:r>
        <w:rPr>
          <w:rFonts w:hint="eastAsia"/>
          <w:lang w:val="en-US" w:eastAsia="zh-CN"/>
        </w:rPr>
        <w:t>021年4-5月服务费中的</w:t>
      </w:r>
      <w:r>
        <w:rPr>
          <w:rFonts w:hint="eastAsia"/>
          <w:lang w:eastAsia="zh-CN"/>
        </w:rPr>
        <w:t>已考核扣除费用</w:t>
      </w:r>
      <w:r>
        <w:rPr>
          <w:rFonts w:hint="eastAsia"/>
          <w:highlight w:val="none"/>
          <w:lang w:val="en-US" w:eastAsia="zh-CN"/>
        </w:rPr>
        <w:t>1.98万元</w:t>
      </w:r>
      <w:r>
        <w:rPr>
          <w:rFonts w:hint="eastAsia"/>
          <w:highlight w:val="none"/>
          <w:lang w:eastAsia="zh-CN"/>
        </w:rPr>
        <w:t>）。</w:t>
      </w:r>
      <w:r>
        <w:rPr>
          <w:rFonts w:hint="eastAsia"/>
          <w:highlight w:val="none"/>
          <w:lang w:val="en-US" w:eastAsia="zh-CN"/>
        </w:rPr>
        <w:t>建议根据考核后的</w:t>
      </w:r>
      <w:r>
        <w:rPr>
          <w:rFonts w:hint="eastAsia"/>
          <w:lang w:val="en-US" w:eastAsia="zh-CN"/>
        </w:rPr>
        <w:t>实际服务费用与结余资金综合考虑财政资金的拨付金额，建议收回结余资金28.05万元。</w:t>
      </w:r>
    </w:p>
    <w:p>
      <w:pPr>
        <w:ind w:firstLine="640" w:firstLineChars="200"/>
        <w:rPr>
          <w:rFonts w:ascii="仿宋_GB2312" w:hAnsi="仿宋_GB2312" w:eastAsia="仿宋_GB2312" w:cs="仿宋_GB2312"/>
          <w:sz w:val="32"/>
        </w:rPr>
      </w:pPr>
    </w:p>
    <w:p>
      <w:pPr>
        <w:ind w:firstLine="640" w:firstLineChars="200"/>
        <w:rPr>
          <w:rFonts w:ascii="仿宋_GB2312" w:hAnsi="仿宋_GB2312" w:eastAsia="仿宋_GB2312" w:cs="仿宋_GB2312"/>
          <w:sz w:val="32"/>
        </w:rPr>
      </w:pPr>
    </w:p>
    <w:p>
      <w:pPr>
        <w:ind w:firstLine="640" w:firstLineChars="200"/>
        <w:outlineLvl w:val="0"/>
        <w:rPr>
          <w:rFonts w:ascii="仿宋_GB2312" w:hAnsi="仿宋_GB2312" w:eastAsia="仿宋_GB2312" w:cs="仿宋_GB2312"/>
          <w:color w:val="auto"/>
          <w:sz w:val="32"/>
          <w:highlight w:val="none"/>
        </w:rPr>
      </w:pPr>
      <w:bookmarkStart w:id="76" w:name="_Toc23631"/>
      <w:r>
        <w:rPr>
          <w:rFonts w:hint="eastAsia" w:ascii="仿宋_GB2312" w:hAnsi="仿宋_GB2312" w:eastAsia="仿宋_GB2312" w:cs="仿宋_GB2312"/>
          <w:color w:val="auto"/>
          <w:sz w:val="32"/>
          <w:highlight w:val="none"/>
        </w:rPr>
        <w:t>附件</w:t>
      </w:r>
      <w:r>
        <w:rPr>
          <w:rFonts w:hint="eastAsia" w:ascii="仿宋_GB2312" w:hAnsi="仿宋_GB2312" w:eastAsia="仿宋_GB2312" w:cs="仿宋_GB2312"/>
          <w:color w:val="auto"/>
          <w:sz w:val="32"/>
          <w:highlight w:val="none"/>
          <w:lang w:val="en-US" w:eastAsia="zh-CN"/>
        </w:rPr>
        <w:t>1</w:t>
      </w:r>
      <w:r>
        <w:rPr>
          <w:rFonts w:hint="eastAsia" w:ascii="仿宋_GB2312" w:hAnsi="仿宋_GB2312" w:eastAsia="仿宋_GB2312" w:cs="仿宋_GB2312"/>
          <w:color w:val="auto"/>
          <w:sz w:val="32"/>
          <w:highlight w:val="none"/>
        </w:rPr>
        <w:t>：无极县农村垃圾清运采购服务项目绩效评价指标体系及评价得分情况</w:t>
      </w:r>
      <w:bookmarkEnd w:id="76"/>
    </w:p>
    <w:p>
      <w:pPr>
        <w:ind w:firstLine="640" w:firstLineChars="200"/>
        <w:outlineLvl w:val="0"/>
        <w:rPr>
          <w:rFonts w:hint="eastAsia" w:cs="仿宋_GB2312"/>
          <w:color w:val="auto"/>
          <w:sz w:val="32"/>
          <w:szCs w:val="32"/>
          <w:highlight w:val="none"/>
          <w:lang w:val="en-US" w:eastAsia="zh-CN"/>
        </w:rPr>
      </w:pPr>
      <w:bookmarkStart w:id="77" w:name="_Toc2598"/>
      <w:r>
        <w:rPr>
          <w:rFonts w:hint="eastAsia" w:ascii="仿宋_GB2312" w:hAnsi="仿宋_GB2312" w:eastAsia="仿宋_GB2312" w:cs="仿宋_GB2312"/>
          <w:color w:val="auto"/>
          <w:sz w:val="32"/>
          <w:szCs w:val="32"/>
          <w:highlight w:val="none"/>
          <w:lang w:val="en-US" w:eastAsia="zh-CN"/>
        </w:rPr>
        <w:t>附件2：</w:t>
      </w:r>
      <w:r>
        <w:rPr>
          <w:rFonts w:hint="eastAsia" w:cs="仿宋_GB2312"/>
          <w:color w:val="auto"/>
          <w:sz w:val="32"/>
          <w:szCs w:val="32"/>
          <w:highlight w:val="none"/>
          <w:lang w:val="en-US" w:eastAsia="zh-CN"/>
        </w:rPr>
        <w:t>无极县垃圾清运项目现场情况表</w:t>
      </w:r>
      <w:bookmarkEnd w:id="77"/>
    </w:p>
    <w:p>
      <w:pPr>
        <w:ind w:firstLine="640" w:firstLineChars="200"/>
        <w:rPr>
          <w:rFonts w:ascii="仿宋_GB2312" w:hAnsi="仿宋_GB2312" w:eastAsia="仿宋_GB2312" w:cs="仿宋_GB2312"/>
          <w:sz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rPr>
        <w:t xml:space="preserve"> </w:t>
      </w:r>
    </w:p>
    <w:p>
      <w:pPr>
        <w:rPr>
          <w:rFonts w:ascii="仿宋_GB2312" w:hAnsi="仿宋_GB2312" w:eastAsia="仿宋_GB2312" w:cs="仿宋_GB2312"/>
          <w:sz w:val="32"/>
        </w:rPr>
      </w:pPr>
    </w:p>
    <w:p>
      <w:pPr>
        <w:ind w:firstLine="6400" w:firstLineChars="2000"/>
        <w:rPr>
          <w:rFonts w:ascii="仿宋_GB2312" w:hAnsi="仿宋_GB2312" w:eastAsia="仿宋_GB2312" w:cs="仿宋_GB2312"/>
          <w:sz w:val="32"/>
          <w:highlight w:val="none"/>
        </w:rPr>
      </w:pPr>
      <w:r>
        <w:rPr>
          <w:rFonts w:hint="eastAsia" w:ascii="仿宋_GB2312" w:hAnsi="仿宋_GB2312" w:eastAsia="仿宋_GB2312" w:cs="仿宋_GB2312"/>
          <w:sz w:val="32"/>
          <w:highlight w:val="none"/>
        </w:rPr>
        <w:t>无极县财政局</w:t>
      </w:r>
    </w:p>
    <w:p>
      <w:pPr>
        <w:ind w:firstLine="6080" w:firstLineChars="1900"/>
        <w:rPr>
          <w:rFonts w:ascii="仿宋_GB2312" w:hAnsi="仿宋_GB2312" w:eastAsia="仿宋_GB2312" w:cs="仿宋_GB2312"/>
          <w:color w:val="auto"/>
          <w:sz w:val="32"/>
          <w:highlight w:val="none"/>
        </w:rPr>
        <w:sectPr>
          <w:pgSz w:w="11906" w:h="16838"/>
          <w:pgMar w:top="1984" w:right="1531" w:bottom="1984" w:left="1531" w:header="851" w:footer="992" w:gutter="0"/>
          <w:pgNumType w:start="1"/>
          <w:cols w:space="425" w:num="1"/>
          <w:docGrid w:type="lines" w:linePitch="312" w:charSpace="0"/>
        </w:sectPr>
      </w:pPr>
      <w:r>
        <w:rPr>
          <w:rFonts w:hint="eastAsia" w:ascii="仿宋_GB2312" w:hAnsi="仿宋_GB2312" w:eastAsia="仿宋_GB2312" w:cs="仿宋_GB2312"/>
          <w:color w:val="auto"/>
          <w:sz w:val="32"/>
          <w:highlight w:val="none"/>
        </w:rPr>
        <w:t>2021年</w:t>
      </w:r>
      <w:r>
        <w:rPr>
          <w:rFonts w:hint="eastAsia" w:ascii="仿宋_GB2312" w:hAnsi="仿宋_GB2312" w:eastAsia="仿宋_GB2312" w:cs="仿宋_GB2312"/>
          <w:color w:val="auto"/>
          <w:sz w:val="32"/>
          <w:highlight w:val="none"/>
          <w:lang w:val="en-US" w:eastAsia="zh-CN"/>
        </w:rPr>
        <w:t>10</w:t>
      </w:r>
      <w:r>
        <w:rPr>
          <w:rFonts w:hint="eastAsia" w:ascii="仿宋_GB2312" w:hAnsi="仿宋_GB2312" w:eastAsia="仿宋_GB2312" w:cs="仿宋_GB2312"/>
          <w:color w:val="auto"/>
          <w:sz w:val="32"/>
          <w:highlight w:val="none"/>
        </w:rPr>
        <w:t>月</w:t>
      </w:r>
      <w:r>
        <w:rPr>
          <w:rFonts w:hint="eastAsia" w:ascii="仿宋_GB2312" w:hAnsi="仿宋_GB2312" w:eastAsia="仿宋_GB2312" w:cs="仿宋_GB2312"/>
          <w:color w:val="auto"/>
          <w:sz w:val="32"/>
          <w:highlight w:val="none"/>
          <w:lang w:val="en-US" w:eastAsia="zh-CN"/>
        </w:rPr>
        <w:t>17</w:t>
      </w:r>
      <w:r>
        <w:rPr>
          <w:rFonts w:hint="eastAsia" w:ascii="仿宋_GB2312" w:hAnsi="仿宋_GB2312" w:eastAsia="仿宋_GB2312" w:cs="仿宋_GB2312"/>
          <w:color w:val="auto"/>
          <w:sz w:val="32"/>
          <w:highlight w:val="none"/>
        </w:rPr>
        <w:t>日</w:t>
      </w:r>
    </w:p>
    <w:p>
      <w:pPr>
        <w:pStyle w:val="6"/>
        <w:ind w:firstLine="0" w:firstLineChars="0"/>
        <w:outlineLvl w:val="0"/>
        <w:rPr>
          <w:rFonts w:hint="eastAsia" w:ascii="仿宋_GB2312" w:hAnsi="仿宋_GB2312" w:eastAsia="仿宋_GB2312" w:cs="仿宋_GB2312"/>
          <w:sz w:val="32"/>
          <w:szCs w:val="32"/>
        </w:rPr>
      </w:pPr>
      <w:bookmarkStart w:id="78" w:name="_Toc18314"/>
      <w:bookmarkStart w:id="79" w:name="_Toc8684"/>
      <w:r>
        <w:rPr>
          <w:rFonts w:hint="eastAsia" w:ascii="仿宋_GB2312" w:hAnsi="仿宋_GB2312" w:eastAsia="仿宋_GB2312" w:cs="仿宋_GB2312"/>
          <w:sz w:val="32"/>
          <w:szCs w:val="32"/>
        </w:rPr>
        <w:t>附件1</w:t>
      </w:r>
      <w:bookmarkEnd w:id="78"/>
      <w:bookmarkEnd w:id="79"/>
    </w:p>
    <w:p>
      <w:pPr>
        <w:pStyle w:val="6"/>
        <w:ind w:firstLine="0" w:firstLineChars="0"/>
        <w:jc w:val="center"/>
        <w:rPr>
          <w:rFonts w:hint="eastAsia" w:ascii="仿宋" w:hAnsi="仿宋" w:eastAsia="仿宋" w:cs="仿宋"/>
          <w:sz w:val="32"/>
          <w:szCs w:val="32"/>
        </w:rPr>
      </w:pPr>
      <w:r>
        <w:rPr>
          <w:rFonts w:hint="eastAsia" w:ascii="仿宋" w:hAnsi="仿宋" w:eastAsia="仿宋" w:cs="仿宋"/>
          <w:b/>
          <w:bCs/>
          <w:i w:val="0"/>
          <w:iCs w:val="0"/>
          <w:color w:val="000000"/>
          <w:kern w:val="0"/>
          <w:sz w:val="32"/>
          <w:szCs w:val="32"/>
          <w:u w:val="none"/>
          <w:lang w:val="en-US" w:eastAsia="zh-CN" w:bidi="ar"/>
        </w:rPr>
        <w:t>无极县农村垃圾清运采购服务项目绩效评价指标体系及评价得分情况</w:t>
      </w:r>
    </w:p>
    <w:tbl>
      <w:tblPr>
        <w:tblStyle w:val="9"/>
        <w:tblW w:w="5000" w:type="pct"/>
        <w:tblInd w:w="0" w:type="dxa"/>
        <w:shd w:val="clear" w:color="auto" w:fill="auto"/>
        <w:tblLayout w:type="fixed"/>
        <w:tblCellMar>
          <w:top w:w="0" w:type="dxa"/>
          <w:left w:w="108" w:type="dxa"/>
          <w:bottom w:w="0" w:type="dxa"/>
          <w:right w:w="108" w:type="dxa"/>
        </w:tblCellMar>
      </w:tblPr>
      <w:tblGrid>
        <w:gridCol w:w="950"/>
        <w:gridCol w:w="811"/>
        <w:gridCol w:w="1485"/>
        <w:gridCol w:w="6584"/>
        <w:gridCol w:w="802"/>
        <w:gridCol w:w="3542"/>
      </w:tblGrid>
      <w:tr>
        <w:tblPrEx>
          <w:shd w:val="clear" w:color="auto" w:fill="auto"/>
          <w:tblCellMar>
            <w:top w:w="0" w:type="dxa"/>
            <w:left w:w="108" w:type="dxa"/>
            <w:bottom w:w="0" w:type="dxa"/>
            <w:right w:w="108" w:type="dxa"/>
          </w:tblCellMar>
        </w:tblPrEx>
        <w:trPr>
          <w:trHeight w:val="573" w:hRule="atLeast"/>
          <w:tblHeader/>
        </w:trPr>
        <w:tc>
          <w:tcPr>
            <w:tcW w:w="335"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一级</w:t>
            </w:r>
          </w:p>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指标</w:t>
            </w:r>
          </w:p>
        </w:tc>
        <w:tc>
          <w:tcPr>
            <w:tcW w:w="285"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二级指标</w:t>
            </w:r>
          </w:p>
        </w:tc>
        <w:tc>
          <w:tcPr>
            <w:tcW w:w="523"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三级指标</w:t>
            </w:r>
          </w:p>
        </w:tc>
        <w:tc>
          <w:tcPr>
            <w:tcW w:w="2322"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评分标准</w:t>
            </w:r>
          </w:p>
        </w:tc>
        <w:tc>
          <w:tcPr>
            <w:tcW w:w="282"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得分</w:t>
            </w:r>
          </w:p>
        </w:tc>
        <w:tc>
          <w:tcPr>
            <w:tcW w:w="1249" w:type="pct"/>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扣分原因</w:t>
            </w:r>
          </w:p>
        </w:tc>
      </w:tr>
      <w:tr>
        <w:tblPrEx>
          <w:shd w:val="clear" w:color="auto" w:fill="auto"/>
          <w:tblCellMar>
            <w:top w:w="0" w:type="dxa"/>
            <w:left w:w="108" w:type="dxa"/>
            <w:bottom w:w="0" w:type="dxa"/>
            <w:right w:w="108" w:type="dxa"/>
          </w:tblCellMar>
        </w:tblPrEx>
        <w:trPr>
          <w:trHeight w:val="480" w:hRule="atLeast"/>
        </w:trPr>
        <w:tc>
          <w:tcPr>
            <w:tcW w:w="33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决策（20分）</w:t>
            </w:r>
          </w:p>
        </w:tc>
        <w:tc>
          <w:tcPr>
            <w:tcW w:w="28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项目立项</w:t>
            </w:r>
          </w:p>
        </w:tc>
        <w:tc>
          <w:tcPr>
            <w:tcW w:w="52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立项依据充分性（6分）</w:t>
            </w: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①项目立项是否符合行业发展规划和政策要求；得2分</w:t>
            </w:r>
          </w:p>
        </w:tc>
        <w:tc>
          <w:tcPr>
            <w:tcW w:w="282"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 xml:space="preserve">6.00 </w:t>
            </w:r>
          </w:p>
        </w:tc>
        <w:tc>
          <w:tcPr>
            <w:tcW w:w="1249" w:type="pct"/>
            <w:vMerge w:val="restart"/>
            <w:tcBorders>
              <w:top w:val="single" w:color="auto" w:sz="4" w:space="0"/>
              <w:left w:val="single" w:color="auto" w:sz="4" w:space="0"/>
              <w:bottom w:val="single" w:color="auto" w:sz="4" w:space="0"/>
              <w:right w:val="single" w:color="auto"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480"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5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②项目立项是否与部门职责范围相符,属于部门履职所需；得2分</w:t>
            </w:r>
          </w:p>
        </w:tc>
        <w:tc>
          <w:tcPr>
            <w:tcW w:w="28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1249" w:type="pct"/>
            <w:vMerge w:val="continue"/>
            <w:tcBorders>
              <w:top w:val="single" w:color="auto" w:sz="4" w:space="0"/>
              <w:left w:val="single" w:color="auto" w:sz="4" w:space="0"/>
              <w:bottom w:val="single" w:color="auto" w:sz="4" w:space="0"/>
              <w:right w:val="single" w:color="auto"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660"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5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③项目是否属于公共财政支持范围,是否符合中央、地方事权支出责任划分原则；得2分</w:t>
            </w:r>
          </w:p>
        </w:tc>
        <w:tc>
          <w:tcPr>
            <w:tcW w:w="28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1249" w:type="pct"/>
            <w:vMerge w:val="continue"/>
            <w:tcBorders>
              <w:top w:val="single" w:color="auto" w:sz="4" w:space="0"/>
              <w:left w:val="single" w:color="auto" w:sz="4" w:space="0"/>
              <w:bottom w:val="single" w:color="auto" w:sz="4" w:space="0"/>
              <w:right w:val="single" w:color="auto"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480"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资金投入</w:t>
            </w:r>
          </w:p>
        </w:tc>
        <w:tc>
          <w:tcPr>
            <w:tcW w:w="52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资金分配合理性（6分）</w:t>
            </w: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①预算资金依据是否充分；得3分</w:t>
            </w:r>
          </w:p>
        </w:tc>
        <w:tc>
          <w:tcPr>
            <w:tcW w:w="282"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 xml:space="preserve">3.00 </w:t>
            </w:r>
          </w:p>
        </w:tc>
        <w:tc>
          <w:tcPr>
            <w:tcW w:w="124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城管局自定价格标准：农村环卫61元/人/年</w:t>
            </w:r>
            <w:r>
              <w:rPr>
                <w:rFonts w:hint="eastAsia" w:cs="仿宋"/>
                <w:i w:val="0"/>
                <w:iCs w:val="0"/>
                <w:color w:val="000000"/>
                <w:kern w:val="0"/>
                <w:sz w:val="22"/>
                <w:szCs w:val="22"/>
                <w:u w:val="none"/>
                <w:lang w:val="en-US" w:eastAsia="zh-CN" w:bidi="ar"/>
              </w:rPr>
              <w:t>，无正式批文，</w:t>
            </w:r>
            <w:r>
              <w:rPr>
                <w:rFonts w:hint="eastAsia" w:ascii="仿宋" w:hAnsi="仿宋" w:eastAsia="仿宋" w:cs="仿宋"/>
                <w:i w:val="0"/>
                <w:iCs w:val="0"/>
                <w:color w:val="000000"/>
                <w:kern w:val="0"/>
                <w:sz w:val="22"/>
                <w:szCs w:val="22"/>
                <w:u w:val="none"/>
                <w:lang w:val="en-US" w:eastAsia="zh-CN" w:bidi="ar"/>
              </w:rPr>
              <w:t>价格标准依据不充分，扣3分。</w:t>
            </w:r>
          </w:p>
        </w:tc>
      </w:tr>
      <w:tr>
        <w:tblPrEx>
          <w:shd w:val="clear" w:color="auto" w:fill="auto"/>
          <w:tblCellMar>
            <w:top w:w="0" w:type="dxa"/>
            <w:left w:w="108" w:type="dxa"/>
            <w:bottom w:w="0" w:type="dxa"/>
            <w:right w:w="108" w:type="dxa"/>
          </w:tblCellMar>
        </w:tblPrEx>
        <w:trPr>
          <w:trHeight w:val="480"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5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②资金分配额度是否合理,与项目单位或地方实际是否相适应；得3分</w:t>
            </w:r>
          </w:p>
        </w:tc>
        <w:tc>
          <w:tcPr>
            <w:tcW w:w="282"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2"/>
                <w:szCs w:val="22"/>
                <w:u w:val="none"/>
              </w:rPr>
            </w:pPr>
          </w:p>
        </w:tc>
        <w:tc>
          <w:tcPr>
            <w:tcW w:w="124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left"/>
              <w:rPr>
                <w:rFonts w:hint="eastAsia" w:ascii="仿宋" w:hAnsi="仿宋" w:eastAsia="仿宋" w:cs="仿宋"/>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480"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绩效目标</w:t>
            </w:r>
          </w:p>
        </w:tc>
        <w:tc>
          <w:tcPr>
            <w:tcW w:w="52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绩效目标合理性（2分）</w:t>
            </w: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①项目绩效目标与实际工作内容是否具有相关性；得1分</w:t>
            </w:r>
          </w:p>
        </w:tc>
        <w:tc>
          <w:tcPr>
            <w:tcW w:w="282"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 xml:space="preserve">2.00 </w:t>
            </w:r>
          </w:p>
        </w:tc>
        <w:tc>
          <w:tcPr>
            <w:tcW w:w="1249" w:type="pct"/>
            <w:vMerge w:val="restart"/>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left"/>
              <w:rPr>
                <w:rFonts w:hint="eastAsia" w:ascii="仿宋" w:hAnsi="仿宋" w:eastAsia="仿宋" w:cs="仿宋"/>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480"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5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②项目预期产出效益和效果是否符合正常的业绩水平；得1分</w:t>
            </w:r>
          </w:p>
        </w:tc>
        <w:tc>
          <w:tcPr>
            <w:tcW w:w="28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1249" w:type="pct"/>
            <w:vMerge w:val="continue"/>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left"/>
              <w:rPr>
                <w:rFonts w:hint="eastAsia" w:ascii="仿宋" w:hAnsi="仿宋" w:eastAsia="仿宋" w:cs="仿宋"/>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480"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52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绩效目标明确性（6分）</w:t>
            </w: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①是否将项目绩效目标细化分解为具体的绩效指标；得2分</w:t>
            </w:r>
          </w:p>
        </w:tc>
        <w:tc>
          <w:tcPr>
            <w:tcW w:w="282"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 xml:space="preserve">4.00 </w:t>
            </w:r>
          </w:p>
        </w:tc>
        <w:tc>
          <w:tcPr>
            <w:tcW w:w="124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编制的绩效目标申报表，部分指标未设定明确的指标值，部分指标不便于量化考核，扣2分。</w:t>
            </w:r>
          </w:p>
        </w:tc>
      </w:tr>
      <w:tr>
        <w:tblPrEx>
          <w:shd w:val="clear" w:color="auto" w:fill="auto"/>
          <w:tblCellMar>
            <w:top w:w="0" w:type="dxa"/>
            <w:left w:w="108" w:type="dxa"/>
            <w:bottom w:w="0" w:type="dxa"/>
            <w:right w:w="108" w:type="dxa"/>
          </w:tblCellMar>
        </w:tblPrEx>
        <w:trPr>
          <w:trHeight w:val="480"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5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②是否通过清晰、可衡量的指标值予以体现；得2分</w:t>
            </w:r>
          </w:p>
        </w:tc>
        <w:tc>
          <w:tcPr>
            <w:tcW w:w="28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124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left"/>
              <w:rPr>
                <w:rFonts w:hint="eastAsia" w:ascii="仿宋" w:hAnsi="仿宋" w:eastAsia="仿宋" w:cs="仿宋"/>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480"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5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③是否与项目目标任务数或计划数相对应；得2分</w:t>
            </w:r>
          </w:p>
        </w:tc>
        <w:tc>
          <w:tcPr>
            <w:tcW w:w="28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124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left"/>
              <w:rPr>
                <w:rFonts w:hint="eastAsia" w:ascii="仿宋" w:hAnsi="仿宋" w:eastAsia="仿宋" w:cs="仿宋"/>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700" w:hRule="atLeast"/>
        </w:trPr>
        <w:tc>
          <w:tcPr>
            <w:tcW w:w="33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过程（20分）</w:t>
            </w:r>
          </w:p>
        </w:tc>
        <w:tc>
          <w:tcPr>
            <w:tcW w:w="285"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资金管理</w:t>
            </w:r>
          </w:p>
        </w:tc>
        <w:tc>
          <w:tcPr>
            <w:tcW w:w="52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预算执行率（6分）</w:t>
            </w: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预算执行率= (实际支出资金/</w:t>
            </w:r>
            <w:r>
              <w:rPr>
                <w:rFonts w:hint="eastAsia" w:cs="仿宋"/>
                <w:i w:val="0"/>
                <w:iCs w:val="0"/>
                <w:color w:val="000000"/>
                <w:kern w:val="0"/>
                <w:sz w:val="24"/>
                <w:szCs w:val="24"/>
                <w:u w:val="none"/>
                <w:lang w:val="en-US" w:eastAsia="zh-CN" w:bidi="ar"/>
              </w:rPr>
              <w:t>预算申请金额</w:t>
            </w:r>
            <w:r>
              <w:rPr>
                <w:rFonts w:hint="eastAsia" w:ascii="仿宋" w:hAnsi="仿宋" w:eastAsia="仿宋" w:cs="仿宋"/>
                <w:i w:val="0"/>
                <w:iCs w:val="0"/>
                <w:color w:val="000000"/>
                <w:kern w:val="0"/>
                <w:sz w:val="24"/>
                <w:szCs w:val="24"/>
                <w:u w:val="none"/>
                <w:lang w:val="en-US" w:eastAsia="zh-CN" w:bidi="ar"/>
              </w:rPr>
              <w:t>)×100%。实际支出资金：截止2021年9月底，项目2020年6月至2021年5月费用实际拨付的资金。</w:t>
            </w:r>
          </w:p>
        </w:tc>
        <w:tc>
          <w:tcPr>
            <w:tcW w:w="282"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w:t>
            </w:r>
            <w:r>
              <w:rPr>
                <w:rFonts w:hint="eastAsia" w:cs="仿宋"/>
                <w:b/>
                <w:bCs/>
                <w:i w:val="0"/>
                <w:iCs w:val="0"/>
                <w:color w:val="000000"/>
                <w:kern w:val="0"/>
                <w:sz w:val="22"/>
                <w:szCs w:val="22"/>
                <w:u w:val="none"/>
                <w:lang w:val="en-US" w:eastAsia="zh-CN" w:bidi="ar"/>
              </w:rPr>
              <w:t>94</w:t>
            </w:r>
            <w:r>
              <w:rPr>
                <w:rFonts w:hint="eastAsia" w:ascii="仿宋" w:hAnsi="仿宋" w:eastAsia="仿宋" w:cs="仿宋"/>
                <w:b/>
                <w:bCs/>
                <w:i w:val="0"/>
                <w:iCs w:val="0"/>
                <w:color w:val="000000"/>
                <w:kern w:val="0"/>
                <w:sz w:val="22"/>
                <w:szCs w:val="22"/>
                <w:u w:val="none"/>
                <w:lang w:val="en-US" w:eastAsia="zh-CN" w:bidi="ar"/>
              </w:rPr>
              <w:t xml:space="preserve"> </w:t>
            </w:r>
          </w:p>
        </w:tc>
        <w:tc>
          <w:tcPr>
            <w:tcW w:w="1249" w:type="pct"/>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pageBreakBefore w:val="0"/>
              <w:widowControl/>
              <w:kinsoku/>
              <w:wordWrap/>
              <w:overflowPunct/>
              <w:topLinePunct w:val="0"/>
              <w:autoSpaceDE/>
              <w:autoSpaceDN/>
              <w:bidi w:val="0"/>
              <w:adjustRightInd/>
              <w:snapToGrid/>
              <w:spacing w:line="360" w:lineRule="exact"/>
              <w:ind w:firstLine="0" w:firstLineChars="0"/>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sz w:val="22"/>
                <w:szCs w:val="22"/>
                <w:u w:val="none"/>
              </w:rPr>
              <w:t>城管局共向财政申请资金2624.51万元，2020年和2021年共支付项目资金2161.12万元，预算执行率为82.34%。</w:t>
            </w:r>
          </w:p>
        </w:tc>
      </w:tr>
      <w:tr>
        <w:tblPrEx>
          <w:shd w:val="clear" w:color="auto" w:fill="auto"/>
          <w:tblCellMar>
            <w:top w:w="0" w:type="dxa"/>
            <w:left w:w="108" w:type="dxa"/>
            <w:bottom w:w="0" w:type="dxa"/>
            <w:right w:w="108" w:type="dxa"/>
          </w:tblCellMar>
        </w:tblPrEx>
        <w:trPr>
          <w:trHeight w:val="780"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52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资金使用合规性（6分）</w:t>
            </w: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①是否符合国家财经法规和财务管理制度以及有关专项资金管理办法的规定；得2分</w:t>
            </w:r>
          </w:p>
        </w:tc>
        <w:tc>
          <w:tcPr>
            <w:tcW w:w="282"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 xml:space="preserve">6.00 </w:t>
            </w:r>
          </w:p>
        </w:tc>
        <w:tc>
          <w:tcPr>
            <w:tcW w:w="124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480"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5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②资金的拨付是否有完整的审批程序和手续；得2分</w:t>
            </w:r>
          </w:p>
        </w:tc>
        <w:tc>
          <w:tcPr>
            <w:tcW w:w="282"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2"/>
                <w:szCs w:val="22"/>
                <w:u w:val="none"/>
              </w:rPr>
            </w:pPr>
          </w:p>
        </w:tc>
        <w:tc>
          <w:tcPr>
            <w:tcW w:w="124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480"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5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③是否存在截留、挤占、挪用、虚列支出等情况；得2分</w:t>
            </w:r>
          </w:p>
        </w:tc>
        <w:tc>
          <w:tcPr>
            <w:tcW w:w="282"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2"/>
                <w:szCs w:val="22"/>
                <w:u w:val="none"/>
              </w:rPr>
            </w:pPr>
          </w:p>
        </w:tc>
        <w:tc>
          <w:tcPr>
            <w:tcW w:w="124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433"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组织实施</w:t>
            </w:r>
          </w:p>
        </w:tc>
        <w:tc>
          <w:tcPr>
            <w:tcW w:w="52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管理制度健全性（8分）</w:t>
            </w: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①是否具有相应业务管理制度；得2分</w:t>
            </w:r>
          </w:p>
        </w:tc>
        <w:tc>
          <w:tcPr>
            <w:tcW w:w="282"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 xml:space="preserve">8.00 </w:t>
            </w:r>
          </w:p>
        </w:tc>
        <w:tc>
          <w:tcPr>
            <w:tcW w:w="124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377"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5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②业务管理制度是否合法、合规、完整；得2分</w:t>
            </w:r>
          </w:p>
        </w:tc>
        <w:tc>
          <w:tcPr>
            <w:tcW w:w="282"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2"/>
                <w:szCs w:val="22"/>
                <w:u w:val="none"/>
              </w:rPr>
            </w:pPr>
          </w:p>
        </w:tc>
        <w:tc>
          <w:tcPr>
            <w:tcW w:w="124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376"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5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③组织机构健全；得2分</w:t>
            </w:r>
          </w:p>
        </w:tc>
        <w:tc>
          <w:tcPr>
            <w:tcW w:w="282"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2"/>
                <w:szCs w:val="22"/>
                <w:u w:val="none"/>
              </w:rPr>
            </w:pPr>
          </w:p>
        </w:tc>
        <w:tc>
          <w:tcPr>
            <w:tcW w:w="124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414"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5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④人员分工明确，责任划分清晰；得2分</w:t>
            </w:r>
          </w:p>
        </w:tc>
        <w:tc>
          <w:tcPr>
            <w:tcW w:w="282"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2"/>
                <w:szCs w:val="22"/>
                <w:u w:val="none"/>
              </w:rPr>
            </w:pPr>
          </w:p>
        </w:tc>
        <w:tc>
          <w:tcPr>
            <w:tcW w:w="124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1080" w:hRule="atLeast"/>
        </w:trPr>
        <w:tc>
          <w:tcPr>
            <w:tcW w:w="33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产出（40分）</w:t>
            </w:r>
          </w:p>
        </w:tc>
        <w:tc>
          <w:tcPr>
            <w:tcW w:w="28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产出数量</w:t>
            </w:r>
          </w:p>
        </w:tc>
        <w:tc>
          <w:tcPr>
            <w:tcW w:w="52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按要求配备人员与设备（5分）</w:t>
            </w: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根据合同要求的配备要求，缺少比例达0-5%，扣1分；缺少比例达5%-10%，扣2分；缺少比例达10-15%，扣4分；缺少比例高于15%，扣5分。</w:t>
            </w:r>
          </w:p>
        </w:tc>
        <w:tc>
          <w:tcPr>
            <w:tcW w:w="282"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 xml:space="preserve">3.00 </w:t>
            </w:r>
          </w:p>
        </w:tc>
        <w:tc>
          <w:tcPr>
            <w:tcW w:w="124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根据3家中标公司提供的员工资料，保洁人员平均缺少比例为7.2%，扣2分。</w:t>
            </w:r>
          </w:p>
        </w:tc>
      </w:tr>
      <w:tr>
        <w:tblPrEx>
          <w:shd w:val="clear" w:color="auto" w:fill="auto"/>
          <w:tblCellMar>
            <w:top w:w="0" w:type="dxa"/>
            <w:left w:w="108" w:type="dxa"/>
            <w:bottom w:w="0" w:type="dxa"/>
            <w:right w:w="108" w:type="dxa"/>
          </w:tblCellMar>
        </w:tblPrEx>
        <w:trPr>
          <w:trHeight w:val="673"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52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提供的服务数量（5分）</w:t>
            </w: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按照合同要求提供服务数量，得5分，发现一项不符合合同要求的，扣1分</w:t>
            </w:r>
          </w:p>
        </w:tc>
        <w:tc>
          <w:tcPr>
            <w:tcW w:w="282"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 xml:space="preserve">5.00 </w:t>
            </w:r>
          </w:p>
        </w:tc>
        <w:tc>
          <w:tcPr>
            <w:tcW w:w="1249" w:type="pct"/>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pageBreakBefore w:val="0"/>
              <w:widowControl/>
              <w:kinsoku/>
              <w:wordWrap/>
              <w:overflowPunct/>
              <w:topLinePunct w:val="0"/>
              <w:autoSpaceDE/>
              <w:autoSpaceDN/>
              <w:bidi w:val="0"/>
              <w:adjustRightInd/>
              <w:snapToGrid/>
              <w:spacing w:line="360" w:lineRule="exact"/>
              <w:ind w:firstLine="0" w:firstLineChars="0"/>
              <w:rPr>
                <w:rFonts w:hint="eastAsia" w:ascii="仿宋" w:hAnsi="仿宋" w:eastAsia="仿宋" w:cs="仿宋"/>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940"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产出质量</w:t>
            </w:r>
          </w:p>
        </w:tc>
        <w:tc>
          <w:tcPr>
            <w:tcW w:w="52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监督与考核（5分）</w:t>
            </w: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按照《无极县城市管理综合行政执法局环卫市场化运作保洁考核办法》，发现一处监督考核职责履行不到位扣1分。</w:t>
            </w:r>
          </w:p>
        </w:tc>
        <w:tc>
          <w:tcPr>
            <w:tcW w:w="282"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 xml:space="preserve">5.00 </w:t>
            </w:r>
          </w:p>
        </w:tc>
        <w:tc>
          <w:tcPr>
            <w:tcW w:w="1249" w:type="pct"/>
            <w:tcBorders>
              <w:top w:val="single" w:color="auto" w:sz="4" w:space="0"/>
              <w:left w:val="single" w:color="auto" w:sz="4" w:space="0"/>
              <w:bottom w:val="single" w:color="auto" w:sz="4" w:space="0"/>
              <w:right w:val="single" w:color="auto"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360" w:lineRule="exact"/>
              <w:ind w:firstLine="0" w:firstLineChars="0"/>
              <w:rPr>
                <w:rFonts w:hint="eastAsia" w:ascii="仿宋" w:hAnsi="仿宋" w:eastAsia="仿宋" w:cs="仿宋"/>
                <w:i w:val="0"/>
                <w:iCs w:val="0"/>
                <w:color w:val="FF0000"/>
                <w:sz w:val="22"/>
                <w:szCs w:val="22"/>
                <w:u w:val="none"/>
              </w:rPr>
            </w:pPr>
          </w:p>
        </w:tc>
      </w:tr>
      <w:tr>
        <w:tblPrEx>
          <w:shd w:val="clear" w:color="auto" w:fill="auto"/>
          <w:tblCellMar>
            <w:top w:w="0" w:type="dxa"/>
            <w:left w:w="108" w:type="dxa"/>
            <w:bottom w:w="0" w:type="dxa"/>
            <w:right w:w="108" w:type="dxa"/>
          </w:tblCellMar>
        </w:tblPrEx>
        <w:trPr>
          <w:trHeight w:val="940"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52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服务质量合规率（5分）</w:t>
            </w: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服务质量合规率=（考核扣除费用金额/合同金额）×100%</w:t>
            </w:r>
          </w:p>
        </w:tc>
        <w:tc>
          <w:tcPr>
            <w:tcW w:w="282"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w:t>
            </w:r>
            <w:r>
              <w:rPr>
                <w:rFonts w:hint="eastAsia" w:cs="仿宋"/>
                <w:b/>
                <w:bCs/>
                <w:i w:val="0"/>
                <w:iCs w:val="0"/>
                <w:color w:val="000000"/>
                <w:kern w:val="0"/>
                <w:sz w:val="22"/>
                <w:szCs w:val="22"/>
                <w:u w:val="none"/>
                <w:lang w:val="en-US" w:eastAsia="zh-CN" w:bidi="ar"/>
              </w:rPr>
              <w:t>95</w:t>
            </w:r>
            <w:r>
              <w:rPr>
                <w:rFonts w:hint="eastAsia" w:ascii="仿宋" w:hAnsi="仿宋" w:eastAsia="仿宋" w:cs="仿宋"/>
                <w:b/>
                <w:bCs/>
                <w:i w:val="0"/>
                <w:iCs w:val="0"/>
                <w:color w:val="000000"/>
                <w:kern w:val="0"/>
                <w:sz w:val="22"/>
                <w:szCs w:val="22"/>
                <w:u w:val="none"/>
                <w:lang w:val="en-US" w:eastAsia="zh-CN" w:bidi="ar"/>
              </w:rPr>
              <w:t xml:space="preserve"> </w:t>
            </w:r>
          </w:p>
        </w:tc>
        <w:tc>
          <w:tcPr>
            <w:tcW w:w="124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合同总金额为2624.51万元，经考核后扣除费用金额为27.94万元，服务质量合规率为98.94%。</w:t>
            </w:r>
          </w:p>
        </w:tc>
      </w:tr>
      <w:tr>
        <w:tblPrEx>
          <w:shd w:val="clear" w:color="auto" w:fill="auto"/>
          <w:tblCellMar>
            <w:top w:w="0" w:type="dxa"/>
            <w:left w:w="108" w:type="dxa"/>
            <w:bottom w:w="0" w:type="dxa"/>
            <w:right w:w="108" w:type="dxa"/>
          </w:tblCellMar>
        </w:tblPrEx>
        <w:trPr>
          <w:trHeight w:val="900"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产出时效</w:t>
            </w:r>
          </w:p>
        </w:tc>
        <w:tc>
          <w:tcPr>
            <w:tcW w:w="52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highlight w:val="none"/>
                <w:u w:val="none"/>
              </w:rPr>
            </w:pPr>
            <w:r>
              <w:rPr>
                <w:rFonts w:hint="eastAsia" w:ascii="仿宋" w:hAnsi="仿宋" w:eastAsia="仿宋" w:cs="仿宋"/>
                <w:b/>
                <w:bCs/>
                <w:i w:val="0"/>
                <w:iCs w:val="0"/>
                <w:color w:val="000000"/>
                <w:kern w:val="0"/>
                <w:sz w:val="24"/>
                <w:szCs w:val="24"/>
                <w:highlight w:val="none"/>
                <w:u w:val="none"/>
                <w:lang w:val="en-US" w:eastAsia="zh-CN" w:bidi="ar"/>
              </w:rPr>
              <w:t>完成及时性（3分）</w:t>
            </w: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抽查3个乡镇30个村庄，根据垃圾清理不及时的村庄数量与抽查村庄总数量的比例计算得分。</w:t>
            </w:r>
          </w:p>
        </w:tc>
        <w:tc>
          <w:tcPr>
            <w:tcW w:w="282"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2"/>
                <w:szCs w:val="22"/>
                <w:highlight w:val="none"/>
                <w:u w:val="none"/>
              </w:rPr>
            </w:pPr>
            <w:r>
              <w:rPr>
                <w:rFonts w:hint="eastAsia" w:ascii="仿宋" w:hAnsi="仿宋" w:eastAsia="仿宋" w:cs="仿宋"/>
                <w:b/>
                <w:bCs/>
                <w:i w:val="0"/>
                <w:iCs w:val="0"/>
                <w:color w:val="000000"/>
                <w:kern w:val="0"/>
                <w:sz w:val="22"/>
                <w:szCs w:val="22"/>
                <w:highlight w:val="none"/>
                <w:u w:val="none"/>
                <w:lang w:val="en-US" w:eastAsia="zh-CN" w:bidi="ar"/>
              </w:rPr>
              <w:t xml:space="preserve">1.00 </w:t>
            </w:r>
          </w:p>
        </w:tc>
        <w:tc>
          <w:tcPr>
            <w:tcW w:w="124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2"/>
                <w:szCs w:val="22"/>
                <w:highlight w:val="none"/>
                <w:u w:val="none"/>
              </w:rPr>
            </w:pPr>
            <w:r>
              <w:rPr>
                <w:rFonts w:hint="eastAsia" w:ascii="仿宋" w:hAnsi="仿宋" w:eastAsia="仿宋" w:cs="仿宋"/>
                <w:i w:val="0"/>
                <w:iCs w:val="0"/>
                <w:color w:val="000000"/>
                <w:kern w:val="0"/>
                <w:sz w:val="22"/>
                <w:szCs w:val="22"/>
                <w:highlight w:val="none"/>
                <w:u w:val="none"/>
                <w:lang w:val="en-US" w:eastAsia="zh-CN" w:bidi="ar"/>
              </w:rPr>
              <w:t>30个村庄</w:t>
            </w:r>
            <w:r>
              <w:rPr>
                <w:rFonts w:hint="eastAsia" w:cs="仿宋"/>
                <w:i w:val="0"/>
                <w:iCs w:val="0"/>
                <w:color w:val="000000"/>
                <w:kern w:val="0"/>
                <w:sz w:val="22"/>
                <w:szCs w:val="22"/>
                <w:highlight w:val="none"/>
                <w:u w:val="none"/>
                <w:lang w:val="en-US" w:eastAsia="zh-CN" w:bidi="ar"/>
              </w:rPr>
              <w:t>中</w:t>
            </w:r>
            <w:r>
              <w:rPr>
                <w:rFonts w:hint="eastAsia" w:ascii="仿宋" w:hAnsi="仿宋" w:eastAsia="仿宋" w:cs="仿宋"/>
                <w:i w:val="0"/>
                <w:iCs w:val="0"/>
                <w:color w:val="000000"/>
                <w:kern w:val="0"/>
                <w:sz w:val="22"/>
                <w:szCs w:val="22"/>
                <w:highlight w:val="none"/>
                <w:u w:val="none"/>
                <w:lang w:val="en-US" w:eastAsia="zh-CN" w:bidi="ar"/>
              </w:rPr>
              <w:t>10个村庄存在垃圾清理不及时的问题。完成及时率33.33%。</w:t>
            </w:r>
          </w:p>
        </w:tc>
      </w:tr>
      <w:tr>
        <w:tblPrEx>
          <w:tblCellMar>
            <w:top w:w="0" w:type="dxa"/>
            <w:left w:w="108" w:type="dxa"/>
            <w:bottom w:w="0" w:type="dxa"/>
            <w:right w:w="108" w:type="dxa"/>
          </w:tblCellMar>
        </w:tblPrEx>
        <w:trPr>
          <w:trHeight w:val="900"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52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highlight w:val="none"/>
                <w:u w:val="none"/>
              </w:rPr>
            </w:pPr>
            <w:r>
              <w:rPr>
                <w:rFonts w:hint="eastAsia" w:ascii="仿宋" w:hAnsi="仿宋" w:eastAsia="仿宋" w:cs="仿宋"/>
                <w:b/>
                <w:bCs/>
                <w:i w:val="0"/>
                <w:iCs w:val="0"/>
                <w:color w:val="000000"/>
                <w:kern w:val="0"/>
                <w:sz w:val="24"/>
                <w:szCs w:val="24"/>
                <w:highlight w:val="none"/>
                <w:u w:val="none"/>
                <w:lang w:val="en-US" w:eastAsia="zh-CN" w:bidi="ar"/>
              </w:rPr>
              <w:t>按合同要求付款（</w:t>
            </w:r>
            <w:r>
              <w:rPr>
                <w:rFonts w:hint="eastAsia" w:cs="仿宋"/>
                <w:b/>
                <w:bCs/>
                <w:i w:val="0"/>
                <w:iCs w:val="0"/>
                <w:color w:val="000000"/>
                <w:kern w:val="0"/>
                <w:sz w:val="24"/>
                <w:szCs w:val="24"/>
                <w:highlight w:val="none"/>
                <w:u w:val="none"/>
                <w:lang w:val="en-US" w:eastAsia="zh-CN" w:bidi="ar"/>
              </w:rPr>
              <w:t>5</w:t>
            </w:r>
            <w:r>
              <w:rPr>
                <w:rFonts w:hint="eastAsia" w:ascii="仿宋" w:hAnsi="仿宋" w:eastAsia="仿宋" w:cs="仿宋"/>
                <w:b/>
                <w:bCs/>
                <w:i w:val="0"/>
                <w:iCs w:val="0"/>
                <w:color w:val="000000"/>
                <w:kern w:val="0"/>
                <w:sz w:val="24"/>
                <w:szCs w:val="24"/>
                <w:highlight w:val="none"/>
                <w:u w:val="none"/>
                <w:lang w:val="en-US" w:eastAsia="zh-CN" w:bidi="ar"/>
              </w:rPr>
              <w:t>分）</w:t>
            </w: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根据合同支付方式的要求，查看财务资料，是否按合同要求在每月10日前支付服务费用</w:t>
            </w:r>
          </w:p>
        </w:tc>
        <w:tc>
          <w:tcPr>
            <w:tcW w:w="282"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2"/>
                <w:szCs w:val="22"/>
                <w:highlight w:val="none"/>
                <w:u w:val="none"/>
              </w:rPr>
            </w:pPr>
            <w:r>
              <w:rPr>
                <w:rFonts w:hint="eastAsia" w:cs="仿宋"/>
                <w:b/>
                <w:bCs/>
                <w:i w:val="0"/>
                <w:iCs w:val="0"/>
                <w:color w:val="000000"/>
                <w:kern w:val="0"/>
                <w:sz w:val="22"/>
                <w:szCs w:val="22"/>
                <w:highlight w:val="none"/>
                <w:u w:val="none"/>
                <w:lang w:val="en-US" w:eastAsia="zh-CN" w:bidi="ar"/>
              </w:rPr>
              <w:t>3</w:t>
            </w:r>
            <w:r>
              <w:rPr>
                <w:rFonts w:hint="eastAsia" w:ascii="仿宋" w:hAnsi="仿宋" w:eastAsia="仿宋" w:cs="仿宋"/>
                <w:b/>
                <w:bCs/>
                <w:i w:val="0"/>
                <w:iCs w:val="0"/>
                <w:color w:val="000000"/>
                <w:kern w:val="0"/>
                <w:sz w:val="22"/>
                <w:szCs w:val="22"/>
                <w:highlight w:val="none"/>
                <w:u w:val="none"/>
                <w:lang w:val="en-US" w:eastAsia="zh-CN" w:bidi="ar"/>
              </w:rPr>
              <w:t xml:space="preserve">.00 </w:t>
            </w:r>
          </w:p>
        </w:tc>
        <w:tc>
          <w:tcPr>
            <w:tcW w:w="124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2"/>
                <w:szCs w:val="22"/>
                <w:highlight w:val="none"/>
                <w:u w:val="none"/>
              </w:rPr>
            </w:pPr>
            <w:r>
              <w:rPr>
                <w:rFonts w:hint="eastAsia" w:ascii="仿宋" w:hAnsi="仿宋" w:eastAsia="仿宋" w:cs="仿宋"/>
                <w:i w:val="0"/>
                <w:iCs w:val="0"/>
                <w:color w:val="000000"/>
                <w:kern w:val="0"/>
                <w:sz w:val="22"/>
                <w:szCs w:val="22"/>
                <w:highlight w:val="none"/>
                <w:u w:val="none"/>
                <w:lang w:val="en-US" w:eastAsia="zh-CN" w:bidi="ar"/>
              </w:rPr>
              <w:t>服务费用实际</w:t>
            </w:r>
            <w:r>
              <w:rPr>
                <w:rFonts w:hint="eastAsia" w:cs="仿宋"/>
                <w:i w:val="0"/>
                <w:iCs w:val="0"/>
                <w:color w:val="000000"/>
                <w:kern w:val="0"/>
                <w:sz w:val="22"/>
                <w:szCs w:val="22"/>
                <w:highlight w:val="none"/>
                <w:u w:val="none"/>
                <w:lang w:val="en-US" w:eastAsia="zh-CN" w:bidi="ar"/>
              </w:rPr>
              <w:t>均未按月</w:t>
            </w:r>
            <w:r>
              <w:rPr>
                <w:rFonts w:hint="eastAsia" w:ascii="仿宋" w:hAnsi="仿宋" w:eastAsia="仿宋" w:cs="仿宋"/>
                <w:i w:val="0"/>
                <w:iCs w:val="0"/>
                <w:color w:val="000000"/>
                <w:kern w:val="0"/>
                <w:sz w:val="22"/>
                <w:szCs w:val="22"/>
                <w:highlight w:val="none"/>
                <w:u w:val="none"/>
                <w:lang w:val="en-US" w:eastAsia="zh-CN" w:bidi="ar"/>
              </w:rPr>
              <w:t>付款，未按合同要求</w:t>
            </w:r>
            <w:r>
              <w:rPr>
                <w:rFonts w:hint="eastAsia" w:cs="仿宋"/>
                <w:i w:val="0"/>
                <w:iCs w:val="0"/>
                <w:color w:val="000000"/>
                <w:kern w:val="0"/>
                <w:sz w:val="22"/>
                <w:szCs w:val="22"/>
                <w:highlight w:val="none"/>
                <w:u w:val="none"/>
                <w:lang w:val="en-US" w:eastAsia="zh-CN" w:bidi="ar"/>
              </w:rPr>
              <w:t>付款</w:t>
            </w:r>
            <w:r>
              <w:rPr>
                <w:rFonts w:hint="eastAsia" w:ascii="仿宋" w:hAnsi="仿宋" w:eastAsia="仿宋" w:cs="仿宋"/>
                <w:i w:val="0"/>
                <w:iCs w:val="0"/>
                <w:color w:val="000000"/>
                <w:kern w:val="0"/>
                <w:sz w:val="22"/>
                <w:szCs w:val="22"/>
                <w:highlight w:val="none"/>
                <w:u w:val="none"/>
                <w:lang w:val="en-US" w:eastAsia="zh-CN" w:bidi="ar"/>
              </w:rPr>
              <w:t>方式付款。</w:t>
            </w:r>
          </w:p>
        </w:tc>
      </w:tr>
      <w:tr>
        <w:tblPrEx>
          <w:tblCellMar>
            <w:top w:w="0" w:type="dxa"/>
            <w:left w:w="108" w:type="dxa"/>
            <w:bottom w:w="0" w:type="dxa"/>
            <w:right w:w="108" w:type="dxa"/>
          </w:tblCellMar>
        </w:tblPrEx>
        <w:trPr>
          <w:trHeight w:val="920"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52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highlight w:val="none"/>
                <w:u w:val="none"/>
              </w:rPr>
            </w:pPr>
            <w:r>
              <w:rPr>
                <w:rFonts w:hint="eastAsia" w:ascii="仿宋" w:hAnsi="仿宋" w:eastAsia="仿宋" w:cs="仿宋"/>
                <w:b/>
                <w:bCs/>
                <w:i w:val="0"/>
                <w:iCs w:val="0"/>
                <w:color w:val="000000"/>
                <w:kern w:val="0"/>
                <w:sz w:val="24"/>
                <w:szCs w:val="24"/>
                <w:highlight w:val="none"/>
                <w:u w:val="none"/>
                <w:lang w:val="en-US" w:eastAsia="zh-CN" w:bidi="ar"/>
              </w:rPr>
              <w:t>及时发放清洁员工资（</w:t>
            </w:r>
            <w:r>
              <w:rPr>
                <w:rFonts w:hint="eastAsia" w:cs="仿宋"/>
                <w:b/>
                <w:bCs/>
                <w:i w:val="0"/>
                <w:iCs w:val="0"/>
                <w:color w:val="000000"/>
                <w:kern w:val="0"/>
                <w:sz w:val="24"/>
                <w:szCs w:val="24"/>
                <w:highlight w:val="none"/>
                <w:u w:val="none"/>
                <w:lang w:val="en-US" w:eastAsia="zh-CN" w:bidi="ar"/>
              </w:rPr>
              <w:t>2</w:t>
            </w:r>
            <w:r>
              <w:rPr>
                <w:rFonts w:hint="eastAsia" w:ascii="仿宋" w:hAnsi="仿宋" w:eastAsia="仿宋" w:cs="仿宋"/>
                <w:b/>
                <w:bCs/>
                <w:i w:val="0"/>
                <w:iCs w:val="0"/>
                <w:color w:val="000000"/>
                <w:kern w:val="0"/>
                <w:sz w:val="24"/>
                <w:szCs w:val="24"/>
                <w:highlight w:val="none"/>
                <w:u w:val="none"/>
                <w:lang w:val="en-US" w:eastAsia="zh-CN" w:bidi="ar"/>
              </w:rPr>
              <w:t>分）</w:t>
            </w: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查阅3家中标公司的成本费用，查看保洁员工资是否按月发放，是否存在拖欠发放的情况。</w:t>
            </w:r>
          </w:p>
        </w:tc>
        <w:tc>
          <w:tcPr>
            <w:tcW w:w="282"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2"/>
                <w:szCs w:val="22"/>
                <w:highlight w:val="none"/>
                <w:u w:val="none"/>
              </w:rPr>
            </w:pPr>
            <w:r>
              <w:rPr>
                <w:rFonts w:hint="eastAsia" w:ascii="仿宋" w:hAnsi="仿宋" w:eastAsia="仿宋" w:cs="仿宋"/>
                <w:b/>
                <w:bCs/>
                <w:i w:val="0"/>
                <w:iCs w:val="0"/>
                <w:color w:val="000000"/>
                <w:kern w:val="0"/>
                <w:sz w:val="22"/>
                <w:szCs w:val="22"/>
                <w:highlight w:val="none"/>
                <w:u w:val="none"/>
                <w:lang w:val="en-US" w:eastAsia="zh-CN" w:bidi="ar"/>
              </w:rPr>
              <w:t xml:space="preserve">0.00 </w:t>
            </w:r>
          </w:p>
        </w:tc>
        <w:tc>
          <w:tcPr>
            <w:tcW w:w="124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2"/>
                <w:szCs w:val="22"/>
                <w:highlight w:val="none"/>
                <w:u w:val="none"/>
              </w:rPr>
            </w:pPr>
            <w:r>
              <w:rPr>
                <w:rFonts w:hint="eastAsia" w:ascii="仿宋" w:hAnsi="仿宋" w:eastAsia="仿宋" w:cs="仿宋"/>
                <w:i w:val="0"/>
                <w:iCs w:val="0"/>
                <w:color w:val="000000"/>
                <w:kern w:val="0"/>
                <w:sz w:val="22"/>
                <w:szCs w:val="22"/>
                <w:highlight w:val="none"/>
                <w:u w:val="none"/>
                <w:lang w:val="en-US" w:eastAsia="zh-CN" w:bidi="ar"/>
              </w:rPr>
              <w:t>3家中标公司均未按月发放清洁员工资，同时均存在拖欠工资的情况。</w:t>
            </w:r>
          </w:p>
        </w:tc>
      </w:tr>
      <w:tr>
        <w:tblPrEx>
          <w:shd w:val="clear" w:color="auto" w:fill="auto"/>
          <w:tblCellMar>
            <w:top w:w="0" w:type="dxa"/>
            <w:left w:w="108" w:type="dxa"/>
            <w:bottom w:w="0" w:type="dxa"/>
            <w:right w:w="108" w:type="dxa"/>
          </w:tblCellMar>
        </w:tblPrEx>
        <w:trPr>
          <w:trHeight w:val="700"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产出成本</w:t>
            </w:r>
          </w:p>
        </w:tc>
        <w:tc>
          <w:tcPr>
            <w:tcW w:w="52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成本控制（5分）</w:t>
            </w: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合同金额不超</w:t>
            </w:r>
            <w:r>
              <w:rPr>
                <w:rFonts w:hint="eastAsia" w:cs="仿宋"/>
                <w:i w:val="0"/>
                <w:iCs w:val="0"/>
                <w:color w:val="000000"/>
                <w:kern w:val="0"/>
                <w:sz w:val="24"/>
                <w:szCs w:val="24"/>
                <w:u w:val="none"/>
                <w:lang w:val="en-US" w:eastAsia="zh-CN" w:bidi="ar"/>
              </w:rPr>
              <w:t>预算申请</w:t>
            </w:r>
            <w:r>
              <w:rPr>
                <w:rFonts w:hint="eastAsia" w:ascii="仿宋" w:hAnsi="仿宋" w:eastAsia="仿宋" w:cs="仿宋"/>
                <w:i w:val="0"/>
                <w:iCs w:val="0"/>
                <w:color w:val="000000"/>
                <w:kern w:val="0"/>
                <w:sz w:val="24"/>
                <w:szCs w:val="24"/>
                <w:u w:val="none"/>
                <w:lang w:val="en-US" w:eastAsia="zh-CN" w:bidi="ar"/>
              </w:rPr>
              <w:t>金额，按超出财政应承担的成本金额占预算资金的百分比赋分，以超出10%为零分计算，每个百分点扣减0.5分</w:t>
            </w:r>
          </w:p>
        </w:tc>
        <w:tc>
          <w:tcPr>
            <w:tcW w:w="282"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 xml:space="preserve">5.00 </w:t>
            </w:r>
          </w:p>
        </w:tc>
        <w:tc>
          <w:tcPr>
            <w:tcW w:w="1249" w:type="pct"/>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pageBreakBefore w:val="0"/>
              <w:widowControl/>
              <w:kinsoku/>
              <w:wordWrap/>
              <w:overflowPunct/>
              <w:topLinePunct w:val="0"/>
              <w:autoSpaceDE/>
              <w:autoSpaceDN/>
              <w:bidi w:val="0"/>
              <w:adjustRightInd/>
              <w:snapToGrid/>
              <w:spacing w:line="360" w:lineRule="exact"/>
              <w:ind w:firstLine="0" w:firstLineChars="0"/>
              <w:rPr>
                <w:rFonts w:hint="eastAsia" w:ascii="仿宋" w:hAnsi="仿宋" w:eastAsia="仿宋" w:cs="仿宋"/>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680"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52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中标企业利润率（5分）</w:t>
            </w: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企业利润率是否属于行业合理利润率范围内，若3家公司平均利润率超出8%，每个百分点扣0.5分</w:t>
            </w:r>
          </w:p>
        </w:tc>
        <w:tc>
          <w:tcPr>
            <w:tcW w:w="282"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default" w:ascii="仿宋" w:hAnsi="仿宋" w:eastAsia="仿宋" w:cs="仿宋"/>
                <w:b/>
                <w:bCs/>
                <w:i w:val="0"/>
                <w:iCs w:val="0"/>
                <w:color w:val="000000"/>
                <w:sz w:val="22"/>
                <w:szCs w:val="22"/>
                <w:u w:val="none"/>
                <w:lang w:val="en-US"/>
              </w:rPr>
            </w:pPr>
            <w:r>
              <w:rPr>
                <w:rFonts w:hint="eastAsia" w:cs="仿宋"/>
                <w:b/>
                <w:bCs/>
                <w:i w:val="0"/>
                <w:iCs w:val="0"/>
                <w:color w:val="000000"/>
                <w:kern w:val="0"/>
                <w:sz w:val="22"/>
                <w:szCs w:val="22"/>
                <w:u w:val="none"/>
                <w:lang w:val="en-US" w:eastAsia="zh-CN" w:bidi="ar"/>
              </w:rPr>
              <w:t>2.93</w:t>
            </w:r>
          </w:p>
        </w:tc>
        <w:tc>
          <w:tcPr>
            <w:tcW w:w="1249" w:type="pct"/>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pageBreakBefore w:val="0"/>
              <w:widowControl/>
              <w:kinsoku/>
              <w:wordWrap/>
              <w:overflowPunct/>
              <w:topLinePunct w:val="0"/>
              <w:autoSpaceDE/>
              <w:autoSpaceDN/>
              <w:bidi w:val="0"/>
              <w:adjustRightInd/>
              <w:snapToGrid/>
              <w:spacing w:line="360" w:lineRule="exact"/>
              <w:ind w:left="0" w:leftChars="0" w:firstLine="0" w:firstLineChars="0"/>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sz w:val="22"/>
                <w:szCs w:val="22"/>
                <w:u w:val="none"/>
              </w:rPr>
              <w:t>3家中标公司平均利润率为12.15%，高出行业合理利润率4.15%。</w:t>
            </w:r>
          </w:p>
        </w:tc>
      </w:tr>
      <w:tr>
        <w:tblPrEx>
          <w:shd w:val="clear" w:color="auto" w:fill="auto"/>
          <w:tblCellMar>
            <w:top w:w="0" w:type="dxa"/>
            <w:left w:w="108" w:type="dxa"/>
            <w:bottom w:w="0" w:type="dxa"/>
            <w:right w:w="108" w:type="dxa"/>
          </w:tblCellMar>
        </w:tblPrEx>
        <w:trPr>
          <w:trHeight w:val="1180" w:hRule="atLeast"/>
        </w:trPr>
        <w:tc>
          <w:tcPr>
            <w:tcW w:w="33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效益（20分）</w:t>
            </w:r>
          </w:p>
        </w:tc>
        <w:tc>
          <w:tcPr>
            <w:tcW w:w="28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项目效益</w:t>
            </w:r>
          </w:p>
        </w:tc>
        <w:tc>
          <w:tcPr>
            <w:tcW w:w="52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社会效益（10分）</w:t>
            </w: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垃圾清运项目是否改善了居民生活环境。满分10分。现场查看3个乡镇30个村庄，现场走访发现有一处不合格扣0.1分。</w:t>
            </w:r>
          </w:p>
        </w:tc>
        <w:tc>
          <w:tcPr>
            <w:tcW w:w="282"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 xml:space="preserve">7.00 </w:t>
            </w:r>
          </w:p>
        </w:tc>
        <w:tc>
          <w:tcPr>
            <w:tcW w:w="124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评级组走访30个村庄共扣3分，合骏公司、广拓公司、志程洁公司分别扣1.5分、0.9分、0.6分。</w:t>
            </w:r>
          </w:p>
        </w:tc>
      </w:tr>
      <w:tr>
        <w:tblPrEx>
          <w:shd w:val="clear" w:color="auto" w:fill="auto"/>
          <w:tblCellMar>
            <w:top w:w="0" w:type="dxa"/>
            <w:left w:w="108" w:type="dxa"/>
            <w:bottom w:w="0" w:type="dxa"/>
            <w:right w:w="108" w:type="dxa"/>
          </w:tblCellMar>
        </w:tblPrEx>
        <w:trPr>
          <w:trHeight w:val="760" w:hRule="atLeast"/>
        </w:trPr>
        <w:tc>
          <w:tcPr>
            <w:tcW w:w="33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28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b/>
                <w:bCs/>
                <w:i w:val="0"/>
                <w:iCs w:val="0"/>
                <w:color w:val="000000"/>
                <w:sz w:val="24"/>
                <w:szCs w:val="24"/>
                <w:u w:val="none"/>
              </w:rPr>
            </w:pPr>
          </w:p>
        </w:tc>
        <w:tc>
          <w:tcPr>
            <w:tcW w:w="52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生态效益（10分）</w:t>
            </w:r>
          </w:p>
        </w:tc>
        <w:tc>
          <w:tcPr>
            <w:tcW w:w="232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垃圾清运项目是否能够使居民生活环境得到长期有效的改善，满分10分，得到改善，得10分；基本得到改善，得6分，无明显改善，得3分。</w:t>
            </w:r>
          </w:p>
        </w:tc>
        <w:tc>
          <w:tcPr>
            <w:tcW w:w="282"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 xml:space="preserve">10.00 </w:t>
            </w:r>
          </w:p>
        </w:tc>
        <w:tc>
          <w:tcPr>
            <w:tcW w:w="124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rPr>
                <w:rFonts w:hint="eastAsia" w:ascii="仿宋" w:hAnsi="仿宋" w:eastAsia="仿宋" w:cs="仿宋"/>
                <w:i w:val="0"/>
                <w:iCs w:val="0"/>
                <w:color w:val="000000"/>
                <w:sz w:val="21"/>
                <w:szCs w:val="21"/>
                <w:u w:val="none"/>
              </w:rPr>
            </w:pPr>
          </w:p>
        </w:tc>
      </w:tr>
      <w:tr>
        <w:tblPrEx>
          <w:shd w:val="clear" w:color="auto" w:fill="auto"/>
          <w:tblCellMar>
            <w:top w:w="0" w:type="dxa"/>
            <w:left w:w="108" w:type="dxa"/>
            <w:bottom w:w="0" w:type="dxa"/>
            <w:right w:w="108" w:type="dxa"/>
          </w:tblCellMar>
        </w:tblPrEx>
        <w:trPr>
          <w:trHeight w:val="285" w:hRule="atLeast"/>
        </w:trPr>
        <w:tc>
          <w:tcPr>
            <w:tcW w:w="3467" w:type="pct"/>
            <w:gridSpan w:val="4"/>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bottom"/>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合计</w:t>
            </w:r>
          </w:p>
        </w:tc>
        <w:tc>
          <w:tcPr>
            <w:tcW w:w="282"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default" w:ascii="仿宋" w:hAnsi="仿宋" w:eastAsia="仿宋" w:cs="仿宋"/>
                <w:b/>
                <w:bCs/>
                <w:i w:val="0"/>
                <w:iCs w:val="0"/>
                <w:color w:val="000000"/>
                <w:sz w:val="22"/>
                <w:szCs w:val="22"/>
                <w:u w:val="none"/>
                <w:lang w:val="en-US"/>
              </w:rPr>
            </w:pPr>
            <w:r>
              <w:rPr>
                <w:rFonts w:hint="eastAsia" w:cs="仿宋"/>
                <w:b/>
                <w:bCs/>
                <w:i w:val="0"/>
                <w:iCs w:val="0"/>
                <w:color w:val="000000"/>
                <w:kern w:val="0"/>
                <w:sz w:val="22"/>
                <w:szCs w:val="22"/>
                <w:u w:val="none"/>
                <w:lang w:val="en-US" w:eastAsia="zh-CN" w:bidi="ar"/>
              </w:rPr>
              <w:t>80.81</w:t>
            </w:r>
          </w:p>
        </w:tc>
        <w:tc>
          <w:tcPr>
            <w:tcW w:w="1249" w:type="pct"/>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bottom"/>
              <w:rPr>
                <w:rFonts w:hint="default" w:ascii="仿宋" w:hAnsi="仿宋" w:eastAsia="仿宋" w:cs="仿宋"/>
                <w:b/>
                <w:bCs/>
                <w:i w:val="0"/>
                <w:iCs w:val="0"/>
                <w:color w:val="000000"/>
                <w:sz w:val="22"/>
                <w:szCs w:val="22"/>
                <w:u w:val="none"/>
                <w:lang w:val="en-US"/>
              </w:rPr>
            </w:pPr>
            <w:r>
              <w:rPr>
                <w:rFonts w:hint="eastAsia" w:ascii="仿宋" w:hAnsi="仿宋" w:eastAsia="仿宋" w:cs="仿宋"/>
                <w:b/>
                <w:bCs/>
                <w:i w:val="0"/>
                <w:iCs w:val="0"/>
                <w:color w:val="000000"/>
                <w:kern w:val="0"/>
                <w:sz w:val="22"/>
                <w:szCs w:val="22"/>
                <w:u w:val="none"/>
                <w:lang w:val="en-US" w:eastAsia="zh-CN" w:bidi="ar"/>
              </w:rPr>
              <w:t>评级：良</w:t>
            </w:r>
            <w:r>
              <w:rPr>
                <w:rFonts w:hint="eastAsia" w:cs="仿宋"/>
                <w:b/>
                <w:bCs/>
                <w:i w:val="0"/>
                <w:iCs w:val="0"/>
                <w:color w:val="000000"/>
                <w:kern w:val="0"/>
                <w:sz w:val="22"/>
                <w:szCs w:val="22"/>
                <w:u w:val="none"/>
                <w:lang w:val="en-US" w:eastAsia="zh-CN" w:bidi="ar"/>
              </w:rPr>
              <w:t>好</w:t>
            </w:r>
          </w:p>
        </w:tc>
      </w:tr>
    </w:tbl>
    <w:p>
      <w:pPr>
        <w:ind w:left="0" w:leftChars="0" w:firstLine="0" w:firstLineChars="0"/>
        <w:rPr>
          <w:rFonts w:ascii="仿宋_GB2312" w:hAnsi="仿宋_GB2312" w:eastAsia="仿宋_GB2312" w:cs="仿宋_GB2312"/>
          <w:sz w:val="32"/>
          <w:szCs w:val="32"/>
        </w:rPr>
        <w:sectPr>
          <w:footerReference r:id="rId5" w:type="default"/>
          <w:pgSz w:w="16838" w:h="11906" w:orient="landscape"/>
          <w:pgMar w:top="1803" w:right="1440" w:bottom="1803" w:left="1440" w:header="851" w:footer="992" w:gutter="0"/>
          <w:pgNumType w:start="1"/>
          <w:cols w:space="0" w:num="1"/>
          <w:docGrid w:type="lines" w:linePitch="319" w:charSpace="0"/>
        </w:sectPr>
      </w:pPr>
    </w:p>
    <w:p>
      <w:pPr>
        <w:ind w:left="0" w:leftChars="0" w:firstLine="0" w:firstLineChars="0"/>
        <w:jc w:val="left"/>
        <w:outlineLvl w:val="0"/>
        <w:rPr>
          <w:rFonts w:hint="eastAsia" w:ascii="仿宋_GB2312" w:hAnsi="仿宋_GB2312" w:eastAsia="仿宋_GB2312" w:cs="仿宋_GB2312"/>
          <w:color w:val="auto"/>
          <w:sz w:val="32"/>
          <w:szCs w:val="32"/>
          <w:lang w:val="en-US" w:eastAsia="zh-CN"/>
        </w:rPr>
      </w:pPr>
      <w:bookmarkStart w:id="80" w:name="_Toc29630"/>
      <w:bookmarkStart w:id="81" w:name="_Toc9896"/>
      <w:r>
        <w:rPr>
          <w:rFonts w:hint="eastAsia" w:ascii="仿宋_GB2312" w:hAnsi="仿宋_GB2312" w:eastAsia="仿宋_GB2312" w:cs="仿宋_GB2312"/>
          <w:color w:val="auto"/>
          <w:sz w:val="32"/>
          <w:szCs w:val="32"/>
          <w:lang w:val="en-US" w:eastAsia="zh-CN"/>
        </w:rPr>
        <w:t>附件2</w:t>
      </w:r>
      <w:bookmarkEnd w:id="80"/>
      <w:bookmarkEnd w:id="81"/>
    </w:p>
    <w:p>
      <w:pPr>
        <w:ind w:left="0" w:leftChars="0" w:firstLine="0" w:firstLineChars="0"/>
        <w:jc w:val="center"/>
        <w:rPr>
          <w:rFonts w:hint="eastAsia" w:cs="仿宋_GB2312"/>
          <w:b/>
          <w:bCs/>
          <w:sz w:val="32"/>
          <w:szCs w:val="32"/>
          <w:highlight w:val="green"/>
          <w:lang w:val="en-US" w:eastAsia="zh-CN"/>
        </w:rPr>
      </w:pPr>
      <w:r>
        <w:rPr>
          <w:rFonts w:hint="eastAsia" w:cs="仿宋_GB2312"/>
          <w:b/>
          <w:bCs/>
          <w:sz w:val="32"/>
          <w:szCs w:val="32"/>
          <w:highlight w:val="none"/>
          <w:lang w:val="en-US" w:eastAsia="zh-CN"/>
        </w:rPr>
        <w:t>无极县垃圾清运项目现场情况表</w:t>
      </w:r>
    </w:p>
    <w:tbl>
      <w:tblPr>
        <w:tblStyle w:val="9"/>
        <w:tblW w:w="5000" w:type="pct"/>
        <w:tblInd w:w="0" w:type="dxa"/>
        <w:shd w:val="clear" w:color="auto" w:fill="auto"/>
        <w:tblLayout w:type="fixed"/>
        <w:tblCellMar>
          <w:top w:w="0" w:type="dxa"/>
          <w:left w:w="108" w:type="dxa"/>
          <w:bottom w:w="0" w:type="dxa"/>
          <w:right w:w="108" w:type="dxa"/>
        </w:tblCellMar>
      </w:tblPr>
      <w:tblGrid>
        <w:gridCol w:w="1201"/>
        <w:gridCol w:w="769"/>
        <w:gridCol w:w="1237"/>
        <w:gridCol w:w="1500"/>
        <w:gridCol w:w="1763"/>
        <w:gridCol w:w="6661"/>
        <w:gridCol w:w="1044"/>
      </w:tblGrid>
      <w:tr>
        <w:tblPrEx>
          <w:shd w:val="clear" w:color="auto" w:fill="auto"/>
          <w:tblCellMar>
            <w:top w:w="0" w:type="dxa"/>
            <w:left w:w="108" w:type="dxa"/>
            <w:bottom w:w="0" w:type="dxa"/>
            <w:right w:w="108" w:type="dxa"/>
          </w:tblCellMar>
        </w:tblPrEx>
        <w:trPr>
          <w:trHeight w:val="23" w:hRule="atLeast"/>
          <w:tblHeader/>
        </w:trPr>
        <w:tc>
          <w:tcPr>
            <w:tcW w:w="423"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现场日期</w:t>
            </w: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序号</w:t>
            </w:r>
          </w:p>
        </w:tc>
        <w:tc>
          <w:tcPr>
            <w:tcW w:w="436"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负责</w:t>
            </w:r>
            <w:r>
              <w:rPr>
                <w:rFonts w:hint="eastAsia" w:cs="仿宋"/>
                <w:b/>
                <w:bCs/>
                <w:i w:val="0"/>
                <w:iCs w:val="0"/>
                <w:color w:val="000000"/>
                <w:kern w:val="0"/>
                <w:sz w:val="24"/>
                <w:szCs w:val="24"/>
                <w:u w:val="none"/>
                <w:lang w:val="en-US" w:eastAsia="zh-CN" w:bidi="ar"/>
              </w:rPr>
              <w:t>公司</w:t>
            </w:r>
          </w:p>
        </w:tc>
        <w:tc>
          <w:tcPr>
            <w:tcW w:w="529"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乡镇</w:t>
            </w: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村庄</w:t>
            </w:r>
          </w:p>
        </w:tc>
        <w:tc>
          <w:tcPr>
            <w:tcW w:w="234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现场情况</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扣分</w:t>
            </w:r>
          </w:p>
        </w:tc>
      </w:tr>
      <w:tr>
        <w:tblPrEx>
          <w:shd w:val="clear" w:color="auto" w:fill="auto"/>
          <w:tblCellMar>
            <w:top w:w="0" w:type="dxa"/>
            <w:left w:w="108" w:type="dxa"/>
            <w:bottom w:w="0" w:type="dxa"/>
            <w:right w:w="108" w:type="dxa"/>
          </w:tblCellMar>
        </w:tblPrEx>
        <w:trPr>
          <w:trHeight w:val="23" w:hRule="atLeast"/>
        </w:trPr>
        <w:tc>
          <w:tcPr>
            <w:tcW w:w="423"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10.8</w:t>
            </w: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436"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合骏</w:t>
            </w:r>
          </w:p>
        </w:tc>
        <w:tc>
          <w:tcPr>
            <w:tcW w:w="529"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default"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七汲</w:t>
            </w:r>
            <w:r>
              <w:rPr>
                <w:rFonts w:hint="eastAsia" w:cs="仿宋"/>
                <w:i w:val="0"/>
                <w:iCs w:val="0"/>
                <w:color w:val="000000"/>
                <w:kern w:val="0"/>
                <w:sz w:val="24"/>
                <w:szCs w:val="24"/>
                <w:u w:val="none"/>
                <w:lang w:val="en-US" w:eastAsia="zh-CN" w:bidi="ar"/>
              </w:rPr>
              <w:t>镇</w:t>
            </w: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西七汲村</w:t>
            </w:r>
          </w:p>
        </w:tc>
        <w:tc>
          <w:tcPr>
            <w:tcW w:w="234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地面不整洁，垃圾清运不及时，垃圾桶少</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0.30 </w:t>
            </w: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 东七汲村</w:t>
            </w:r>
          </w:p>
        </w:tc>
        <w:tc>
          <w:tcPr>
            <w:tcW w:w="2349"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地面整洁，保洁工具较少</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0.10 </w:t>
            </w: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西汉村</w:t>
            </w:r>
          </w:p>
        </w:tc>
        <w:tc>
          <w:tcPr>
            <w:tcW w:w="234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地面整洁，垃圾清运不及时，垃圾桶少</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0.20 </w:t>
            </w: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西庄村</w:t>
            </w:r>
          </w:p>
        </w:tc>
        <w:tc>
          <w:tcPr>
            <w:tcW w:w="234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保洁员未穿工作服，垃圾清运不及时，保洁工具少</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0.30 </w:t>
            </w: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东汉村</w:t>
            </w:r>
          </w:p>
        </w:tc>
        <w:tc>
          <w:tcPr>
            <w:tcW w:w="234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地面不整洁，垃圾清运不及时，垃圾桶少</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0.30 </w:t>
            </w: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西流村</w:t>
            </w:r>
          </w:p>
        </w:tc>
        <w:tc>
          <w:tcPr>
            <w:tcW w:w="2349"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干净</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东流村</w:t>
            </w:r>
          </w:p>
        </w:tc>
        <w:tc>
          <w:tcPr>
            <w:tcW w:w="2349"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干净</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西小镇村</w:t>
            </w:r>
          </w:p>
        </w:tc>
        <w:tc>
          <w:tcPr>
            <w:tcW w:w="2349"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路面清扫不干净</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0.10 </w:t>
            </w: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东小镇村</w:t>
            </w:r>
          </w:p>
        </w:tc>
        <w:tc>
          <w:tcPr>
            <w:tcW w:w="2349"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干净</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杨村</w:t>
            </w:r>
          </w:p>
        </w:tc>
        <w:tc>
          <w:tcPr>
            <w:tcW w:w="2349"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垃圾桶少，垃圾清运不及时</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0.20 </w:t>
            </w:r>
          </w:p>
        </w:tc>
      </w:tr>
      <w:tr>
        <w:tblPrEx>
          <w:shd w:val="clear" w:color="auto" w:fill="auto"/>
          <w:tblCellMar>
            <w:top w:w="0" w:type="dxa"/>
            <w:left w:w="108" w:type="dxa"/>
            <w:bottom w:w="0" w:type="dxa"/>
            <w:right w:w="108" w:type="dxa"/>
          </w:tblCellMar>
        </w:tblPrEx>
        <w:trPr>
          <w:trHeight w:val="23" w:hRule="atLeast"/>
        </w:trPr>
        <w:tc>
          <w:tcPr>
            <w:tcW w:w="423"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10.9</w:t>
            </w: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w:t>
            </w:r>
          </w:p>
        </w:tc>
        <w:tc>
          <w:tcPr>
            <w:tcW w:w="436"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广拓</w:t>
            </w:r>
          </w:p>
        </w:tc>
        <w:tc>
          <w:tcPr>
            <w:tcW w:w="529"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default"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郭庄</w:t>
            </w:r>
            <w:r>
              <w:rPr>
                <w:rFonts w:hint="eastAsia" w:cs="仿宋"/>
                <w:i w:val="0"/>
                <w:iCs w:val="0"/>
                <w:color w:val="000000"/>
                <w:kern w:val="0"/>
                <w:sz w:val="24"/>
                <w:szCs w:val="24"/>
                <w:u w:val="none"/>
                <w:lang w:val="en-US" w:eastAsia="zh-CN" w:bidi="ar"/>
              </w:rPr>
              <w:t>镇</w:t>
            </w: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前北焦村</w:t>
            </w:r>
          </w:p>
        </w:tc>
        <w:tc>
          <w:tcPr>
            <w:tcW w:w="234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垃圾桶干净，有小街垃圾桶少</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0.10 </w:t>
            </w: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12</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西李家庄村</w:t>
            </w:r>
          </w:p>
        </w:tc>
        <w:tc>
          <w:tcPr>
            <w:tcW w:w="234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垃圾清运不及时，垃圾桶少，路面干净</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0.20 </w:t>
            </w: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13</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穆家庄村</w:t>
            </w:r>
          </w:p>
        </w:tc>
        <w:tc>
          <w:tcPr>
            <w:tcW w:w="234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垃圾清运不及时，垃圾桶少，路面干净</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0.20 </w:t>
            </w: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14</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后北焦村</w:t>
            </w:r>
          </w:p>
        </w:tc>
        <w:tc>
          <w:tcPr>
            <w:tcW w:w="234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垃圾清运不及时，路面相对干净</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0.10 </w:t>
            </w: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15</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马村</w:t>
            </w:r>
          </w:p>
        </w:tc>
        <w:tc>
          <w:tcPr>
            <w:tcW w:w="234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干净</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16</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郭庄村</w:t>
            </w:r>
          </w:p>
        </w:tc>
        <w:tc>
          <w:tcPr>
            <w:tcW w:w="234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垃圾清运不及时，路面有垃圾</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0.20 </w:t>
            </w: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17</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崔家庄村</w:t>
            </w:r>
          </w:p>
        </w:tc>
        <w:tc>
          <w:tcPr>
            <w:tcW w:w="234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干净，司机未穿工作服</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0.10 </w:t>
            </w: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户台营村</w:t>
            </w:r>
          </w:p>
        </w:tc>
        <w:tc>
          <w:tcPr>
            <w:tcW w:w="234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村内无垃圾桶，集中存放，干净</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19</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西牛村</w:t>
            </w:r>
          </w:p>
        </w:tc>
        <w:tc>
          <w:tcPr>
            <w:tcW w:w="234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村内无垃圾桶，集中存放，干净</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东牛村</w:t>
            </w:r>
          </w:p>
        </w:tc>
        <w:tc>
          <w:tcPr>
            <w:tcW w:w="234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干净</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r>
      <w:tr>
        <w:tblPrEx>
          <w:shd w:val="clear" w:color="auto" w:fill="auto"/>
          <w:tblCellMar>
            <w:top w:w="0" w:type="dxa"/>
            <w:left w:w="108" w:type="dxa"/>
            <w:bottom w:w="0" w:type="dxa"/>
            <w:right w:w="108" w:type="dxa"/>
          </w:tblCellMar>
        </w:tblPrEx>
        <w:trPr>
          <w:trHeight w:val="23" w:hRule="atLeast"/>
        </w:trPr>
        <w:tc>
          <w:tcPr>
            <w:tcW w:w="423"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10.11</w:t>
            </w: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21</w:t>
            </w:r>
          </w:p>
        </w:tc>
        <w:tc>
          <w:tcPr>
            <w:tcW w:w="436"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志程洁</w:t>
            </w:r>
          </w:p>
        </w:tc>
        <w:tc>
          <w:tcPr>
            <w:tcW w:w="529"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default" w:ascii="仿宋" w:hAnsi="仿宋" w:eastAsia="仿宋" w:cs="仿宋"/>
                <w:i w:val="0"/>
                <w:iCs w:val="0"/>
                <w:color w:val="000000"/>
                <w:sz w:val="24"/>
                <w:szCs w:val="24"/>
                <w:u w:val="none"/>
                <w:lang w:val="en-US"/>
              </w:rPr>
            </w:pPr>
            <w:r>
              <w:rPr>
                <w:rFonts w:hint="eastAsia" w:cs="仿宋"/>
                <w:i w:val="0"/>
                <w:iCs w:val="0"/>
                <w:color w:val="000000"/>
                <w:kern w:val="0"/>
                <w:sz w:val="24"/>
                <w:szCs w:val="24"/>
                <w:u w:val="none"/>
                <w:lang w:val="en-US" w:eastAsia="zh-CN" w:bidi="ar"/>
              </w:rPr>
              <w:t>东侯坊乡</w:t>
            </w: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甄村</w:t>
            </w:r>
          </w:p>
        </w:tc>
        <w:tc>
          <w:tcPr>
            <w:tcW w:w="2349"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有部分垃圾桶未清运，路面干净</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0.10 </w:t>
            </w: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22</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南侯坊村</w:t>
            </w:r>
          </w:p>
        </w:tc>
        <w:tc>
          <w:tcPr>
            <w:tcW w:w="2349"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干净</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23</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南朱村</w:t>
            </w:r>
          </w:p>
        </w:tc>
        <w:tc>
          <w:tcPr>
            <w:tcW w:w="2349"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干净</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24</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北朱村</w:t>
            </w:r>
          </w:p>
        </w:tc>
        <w:tc>
          <w:tcPr>
            <w:tcW w:w="2349"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路面有垃圾，垃圾桶干净</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0.10 </w:t>
            </w: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25</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马古庄村</w:t>
            </w:r>
          </w:p>
        </w:tc>
        <w:tc>
          <w:tcPr>
            <w:tcW w:w="2349"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垃圾桶未清运，路面干净</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0.10 </w:t>
            </w: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26</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北马村</w:t>
            </w:r>
          </w:p>
        </w:tc>
        <w:tc>
          <w:tcPr>
            <w:tcW w:w="2349"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干净</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27</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西马村</w:t>
            </w:r>
          </w:p>
        </w:tc>
        <w:tc>
          <w:tcPr>
            <w:tcW w:w="2349"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路面干净，垃圾桶部分干净</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0.10 </w:t>
            </w: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28</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东马村</w:t>
            </w:r>
          </w:p>
        </w:tc>
        <w:tc>
          <w:tcPr>
            <w:tcW w:w="2349"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干净，垃圾桶部分干净</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0.10 </w:t>
            </w: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29</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东丰庄村</w:t>
            </w:r>
          </w:p>
        </w:tc>
        <w:tc>
          <w:tcPr>
            <w:tcW w:w="2349"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干净</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left"/>
              <w:rPr>
                <w:rFonts w:hint="eastAsia" w:ascii="仿宋" w:hAnsi="仿宋" w:eastAsia="仿宋" w:cs="仿宋"/>
                <w:i w:val="0"/>
                <w:iCs w:val="0"/>
                <w:color w:val="000000"/>
                <w:sz w:val="24"/>
                <w:szCs w:val="24"/>
                <w:u w:val="none"/>
              </w:rPr>
            </w:pPr>
          </w:p>
        </w:tc>
      </w:tr>
      <w:tr>
        <w:tblPrEx>
          <w:shd w:val="clear" w:color="auto" w:fill="auto"/>
          <w:tblCellMar>
            <w:top w:w="0" w:type="dxa"/>
            <w:left w:w="108" w:type="dxa"/>
            <w:bottom w:w="0" w:type="dxa"/>
            <w:right w:w="108" w:type="dxa"/>
          </w:tblCellMar>
        </w:tblPrEx>
        <w:trPr>
          <w:trHeight w:val="23" w:hRule="atLeast"/>
        </w:trPr>
        <w:tc>
          <w:tcPr>
            <w:tcW w:w="42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271"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w:t>
            </w:r>
          </w:p>
        </w:tc>
        <w:tc>
          <w:tcPr>
            <w:tcW w:w="43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529"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60" w:lineRule="exact"/>
              <w:ind w:firstLine="0" w:firstLineChars="0"/>
              <w:jc w:val="center"/>
              <w:rPr>
                <w:rFonts w:hint="eastAsia" w:ascii="仿宋" w:hAnsi="仿宋" w:eastAsia="仿宋" w:cs="仿宋"/>
                <w:i w:val="0"/>
                <w:iCs w:val="0"/>
                <w:color w:val="000000"/>
                <w:sz w:val="24"/>
                <w:szCs w:val="24"/>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东丰村</w:t>
            </w:r>
          </w:p>
        </w:tc>
        <w:tc>
          <w:tcPr>
            <w:tcW w:w="2349"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路面有垃圾</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 xml:space="preserve">0.10 </w:t>
            </w:r>
          </w:p>
        </w:tc>
      </w:tr>
      <w:tr>
        <w:tblPrEx>
          <w:shd w:val="clear" w:color="auto" w:fill="auto"/>
          <w:tblCellMar>
            <w:top w:w="0" w:type="dxa"/>
            <w:left w:w="108" w:type="dxa"/>
            <w:bottom w:w="0" w:type="dxa"/>
            <w:right w:w="108" w:type="dxa"/>
          </w:tblCellMar>
        </w:tblPrEx>
        <w:trPr>
          <w:trHeight w:val="23" w:hRule="atLeast"/>
        </w:trPr>
        <w:tc>
          <w:tcPr>
            <w:tcW w:w="4631" w:type="pct"/>
            <w:gridSpan w:val="6"/>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合计</w:t>
            </w:r>
          </w:p>
        </w:tc>
        <w:tc>
          <w:tcPr>
            <w:tcW w:w="368"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 xml:space="preserve">3.00 </w:t>
            </w:r>
          </w:p>
        </w:tc>
      </w:tr>
    </w:tbl>
    <w:p>
      <w:pPr>
        <w:pStyle w:val="2"/>
        <w:ind w:left="0" w:leftChars="0" w:firstLine="0" w:firstLineChars="0"/>
        <w:outlineLvl w:val="9"/>
      </w:pPr>
    </w:p>
    <w:p/>
    <w:sectPr>
      <w:pgSz w:w="16838" w:h="11906" w:orient="landscape"/>
      <w:pgMar w:top="1803" w:right="1440" w:bottom="1803" w:left="1440" w:header="851" w:footer="992" w:gutter="0"/>
      <w:pgNumType w:start="1"/>
      <w:cols w:space="0" w:num="1"/>
      <w:docGrid w:type="lines" w:linePitch="31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1A04AE"/>
    <w:rsid w:val="0EB71870"/>
    <w:rsid w:val="1C9B4931"/>
    <w:rsid w:val="2D9F0039"/>
    <w:rsid w:val="41AE741D"/>
    <w:rsid w:val="783F5459"/>
    <w:rsid w:val="78F44186"/>
    <w:rsid w:val="7F3036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600" w:lineRule="exact"/>
      <w:ind w:firstLine="880" w:firstLineChars="200"/>
      <w:jc w:val="both"/>
    </w:pPr>
    <w:rPr>
      <w:rFonts w:ascii="仿宋" w:hAnsi="仿宋" w:eastAsia="仿宋" w:cstheme="minorBidi"/>
      <w:kern w:val="2"/>
      <w:sz w:val="32"/>
      <w:szCs w:val="24"/>
      <w:lang w:val="en-US" w:eastAsia="zh-CN" w:bidi="ar-SA"/>
    </w:rPr>
  </w:style>
  <w:style w:type="paragraph" w:styleId="3">
    <w:name w:val="heading 1"/>
    <w:basedOn w:val="1"/>
    <w:next w:val="1"/>
    <w:qFormat/>
    <w:uiPriority w:val="0"/>
    <w:pPr>
      <w:keepNext/>
      <w:keepLines/>
      <w:spacing w:beforeLines="0" w:beforeAutospacing="0" w:afterLines="0" w:afterAutospacing="0" w:line="600" w:lineRule="exact"/>
      <w:ind w:firstLine="880" w:firstLineChars="200"/>
      <w:outlineLvl w:val="0"/>
    </w:pPr>
    <w:rPr>
      <w:rFonts w:ascii="黑体" w:hAnsi="黑体" w:eastAsia="黑体"/>
      <w:kern w:val="44"/>
      <w:sz w:val="32"/>
    </w:rPr>
  </w:style>
  <w:style w:type="paragraph" w:styleId="4">
    <w:name w:val="heading 2"/>
    <w:basedOn w:val="1"/>
    <w:next w:val="1"/>
    <w:unhideWhenUsed/>
    <w:qFormat/>
    <w:uiPriority w:val="0"/>
    <w:pPr>
      <w:keepNext/>
      <w:keepLines/>
      <w:spacing w:beforeLines="0" w:beforeAutospacing="0" w:afterLines="0" w:afterAutospacing="0" w:line="600" w:lineRule="exact"/>
      <w:ind w:firstLine="880" w:firstLineChars="200"/>
      <w:outlineLvl w:val="1"/>
    </w:pPr>
    <w:rPr>
      <w:rFonts w:ascii="楷体" w:hAnsi="楷体" w:eastAsia="楷体"/>
    </w:rPr>
  </w:style>
  <w:style w:type="paragraph" w:styleId="5">
    <w:name w:val="heading 3"/>
    <w:basedOn w:val="1"/>
    <w:next w:val="1"/>
    <w:unhideWhenUsed/>
    <w:qFormat/>
    <w:uiPriority w:val="0"/>
    <w:pPr>
      <w:keepNext/>
      <w:keepLines/>
      <w:spacing w:beforeLines="0" w:beforeAutospacing="0" w:afterLines="0" w:afterAutospacing="0" w:line="600" w:lineRule="exact"/>
      <w:outlineLvl w:val="2"/>
    </w:pPr>
    <w:rPr>
      <w:rFonts w:ascii="仿宋" w:hAnsi="仿宋"/>
      <w:b/>
    </w:rPr>
  </w:style>
  <w:style w:type="paragraph" w:styleId="2">
    <w:name w:val="heading 6"/>
    <w:basedOn w:val="1"/>
    <w:next w:val="1"/>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6">
    <w:name w:val="Normal Indent"/>
    <w:basedOn w:val="1"/>
    <w:unhideWhenUsed/>
    <w:qFormat/>
    <w:uiPriority w:val="0"/>
    <w:pPr>
      <w:ind w:firstLine="420" w:firstLineChars="200"/>
    </w:p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11">
    <w:name w:val="正文缩进1"/>
    <w:basedOn w:val="1"/>
    <w:qFormat/>
    <w:uiPriority w:val="0"/>
    <w:pPr>
      <w:ind w:firstLine="420" w:firstLineChars="200"/>
    </w:pPr>
  </w:style>
  <w:style w:type="paragraph" w:customStyle="1" w:styleId="12">
    <w:name w:val="Normal Indent"/>
    <w:basedOn w:val="1"/>
    <w:qFormat/>
    <w:uiPriority w:val="0"/>
    <w:pPr>
      <w:ind w:firstLine="420" w:firstLineChars="200"/>
    </w:pPr>
  </w:style>
  <w:style w:type="paragraph" w:customStyle="1" w:styleId="13">
    <w:name w:val="Normal Indent1"/>
    <w:basedOn w:val="1"/>
    <w:qFormat/>
    <w:uiPriority w:val="0"/>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浮生</cp:lastModifiedBy>
  <dcterms:modified xsi:type="dcterms:W3CDTF">2024-09-09T09:02:25Z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7D29657496CD438088511A43327506F4</vt:lpwstr>
  </property>
</Properties>
</file>