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仿宋" w:hAnsi="仿宋" w:eastAsia="仿宋" w:cs="仿宋"/>
          <w:sz w:val="44"/>
          <w:szCs w:val="44"/>
        </w:rPr>
      </w:pPr>
      <w:r>
        <w:rPr>
          <w:rFonts w:hint="eastAsia" w:ascii="仿宋" w:hAnsi="仿宋" w:eastAsia="仿宋" w:cs="仿宋"/>
          <w:sz w:val="44"/>
          <w:szCs w:val="44"/>
        </w:rPr>
        <w:drawing>
          <wp:anchor distT="0" distB="0" distL="114300" distR="114300" simplePos="0" relativeHeight="251659264" behindDoc="1" locked="0" layoutInCell="1" allowOverlap="1">
            <wp:simplePos x="0" y="0"/>
            <wp:positionH relativeFrom="column">
              <wp:posOffset>-444500</wp:posOffset>
            </wp:positionH>
            <wp:positionV relativeFrom="page">
              <wp:posOffset>849630</wp:posOffset>
            </wp:positionV>
            <wp:extent cx="1329055" cy="1324610"/>
            <wp:effectExtent l="0" t="0" r="0" b="8255"/>
            <wp:wrapTight wrapText="bothSides">
              <wp:wrapPolygon>
                <wp:start x="8669" y="932"/>
                <wp:lineTo x="6502" y="1243"/>
                <wp:lineTo x="1238" y="4970"/>
                <wp:lineTo x="0" y="10872"/>
                <wp:lineTo x="1238" y="15843"/>
                <wp:lineTo x="1238" y="17085"/>
                <wp:lineTo x="6811" y="20813"/>
                <wp:lineTo x="8669" y="21434"/>
                <wp:lineTo x="12384" y="21434"/>
                <wp:lineTo x="14242" y="20813"/>
                <wp:lineTo x="19505" y="17085"/>
                <wp:lineTo x="19505" y="15843"/>
                <wp:lineTo x="21053" y="10872"/>
                <wp:lineTo x="19815" y="4970"/>
                <wp:lineTo x="14242" y="1243"/>
                <wp:lineTo x="12075" y="932"/>
                <wp:lineTo x="8669" y="932"/>
              </wp:wrapPolygon>
            </wp:wrapTight>
            <wp:docPr id="2" name="图片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ogo"/>
                    <pic:cNvPicPr>
                      <a:picLocks noChangeAspect="1"/>
                    </pic:cNvPicPr>
                  </pic:nvPicPr>
                  <pic:blipFill>
                    <a:blip r:embed="rId7"/>
                    <a:stretch>
                      <a:fillRect/>
                    </a:stretch>
                  </pic:blipFill>
                  <pic:spPr>
                    <a:xfrm>
                      <a:off x="0" y="0"/>
                      <a:ext cx="1329055" cy="1324610"/>
                    </a:xfrm>
                    <a:prstGeom prst="rect">
                      <a:avLst/>
                    </a:prstGeom>
                  </pic:spPr>
                </pic:pic>
              </a:graphicData>
            </a:graphic>
          </wp:anchor>
        </w:drawing>
      </w:r>
    </w:p>
    <w:p>
      <w:pPr>
        <w:spacing w:line="360" w:lineRule="auto"/>
        <w:rPr>
          <w:rFonts w:ascii="仿宋" w:hAnsi="仿宋" w:eastAsia="仿宋" w:cs="仿宋"/>
          <w:b/>
          <w:bCs/>
          <w:sz w:val="52"/>
          <w:szCs w:val="52"/>
        </w:rPr>
      </w:pPr>
    </w:p>
    <w:p>
      <w:pPr>
        <w:pStyle w:val="2"/>
        <w:jc w:val="both"/>
      </w:pPr>
    </w:p>
    <w:p>
      <w:pPr>
        <w:spacing w:line="360" w:lineRule="auto"/>
        <w:rPr>
          <w:rFonts w:ascii="楷体" w:hAnsi="楷体" w:eastAsia="楷体" w:cs="楷体"/>
          <w:b/>
          <w:bCs/>
          <w:sz w:val="44"/>
          <w:szCs w:val="44"/>
        </w:rPr>
      </w:pPr>
    </w:p>
    <w:p>
      <w:pPr>
        <w:spacing w:line="360" w:lineRule="auto"/>
        <w:rPr>
          <w:rFonts w:ascii="楷体" w:hAnsi="楷体" w:eastAsia="楷体" w:cs="楷体"/>
          <w:b/>
          <w:bCs/>
          <w:sz w:val="44"/>
          <w:szCs w:val="44"/>
        </w:rPr>
      </w:pPr>
      <w:r>
        <w:rPr>
          <w:rFonts w:hint="eastAsia" w:ascii="楷体" w:hAnsi="楷体" w:eastAsia="楷体" w:cs="楷体"/>
          <w:b/>
          <w:bCs/>
          <w:sz w:val="44"/>
          <w:szCs w:val="44"/>
        </w:rPr>
        <w:t>无极县皮革后整产业园市政道路工程项目</w:t>
      </w:r>
    </w:p>
    <w:p>
      <w:pPr>
        <w:spacing w:line="360" w:lineRule="auto"/>
        <w:jc w:val="center"/>
        <w:rPr>
          <w:rFonts w:asciiTheme="majorEastAsia" w:hAnsiTheme="majorEastAsia" w:eastAsiaTheme="majorEastAsia" w:cstheme="majorEastAsia"/>
          <w:b/>
          <w:bCs/>
          <w:sz w:val="52"/>
          <w:szCs w:val="52"/>
        </w:rPr>
      </w:pPr>
      <w:r>
        <w:rPr>
          <w:rFonts w:hint="eastAsia" w:ascii="黑体" w:hAnsi="黑体" w:eastAsia="黑体" w:cs="黑体"/>
          <w:b/>
          <w:bCs/>
          <w:sz w:val="72"/>
          <w:szCs w:val="72"/>
        </w:rPr>
        <w:t>绩效评价报告</w:t>
      </w:r>
    </w:p>
    <w:p>
      <w:pPr>
        <w:spacing w:line="360" w:lineRule="auto"/>
        <w:rPr>
          <w:rFonts w:ascii="仿宋" w:hAnsi="仿宋" w:eastAsia="仿宋" w:cs="仿宋"/>
          <w:b/>
          <w:bCs/>
          <w:sz w:val="52"/>
          <w:szCs w:val="52"/>
        </w:rPr>
      </w:pPr>
    </w:p>
    <w:p>
      <w:pPr>
        <w:spacing w:line="360" w:lineRule="auto"/>
        <w:jc w:val="center"/>
        <w:rPr>
          <w:rFonts w:ascii="仿宋" w:hAnsi="仿宋" w:eastAsia="仿宋" w:cs="仿宋"/>
          <w:b/>
          <w:bCs/>
          <w:sz w:val="52"/>
          <w:szCs w:val="52"/>
        </w:rPr>
      </w:pPr>
    </w:p>
    <w:p>
      <w:pPr>
        <w:spacing w:line="360" w:lineRule="auto"/>
        <w:jc w:val="center"/>
        <w:rPr>
          <w:rFonts w:ascii="仿宋" w:hAnsi="仿宋" w:eastAsia="仿宋" w:cs="仿宋"/>
          <w:b/>
          <w:bCs/>
          <w:sz w:val="52"/>
          <w:szCs w:val="52"/>
        </w:rPr>
      </w:pPr>
    </w:p>
    <w:p>
      <w:pPr>
        <w:spacing w:line="360" w:lineRule="auto"/>
        <w:jc w:val="center"/>
        <w:rPr>
          <w:rFonts w:ascii="仿宋" w:hAnsi="仿宋" w:eastAsia="仿宋" w:cs="仿宋"/>
          <w:b/>
          <w:bCs/>
          <w:sz w:val="52"/>
          <w:szCs w:val="52"/>
        </w:rPr>
      </w:pPr>
    </w:p>
    <w:p>
      <w:pPr>
        <w:spacing w:line="360" w:lineRule="auto"/>
        <w:rPr>
          <w:rFonts w:ascii="仿宋" w:hAnsi="仿宋" w:eastAsia="仿宋" w:cs="仿宋"/>
          <w:b/>
          <w:bCs/>
          <w:sz w:val="52"/>
          <w:szCs w:val="52"/>
        </w:rPr>
      </w:pPr>
    </w:p>
    <w:p>
      <w:pPr>
        <w:jc w:val="center"/>
        <w:rPr>
          <w:sz w:val="32"/>
          <w:szCs w:val="32"/>
        </w:rPr>
      </w:pPr>
    </w:p>
    <w:p>
      <w:pPr>
        <w:pStyle w:val="2"/>
        <w:rPr>
          <w:sz w:val="32"/>
          <w:szCs w:val="32"/>
        </w:rPr>
      </w:pPr>
    </w:p>
    <w:p>
      <w:pPr>
        <w:spacing w:line="360" w:lineRule="auto"/>
        <w:rPr>
          <w:rFonts w:ascii="楷体" w:hAnsi="楷体" w:eastAsia="楷体" w:cs="楷体"/>
          <w:b/>
          <w:bCs/>
          <w:sz w:val="44"/>
          <w:szCs w:val="44"/>
        </w:rPr>
      </w:pPr>
      <w:r>
        <w:rPr>
          <w:rFonts w:hint="eastAsia" w:ascii="楷体" w:hAnsi="楷体" w:eastAsia="楷体" w:cs="楷体"/>
          <w:b/>
          <w:bCs/>
          <w:sz w:val="44"/>
          <w:szCs w:val="44"/>
        </w:rPr>
        <w:t>委托单位：石家庄市无极县财政局</w:t>
      </w:r>
    </w:p>
    <w:p>
      <w:pPr>
        <w:spacing w:line="360" w:lineRule="auto"/>
        <w:rPr>
          <w:rFonts w:ascii="楷体" w:hAnsi="楷体" w:eastAsia="楷体" w:cs="楷体"/>
          <w:b/>
          <w:bCs/>
          <w:sz w:val="44"/>
          <w:szCs w:val="44"/>
        </w:rPr>
      </w:pPr>
      <w:r>
        <w:rPr>
          <w:rFonts w:hint="eastAsia" w:ascii="楷体" w:hAnsi="楷体" w:eastAsia="楷体" w:cs="楷体"/>
          <w:b/>
          <w:bCs/>
          <w:sz w:val="44"/>
          <w:szCs w:val="44"/>
        </w:rPr>
        <w:t>项目单位：河北无极经济开发区管理委员会</w:t>
      </w:r>
    </w:p>
    <w:p>
      <w:pPr>
        <w:spacing w:line="360" w:lineRule="auto"/>
        <w:rPr>
          <w:rFonts w:ascii="楷体" w:hAnsi="楷体" w:eastAsia="楷体" w:cs="楷体"/>
          <w:b/>
          <w:bCs/>
          <w:sz w:val="44"/>
          <w:szCs w:val="44"/>
        </w:rPr>
      </w:pPr>
      <w:r>
        <w:rPr>
          <w:rFonts w:hint="eastAsia" w:ascii="楷体" w:hAnsi="楷体" w:eastAsia="楷体" w:cs="楷体"/>
          <w:b/>
          <w:bCs/>
          <w:sz w:val="44"/>
          <w:szCs w:val="44"/>
        </w:rPr>
        <w:t>评价机构：中大宇辰项目管理有限公司</w:t>
      </w:r>
    </w:p>
    <w:p>
      <w:pPr>
        <w:pStyle w:val="2"/>
        <w:rPr>
          <w:sz w:val="32"/>
          <w:szCs w:val="32"/>
        </w:rPr>
      </w:pPr>
    </w:p>
    <w:p>
      <w:pPr>
        <w:pStyle w:val="2"/>
        <w:rPr>
          <w:sz w:val="32"/>
          <w:szCs w:val="32"/>
        </w:rPr>
      </w:pPr>
    </w:p>
    <w:p>
      <w:pPr>
        <w:pStyle w:val="2"/>
        <w:rPr>
          <w:rFonts w:ascii="仿宋" w:hAnsi="仿宋" w:eastAsia="仿宋" w:cs="仿宋"/>
          <w:b/>
          <w:bCs/>
          <w:sz w:val="32"/>
          <w:szCs w:val="32"/>
        </w:rPr>
      </w:pPr>
      <w:r>
        <w:rPr>
          <w:rFonts w:hint="eastAsia" w:ascii="仿宋" w:hAnsi="仿宋" w:eastAsia="仿宋" w:cs="仿宋"/>
          <w:b/>
          <w:bCs/>
          <w:sz w:val="32"/>
          <w:szCs w:val="32"/>
        </w:rPr>
        <w:t>二〇二一年九月</w:t>
      </w:r>
    </w:p>
    <w:p>
      <w:pPr>
        <w:pStyle w:val="2"/>
        <w:rPr>
          <w:sz w:val="32"/>
          <w:szCs w:val="32"/>
        </w:rPr>
      </w:pPr>
    </w:p>
    <w:p>
      <w:pPr>
        <w:pStyle w:val="2"/>
        <w:rPr>
          <w:sz w:val="32"/>
          <w:szCs w:val="32"/>
        </w:rPr>
      </w:pPr>
    </w:p>
    <w:p>
      <w:pPr>
        <w:pStyle w:val="2"/>
        <w:rPr>
          <w:sz w:val="32"/>
          <w:szCs w:val="32"/>
        </w:rPr>
      </w:pPr>
    </w:p>
    <w:p>
      <w:pPr>
        <w:spacing w:line="360" w:lineRule="auto"/>
        <w:jc w:val="center"/>
        <w:rPr>
          <w:rFonts w:ascii="黑体" w:hAnsi="黑体" w:eastAsia="黑体" w:cs="黑体"/>
          <w:sz w:val="32"/>
          <w:szCs w:val="32"/>
        </w:rPr>
      </w:pPr>
      <w:r>
        <w:rPr>
          <w:rFonts w:hint="eastAsia" w:ascii="黑体" w:hAnsi="黑体" w:eastAsia="黑体" w:cs="黑体"/>
          <w:sz w:val="32"/>
          <w:szCs w:val="32"/>
        </w:rPr>
        <w:t>目 录</w:t>
      </w:r>
    </w:p>
    <w:p>
      <w:pPr>
        <w:pStyle w:val="10"/>
        <w:rPr>
          <w:rFonts w:ascii="宋体" w:hAnsi="宋体" w:eastAsia="宋体" w:cs="宋体"/>
          <w:sz w:val="28"/>
          <w:szCs w:val="28"/>
        </w:rPr>
      </w:pPr>
    </w:p>
    <w:p>
      <w:pPr>
        <w:pStyle w:val="9"/>
        <w:tabs>
          <w:tab w:val="right" w:leader="dot" w:pos="8296"/>
        </w:tabs>
        <w:rPr>
          <w:rFonts w:ascii="仿宋_GB2312" w:hAnsi="仿宋_GB2312" w:eastAsia="仿宋_GB2312" w:cs="仿宋_GB2312"/>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TOC \o "1-2" \h \u </w:instrText>
      </w:r>
      <w:r>
        <w:rPr>
          <w:rFonts w:hint="eastAsia" w:ascii="仿宋_GB2312" w:hAnsi="仿宋_GB2312" w:eastAsia="仿宋_GB2312" w:cs="仿宋_GB2312"/>
          <w:sz w:val="32"/>
          <w:szCs w:val="32"/>
        </w:rPr>
        <w:fldChar w:fldCharType="separate"/>
      </w:r>
      <w:r>
        <w:fldChar w:fldCharType="begin"/>
      </w:r>
      <w:r>
        <w:instrText xml:space="preserve"> HYPERLINK \l "_Toc84599730" </w:instrText>
      </w:r>
      <w:r>
        <w:fldChar w:fldCharType="separate"/>
      </w:r>
      <w:r>
        <w:rPr>
          <w:rStyle w:val="17"/>
          <w:rFonts w:hint="eastAsia" w:ascii="仿宋_GB2312" w:hAnsi="仿宋_GB2312" w:eastAsia="仿宋_GB2312" w:cs="仿宋_GB2312"/>
          <w:b/>
          <w:bCs/>
          <w:sz w:val="32"/>
          <w:szCs w:val="32"/>
        </w:rPr>
        <w:t>一、基本情况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_Toc84599730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"_Toc84599731" </w:instrText>
      </w:r>
      <w:r>
        <w:fldChar w:fldCharType="separate"/>
      </w:r>
      <w:r>
        <w:rPr>
          <w:rStyle w:val="17"/>
          <w:rFonts w:hint="eastAsia" w:ascii="仿宋_GB2312" w:hAnsi="仿宋_GB2312" w:eastAsia="仿宋_GB2312" w:cs="仿宋_GB2312"/>
          <w:b/>
          <w:bCs/>
          <w:sz w:val="32"/>
          <w:szCs w:val="32"/>
        </w:rPr>
        <w:t>（一）项目概况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_Toc84599731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"_Toc84599732" </w:instrText>
      </w:r>
      <w:r>
        <w:fldChar w:fldCharType="separate"/>
      </w:r>
      <w:r>
        <w:rPr>
          <w:rStyle w:val="17"/>
          <w:rFonts w:hint="eastAsia" w:ascii="仿宋_GB2312" w:hAnsi="仿宋_GB2312" w:eastAsia="仿宋_GB2312" w:cs="仿宋_GB2312"/>
          <w:b/>
          <w:bCs/>
          <w:sz w:val="32"/>
          <w:szCs w:val="32"/>
        </w:rPr>
        <w:t>（二）项目绩效目标</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_Toc84599732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9"/>
        <w:tabs>
          <w:tab w:val="right" w:leader="dot" w:pos="8296"/>
        </w:tabs>
        <w:rPr>
          <w:rFonts w:ascii="仿宋_GB2312" w:hAnsi="仿宋_GB2312" w:eastAsia="仿宋_GB2312" w:cs="仿宋_GB2312"/>
          <w:sz w:val="32"/>
          <w:szCs w:val="32"/>
        </w:rPr>
      </w:pPr>
      <w:r>
        <w:fldChar w:fldCharType="begin"/>
      </w:r>
      <w:r>
        <w:instrText xml:space="preserve"> HYPERLINK \l "_Toc84599733" </w:instrText>
      </w:r>
      <w:r>
        <w:fldChar w:fldCharType="separate"/>
      </w:r>
      <w:r>
        <w:rPr>
          <w:rStyle w:val="17"/>
          <w:rFonts w:hint="eastAsia" w:ascii="仿宋_GB2312" w:hAnsi="仿宋_GB2312" w:eastAsia="仿宋_GB2312" w:cs="仿宋_GB2312"/>
          <w:b/>
          <w:bCs/>
          <w:sz w:val="32"/>
          <w:szCs w:val="32"/>
        </w:rPr>
        <w:t>二、绩效评价工作开展情况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_Toc84599733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"_Toc84599734" </w:instrText>
      </w:r>
      <w:r>
        <w:fldChar w:fldCharType="separate"/>
      </w:r>
      <w:r>
        <w:rPr>
          <w:rStyle w:val="17"/>
          <w:rFonts w:hint="eastAsia" w:ascii="仿宋_GB2312" w:hAnsi="仿宋_GB2312" w:eastAsia="仿宋_GB2312" w:cs="仿宋_GB2312"/>
          <w:b/>
          <w:bCs/>
          <w:sz w:val="32"/>
          <w:szCs w:val="32"/>
        </w:rPr>
        <w:t>（一）绩效评价目的、对象和范围</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_Toc84599734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"_Toc84599735" </w:instrText>
      </w:r>
      <w:r>
        <w:fldChar w:fldCharType="separate"/>
      </w:r>
      <w:r>
        <w:rPr>
          <w:rStyle w:val="17"/>
          <w:rFonts w:hint="eastAsia" w:ascii="仿宋_GB2312" w:hAnsi="仿宋_GB2312" w:eastAsia="仿宋_GB2312" w:cs="仿宋_GB2312"/>
          <w:b/>
          <w:bCs/>
          <w:sz w:val="32"/>
          <w:szCs w:val="32"/>
        </w:rPr>
        <w:t>（二）绩效评价原则、评价方法、评价标准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_Toc84599735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"_Toc84599736" </w:instrText>
      </w:r>
      <w:r>
        <w:fldChar w:fldCharType="separate"/>
      </w:r>
      <w:r>
        <w:rPr>
          <w:rStyle w:val="17"/>
          <w:rFonts w:hint="eastAsia" w:ascii="仿宋_GB2312" w:hAnsi="仿宋_GB2312" w:eastAsia="仿宋_GB2312" w:cs="仿宋_GB2312"/>
          <w:b/>
          <w:bCs/>
          <w:sz w:val="32"/>
          <w:szCs w:val="32"/>
        </w:rPr>
        <w:t>（三）评价指标体系</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_Toc84599736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"_Toc84599737" </w:instrText>
      </w:r>
      <w:r>
        <w:fldChar w:fldCharType="separate"/>
      </w:r>
      <w:r>
        <w:rPr>
          <w:rStyle w:val="17"/>
          <w:rFonts w:hint="eastAsia" w:ascii="仿宋_GB2312" w:hAnsi="仿宋_GB2312" w:eastAsia="仿宋_GB2312" w:cs="仿宋_GB2312"/>
          <w:b/>
          <w:bCs/>
          <w:sz w:val="32"/>
          <w:szCs w:val="32"/>
        </w:rPr>
        <w:t>（四）绩效评价工作过程</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_Toc84599737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9"/>
        <w:tabs>
          <w:tab w:val="right" w:leader="dot" w:pos="8296"/>
        </w:tabs>
        <w:rPr>
          <w:rFonts w:ascii="仿宋_GB2312" w:hAnsi="仿宋_GB2312" w:eastAsia="仿宋_GB2312" w:cs="仿宋_GB2312"/>
          <w:sz w:val="32"/>
          <w:szCs w:val="32"/>
        </w:rPr>
      </w:pPr>
      <w:r>
        <w:fldChar w:fldCharType="begin"/>
      </w:r>
      <w:r>
        <w:instrText xml:space="preserve"> HYPERLINK \l "_Toc84599738" </w:instrText>
      </w:r>
      <w:r>
        <w:fldChar w:fldCharType="separate"/>
      </w:r>
      <w:r>
        <w:rPr>
          <w:rStyle w:val="17"/>
          <w:rFonts w:hint="eastAsia" w:ascii="仿宋_GB2312" w:hAnsi="仿宋_GB2312" w:eastAsia="仿宋_GB2312" w:cs="仿宋_GB2312"/>
          <w:b/>
          <w:bCs/>
          <w:sz w:val="32"/>
          <w:szCs w:val="32"/>
        </w:rPr>
        <w:t>三、综合评价情况及评价结论</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_Toc84599738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9"/>
        <w:tabs>
          <w:tab w:val="right" w:leader="dot" w:pos="8296"/>
        </w:tabs>
        <w:rPr>
          <w:rFonts w:ascii="仿宋_GB2312" w:hAnsi="仿宋_GB2312" w:eastAsia="仿宋_GB2312" w:cs="仿宋_GB2312"/>
          <w:sz w:val="32"/>
          <w:szCs w:val="32"/>
        </w:rPr>
      </w:pPr>
      <w:r>
        <w:fldChar w:fldCharType="begin"/>
      </w:r>
      <w:r>
        <w:instrText xml:space="preserve"> HYPERLINK \l "_Toc84599739" </w:instrText>
      </w:r>
      <w:r>
        <w:fldChar w:fldCharType="separate"/>
      </w:r>
      <w:r>
        <w:rPr>
          <w:rStyle w:val="17"/>
          <w:rFonts w:hint="eastAsia" w:ascii="仿宋_GB2312" w:hAnsi="仿宋_GB2312" w:eastAsia="仿宋_GB2312" w:cs="仿宋_GB2312"/>
          <w:b/>
          <w:bCs/>
          <w:sz w:val="32"/>
          <w:szCs w:val="32"/>
        </w:rPr>
        <w:t>四、绩效评价指标分析</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_Toc84599739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"_Toc84599740" </w:instrText>
      </w:r>
      <w:r>
        <w:fldChar w:fldCharType="separate"/>
      </w:r>
      <w:r>
        <w:rPr>
          <w:rStyle w:val="17"/>
          <w:rFonts w:hint="eastAsia" w:ascii="仿宋_GB2312" w:hAnsi="仿宋_GB2312" w:eastAsia="仿宋_GB2312" w:cs="仿宋_GB2312"/>
          <w:b/>
          <w:bCs/>
          <w:sz w:val="32"/>
          <w:szCs w:val="32"/>
        </w:rPr>
        <w:t>（一）项目决策情况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_Toc84599740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"_Toc84599741" </w:instrText>
      </w:r>
      <w:r>
        <w:fldChar w:fldCharType="separate"/>
      </w:r>
      <w:r>
        <w:rPr>
          <w:rStyle w:val="17"/>
          <w:rFonts w:hint="eastAsia" w:ascii="仿宋_GB2312" w:hAnsi="仿宋_GB2312" w:eastAsia="仿宋_GB2312" w:cs="仿宋_GB2312"/>
          <w:b/>
          <w:bCs/>
          <w:sz w:val="32"/>
          <w:szCs w:val="32"/>
        </w:rPr>
        <w:t>（二）项目过程管理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_Toc84599741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"_Toc84599742" </w:instrText>
      </w:r>
      <w:r>
        <w:fldChar w:fldCharType="separate"/>
      </w:r>
      <w:r>
        <w:rPr>
          <w:rStyle w:val="17"/>
          <w:rFonts w:hint="eastAsia" w:ascii="仿宋_GB2312" w:hAnsi="仿宋_GB2312" w:eastAsia="仿宋_GB2312" w:cs="仿宋_GB2312"/>
          <w:b/>
          <w:bCs/>
          <w:sz w:val="32"/>
          <w:szCs w:val="32"/>
        </w:rPr>
        <w:t>（三）项目产出情况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_Toc84599742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"_Toc84599743" </w:instrText>
      </w:r>
      <w:r>
        <w:fldChar w:fldCharType="separate"/>
      </w:r>
      <w:r>
        <w:rPr>
          <w:rStyle w:val="17"/>
          <w:rFonts w:hint="eastAsia" w:ascii="仿宋_GB2312" w:hAnsi="仿宋_GB2312" w:eastAsia="仿宋_GB2312" w:cs="仿宋_GB2312"/>
          <w:b/>
          <w:bCs/>
          <w:sz w:val="32"/>
          <w:szCs w:val="32"/>
        </w:rPr>
        <w:t>（四）项目效益情况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_Toc84599743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9"/>
        <w:tabs>
          <w:tab w:val="right" w:leader="dot" w:pos="8296"/>
        </w:tabs>
        <w:rPr>
          <w:rFonts w:ascii="仿宋_GB2312" w:hAnsi="仿宋_GB2312" w:eastAsia="仿宋_GB2312" w:cs="仿宋_GB2312"/>
          <w:sz w:val="32"/>
          <w:szCs w:val="32"/>
        </w:rPr>
      </w:pPr>
      <w:r>
        <w:fldChar w:fldCharType="begin"/>
      </w:r>
      <w:r>
        <w:instrText xml:space="preserve"> HYPERLINK \l "_Toc84599744" </w:instrText>
      </w:r>
      <w:r>
        <w:fldChar w:fldCharType="separate"/>
      </w:r>
      <w:r>
        <w:rPr>
          <w:rStyle w:val="17"/>
          <w:rFonts w:hint="eastAsia" w:ascii="仿宋_GB2312" w:hAnsi="仿宋_GB2312" w:eastAsia="仿宋_GB2312" w:cs="仿宋_GB2312"/>
          <w:b/>
          <w:sz w:val="32"/>
          <w:szCs w:val="32"/>
        </w:rPr>
        <w:t>五、存在的主要问题及相关建议</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_Toc84599744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fldChar w:fldCharType="end"/>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"_Toc84599740" </w:instrText>
      </w:r>
      <w:r>
        <w:fldChar w:fldCharType="separate"/>
      </w:r>
      <w:r>
        <w:rPr>
          <w:rStyle w:val="17"/>
          <w:rFonts w:hint="eastAsia" w:ascii="仿宋_GB2312" w:hAnsi="仿宋_GB2312" w:eastAsia="仿宋_GB2312" w:cs="仿宋_GB2312"/>
          <w:b/>
          <w:bCs/>
          <w:sz w:val="32"/>
          <w:szCs w:val="32"/>
        </w:rPr>
        <w:t>（一）存在的主要问题</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1</w:t>
      </w:r>
    </w:p>
    <w:p>
      <w:pPr>
        <w:pStyle w:val="10"/>
        <w:tabs>
          <w:tab w:val="right" w:leader="dot" w:pos="8296"/>
        </w:tabs>
        <w:rPr>
          <w:rFonts w:ascii="仿宋_GB2312" w:hAnsi="仿宋_GB2312" w:eastAsia="仿宋_GB2312" w:cs="仿宋_GB2312"/>
          <w:sz w:val="32"/>
          <w:szCs w:val="32"/>
        </w:rPr>
      </w:pPr>
      <w:r>
        <w:fldChar w:fldCharType="begin"/>
      </w:r>
      <w:r>
        <w:instrText xml:space="preserve"> HYPERLINK \l "_Toc84599741" </w:instrText>
      </w:r>
      <w:r>
        <w:fldChar w:fldCharType="separate"/>
      </w:r>
      <w:r>
        <w:rPr>
          <w:rStyle w:val="17"/>
          <w:rFonts w:hint="eastAsia" w:ascii="仿宋_GB2312" w:hAnsi="仿宋_GB2312" w:eastAsia="仿宋_GB2312" w:cs="仿宋_GB2312"/>
          <w:b/>
          <w:bCs/>
          <w:sz w:val="32"/>
          <w:szCs w:val="32"/>
        </w:rPr>
        <w:t>（二）相关建议</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2</w:t>
      </w:r>
    </w:p>
    <w:p>
      <w:pPr>
        <w:pStyle w:val="2"/>
        <w:rPr>
          <w:rFonts w:ascii="宋体" w:hAnsi="宋体" w:eastAsia="宋体"/>
          <w:sz w:val="28"/>
          <w:szCs w:val="28"/>
        </w:rPr>
        <w:sectPr>
          <w:headerReference r:id="rId3" w:type="default"/>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fldChar w:fldCharType="end"/>
      </w:r>
    </w:p>
    <w:p>
      <w:pPr>
        <w:adjustRightInd w:val="0"/>
        <w:snapToGrid w:val="0"/>
        <w:spacing w:line="560" w:lineRule="exact"/>
        <w:jc w:val="center"/>
        <w:rPr>
          <w:rFonts w:ascii="华文中宋" w:hAnsi="华文中宋" w:eastAsia="华文中宋" w:cs="华文中宋"/>
          <w:sz w:val="36"/>
          <w:szCs w:val="36"/>
        </w:rPr>
      </w:pPr>
      <w:r>
        <w:rPr>
          <w:rFonts w:hint="eastAsia" w:ascii="华文中宋" w:hAnsi="华文中宋" w:eastAsia="华文中宋" w:cs="华文中宋"/>
          <w:sz w:val="36"/>
          <w:szCs w:val="36"/>
        </w:rPr>
        <w:t>关于对无极县皮革后整产业园市政道路工程</w:t>
      </w:r>
    </w:p>
    <w:p>
      <w:pPr>
        <w:adjustRightInd w:val="0"/>
        <w:snapToGrid w:val="0"/>
        <w:spacing w:line="560" w:lineRule="exact"/>
        <w:jc w:val="center"/>
        <w:rPr>
          <w:rFonts w:ascii="华文中宋" w:hAnsi="华文中宋" w:eastAsia="华文中宋" w:cs="华文中宋"/>
          <w:sz w:val="36"/>
          <w:szCs w:val="36"/>
        </w:rPr>
      </w:pPr>
      <w:r>
        <w:rPr>
          <w:rFonts w:hint="eastAsia" w:ascii="华文中宋" w:hAnsi="华文中宋" w:eastAsia="华文中宋" w:cs="华文中宋"/>
          <w:sz w:val="36"/>
          <w:szCs w:val="36"/>
        </w:rPr>
        <w:t>项目绩效评价的报告</w:t>
      </w:r>
    </w:p>
    <w:p>
      <w:pPr>
        <w:adjustRightInd w:val="0"/>
        <w:snapToGrid w:val="0"/>
        <w:spacing w:line="560" w:lineRule="exact"/>
        <w:ind w:firstLine="640" w:firstLineChars="200"/>
        <w:rPr>
          <w:rFonts w:ascii="Times New Roman" w:hAnsi="Times New Roman" w:eastAsia="仿宋_GB2312"/>
          <w:sz w:val="32"/>
          <w:szCs w:val="32"/>
        </w:rPr>
      </w:pPr>
      <w:r>
        <w:rPr>
          <w:rFonts w:hint="eastAsia" w:ascii="仿宋_GB2312" w:hAnsi="仿宋_GB2312" w:eastAsia="仿宋_GB2312" w:cs="仿宋_GB2312"/>
          <w:sz w:val="32"/>
          <w:szCs w:val="32"/>
        </w:rPr>
        <w:t>为提高财政支出管理水平，规范财政资金项目管理，根据《中共河北省委河北省人民政府关于全面实施预算绩效管理的实施意见》（冀发</w:t>
      </w:r>
      <w:r>
        <w:rPr>
          <w:rFonts w:hint="eastAsia" w:ascii="仿宋_GB2312" w:hAnsi="仿宋_GB2312" w:eastAsia="仿宋_GB2312" w:cs="仿宋_GB2312"/>
          <w:sz w:val="32"/>
          <w:szCs w:val="28"/>
        </w:rPr>
        <w:t>〔2018〕</w:t>
      </w:r>
      <w:r>
        <w:rPr>
          <w:rFonts w:hint="eastAsia" w:ascii="仿宋_GB2312" w:hAnsi="仿宋_GB2312" w:eastAsia="仿宋_GB2312" w:cs="仿宋_GB2312"/>
          <w:sz w:val="32"/>
          <w:szCs w:val="32"/>
        </w:rPr>
        <w:t>54号）和《中共石家庄市委石家庄市人民政府关于全面落实预算效管理的实施意见》（石发</w:t>
      </w:r>
      <w:r>
        <w:rPr>
          <w:rFonts w:hint="eastAsia" w:ascii="仿宋_GB2312" w:hAnsi="仿宋_GB2312" w:eastAsia="仿宋_GB2312" w:cs="仿宋_GB2312"/>
          <w:sz w:val="32"/>
          <w:szCs w:val="28"/>
        </w:rPr>
        <w:t>〔2019〕</w:t>
      </w:r>
      <w:r>
        <w:rPr>
          <w:rFonts w:hint="eastAsia" w:ascii="仿宋_GB2312" w:hAnsi="仿宋_GB2312" w:eastAsia="仿宋_GB2312" w:cs="仿宋_GB2312"/>
          <w:sz w:val="32"/>
          <w:szCs w:val="32"/>
        </w:rPr>
        <w:t>8号）文件要求，按照2021年无极县财政局绩效评价工作安排，组成绩效评价工作组，于2021年8月12日至9月26日对无极县皮革后整产业园市政道路工程项目（以下简称“本项目”）进行了绩效评价。</w:t>
      </w:r>
    </w:p>
    <w:p>
      <w:pPr>
        <w:adjustRightInd w:val="0"/>
        <w:snapToGrid w:val="0"/>
        <w:spacing w:line="560" w:lineRule="exact"/>
        <w:ind w:firstLine="640" w:firstLineChars="200"/>
        <w:outlineLvl w:val="0"/>
        <w:rPr>
          <w:rFonts w:ascii="黑体" w:hAnsi="黑体" w:eastAsia="黑体" w:cs="黑体"/>
          <w:sz w:val="32"/>
          <w:szCs w:val="32"/>
        </w:rPr>
      </w:pPr>
      <w:bookmarkStart w:id="0" w:name="_Toc23030"/>
      <w:bookmarkStart w:id="1" w:name="_Toc84599730"/>
      <w:r>
        <w:rPr>
          <w:rFonts w:hint="eastAsia" w:ascii="黑体" w:hAnsi="黑体" w:eastAsia="黑体" w:cs="黑体"/>
          <w:sz w:val="32"/>
          <w:szCs w:val="32"/>
        </w:rPr>
        <w:t>一、基本情况</w:t>
      </w:r>
      <w:bookmarkEnd w:id="0"/>
      <w:bookmarkEnd w:id="1"/>
    </w:p>
    <w:p>
      <w:pPr>
        <w:adjustRightInd w:val="0"/>
        <w:snapToGrid w:val="0"/>
        <w:spacing w:line="560" w:lineRule="exact"/>
        <w:ind w:firstLine="640" w:firstLineChars="200"/>
        <w:outlineLvl w:val="1"/>
        <w:rPr>
          <w:rFonts w:ascii="楷体" w:hAnsi="楷体" w:eastAsia="楷体" w:cs="楷体"/>
          <w:sz w:val="32"/>
          <w:szCs w:val="32"/>
        </w:rPr>
      </w:pPr>
      <w:bookmarkStart w:id="2" w:name="_Toc3518"/>
      <w:bookmarkStart w:id="3" w:name="_Toc84599731"/>
      <w:r>
        <w:rPr>
          <w:rFonts w:hint="eastAsia" w:ascii="楷体" w:hAnsi="楷体" w:eastAsia="楷体" w:cs="楷体"/>
          <w:sz w:val="32"/>
          <w:szCs w:val="32"/>
        </w:rPr>
        <w:t>（一）项目</w:t>
      </w:r>
      <w:bookmarkEnd w:id="2"/>
      <w:r>
        <w:rPr>
          <w:rFonts w:hint="eastAsia" w:ascii="楷体" w:hAnsi="楷体" w:eastAsia="楷体" w:cs="楷体"/>
          <w:sz w:val="32"/>
          <w:szCs w:val="32"/>
        </w:rPr>
        <w:t>概况</w:t>
      </w:r>
      <w:bookmarkEnd w:id="3"/>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1.项目背景</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党的十八大提出发展“新型城镇化”概念，要求城镇合理布局，与区域经济发展和产业布局紧密衔接，与资源环境承载内能力相适应，河北省积极推进工业园区建设，先后出台了《中共河北省委河北省人民政府关于加快开发区改革发展的意见》、《河北省人民政府办公厅关于促进全省经济开发区转型升级创新发展的实施意见》、《关于加快开发区（园区）发展的若干意见》等政策，从土地、财税、融资、体制机制创新等多方面解决开发区（园区）发展存在的问题，使其更好地发挥窗口、示范和带动作用。</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家庄市作为河北省工业大市，在增强县域经济实力上，制定了“一县一园区、一区一主业”的长远目标。《石家庄市国民经济和社会发展第十三个五年规划纲要》确定无极经济开发区为县域重点园区，无极重点发展皮革业和装备制造业。</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经济开发区总体规划，开发区空间结构分为三个分区：北区、西区和南区，其中南区为生态皮革产业园，重点发展生态皮革产业。在无极生态皮革产业园（南区）内，东北部为皮革后整园区，目前皮革后整园区仅相邻一条市政道路：产业大道，产业大道东侧路网尚未形成，阻碍了该地块建筑工程的前期建设和后期物流运输，无极县皮革后整产业园市政道路工程项目的建设和实施，将为皮革后整园区的建设启动提供保证，为打造中国一流、世界领先的生态牛皮革之都提供条件。</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2.主要内容及实施情况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家庄一建建设集团有限公司是本项目的实施单位。根据无极县行政审批局关于《无极县皮革后整产业园市政道路工程项目可行性研究报告的批复》（无行审审字[2019]27号），文件批复项目总投资4647万元，本项目主要建设内容及规模：新建恒昌东延北路、皮革九路和皮革二路共三条道路，总长度3.254千米，施工内容为道路39063平方米、便道14474平方米、雨水沟1370米、绿化面积10031平方米、路灯177根，项目建设工期为8个月。</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无极县皮革后整产业园市政道路工程项目实施情况：本项目于2019年8月22日开始设计施工，计划完成时间为2020年4月21日，目前工程尚未竣工，已完成道路 2280 米，其中：沥青混凝土主路面31100平方米，便道10800 平方米，雨水沟 1020 米，绿化7930 平方米，路灯136 杆。皮革二路、恒昌东延北路因占地拆迁等原因，两条道路均有约400米未完成。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3.项目资金投入和使用情况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根据无极县财政局2019年6月4日出具的资金证明显示：无极县皮革后整产业园市政道路工程项目预算资金4120.74万元。</w:t>
      </w:r>
    </w:p>
    <w:p>
      <w:pPr>
        <w:adjustRightInd w:val="0"/>
        <w:snapToGrid w:val="0"/>
        <w:spacing w:line="560" w:lineRule="exact"/>
        <w:ind w:firstLine="640" w:firstLineChars="200"/>
        <w:rPr>
          <w:sz w:val="24"/>
        </w:rPr>
      </w:pPr>
      <w:r>
        <w:rPr>
          <w:rFonts w:hint="eastAsia" w:ascii="仿宋_GB2312" w:hAnsi="仿宋_GB2312" w:eastAsia="仿宋_GB2312" w:cs="仿宋_GB2312"/>
          <w:sz w:val="32"/>
          <w:szCs w:val="32"/>
        </w:rPr>
        <w:t>截止到2021年7月31日，无极县皮革后整产业园市政道路工程项目共支付资金2784.2万元，其中工程款2700万元，设计费50万元，监理费34.2万元。</w:t>
      </w:r>
      <w:r>
        <w:rPr>
          <w:rFonts w:hint="eastAsia" w:ascii="仿宋" w:hAnsi="仿宋" w:eastAsia="仿宋"/>
          <w:b/>
          <w:bCs/>
          <w:sz w:val="32"/>
          <w:szCs w:val="32"/>
        </w:rPr>
        <w:t xml:space="preserve">              </w:t>
      </w:r>
      <w:r>
        <w:rPr>
          <w:rFonts w:hint="eastAsia" w:ascii="仿宋" w:hAnsi="仿宋" w:eastAsia="仿宋"/>
          <w:b/>
          <w:bCs/>
          <w:sz w:val="24"/>
        </w:rPr>
        <w:t xml:space="preserve">  </w:t>
      </w:r>
    </w:p>
    <w:p>
      <w:pPr>
        <w:tabs>
          <w:tab w:val="left" w:pos="606"/>
        </w:tabs>
        <w:adjustRightInd w:val="0"/>
        <w:snapToGrid w:val="0"/>
        <w:spacing w:line="560" w:lineRule="exact"/>
        <w:ind w:firstLine="640" w:firstLineChars="200"/>
        <w:outlineLvl w:val="1"/>
        <w:rPr>
          <w:rFonts w:ascii="楷体" w:hAnsi="楷体" w:eastAsia="楷体" w:cs="楷体"/>
          <w:sz w:val="32"/>
          <w:szCs w:val="32"/>
        </w:rPr>
      </w:pPr>
      <w:bookmarkStart w:id="4" w:name="_Toc6174"/>
      <w:bookmarkStart w:id="5" w:name="_Toc84599732"/>
      <w:r>
        <w:rPr>
          <w:rFonts w:hint="eastAsia" w:ascii="楷体" w:hAnsi="楷体" w:eastAsia="楷体" w:cs="楷体"/>
          <w:sz w:val="32"/>
          <w:szCs w:val="32"/>
        </w:rPr>
        <w:t>（二）项目</w:t>
      </w:r>
      <w:bookmarkEnd w:id="4"/>
      <w:r>
        <w:rPr>
          <w:rFonts w:hint="eastAsia" w:ascii="楷体" w:hAnsi="楷体" w:eastAsia="楷体" w:cs="楷体"/>
          <w:sz w:val="32"/>
          <w:szCs w:val="32"/>
        </w:rPr>
        <w:t>绩效目标</w:t>
      </w:r>
      <w:bookmarkEnd w:id="5"/>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河北无极经济开发管理委员会根据项目实际情况设置了项目绩效目标，并填报了绩效目标申报表。项目绩效目标：1、提升园区基础设施承载力；2、改善企业的出行条件。具体指标设定如下表1：</w:t>
      </w:r>
    </w:p>
    <w:p>
      <w:pPr>
        <w:spacing w:line="560" w:lineRule="exact"/>
        <w:jc w:val="center"/>
        <w:rPr>
          <w:rFonts w:ascii="黑体" w:hAnsi="黑体" w:eastAsia="黑体" w:cs="黑体"/>
          <w:bCs/>
          <w:sz w:val="28"/>
          <w:szCs w:val="28"/>
        </w:rPr>
      </w:pPr>
      <w:r>
        <w:rPr>
          <w:rFonts w:hint="eastAsia" w:ascii="黑体" w:hAnsi="黑体" w:eastAsia="黑体" w:cs="黑体"/>
          <w:bCs/>
          <w:sz w:val="28"/>
          <w:szCs w:val="28"/>
        </w:rPr>
        <w:t>表1：无极县皮革后整产业园市政道路工程项目绩效指标</w:t>
      </w:r>
    </w:p>
    <w:tbl>
      <w:tblPr>
        <w:tblStyle w:val="1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5"/>
        <w:gridCol w:w="2017"/>
        <w:gridCol w:w="3439"/>
        <w:gridCol w:w="1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blHeader/>
        </w:trPr>
        <w:tc>
          <w:tcPr>
            <w:tcW w:w="930" w:type="pct"/>
            <w:vAlign w:val="center"/>
          </w:tcPr>
          <w:p>
            <w:pPr>
              <w:widowControl/>
              <w:spacing w:line="400" w:lineRule="exact"/>
              <w:rPr>
                <w:rFonts w:asciiTheme="majorEastAsia" w:hAnsiTheme="majorEastAsia" w:eastAsiaTheme="majorEastAsia" w:cstheme="majorEastAsia"/>
                <w:b/>
                <w:bCs/>
                <w:color w:val="000000"/>
                <w:kern w:val="0"/>
                <w:sz w:val="20"/>
                <w:szCs w:val="20"/>
              </w:rPr>
            </w:pPr>
            <w:r>
              <w:rPr>
                <w:rFonts w:hint="eastAsia" w:asciiTheme="majorEastAsia" w:hAnsiTheme="majorEastAsia" w:eastAsiaTheme="majorEastAsia" w:cstheme="majorEastAsia"/>
                <w:b/>
                <w:bCs/>
                <w:color w:val="000000"/>
                <w:kern w:val="0"/>
                <w:sz w:val="20"/>
                <w:szCs w:val="20"/>
              </w:rPr>
              <w:t>一级指标</w:t>
            </w:r>
          </w:p>
        </w:tc>
        <w:tc>
          <w:tcPr>
            <w:tcW w:w="1113" w:type="pct"/>
            <w:vAlign w:val="center"/>
          </w:tcPr>
          <w:p>
            <w:pPr>
              <w:widowControl/>
              <w:spacing w:line="400" w:lineRule="exact"/>
              <w:jc w:val="center"/>
              <w:rPr>
                <w:rFonts w:asciiTheme="majorEastAsia" w:hAnsiTheme="majorEastAsia" w:eastAsiaTheme="majorEastAsia" w:cstheme="majorEastAsia"/>
                <w:b/>
                <w:bCs/>
                <w:color w:val="000000"/>
                <w:kern w:val="0"/>
                <w:sz w:val="20"/>
                <w:szCs w:val="20"/>
              </w:rPr>
            </w:pPr>
            <w:r>
              <w:rPr>
                <w:rFonts w:hint="eastAsia" w:asciiTheme="majorEastAsia" w:hAnsiTheme="majorEastAsia" w:eastAsiaTheme="majorEastAsia" w:cstheme="majorEastAsia"/>
                <w:b/>
                <w:bCs/>
                <w:color w:val="000000"/>
                <w:kern w:val="0"/>
                <w:sz w:val="20"/>
                <w:szCs w:val="20"/>
              </w:rPr>
              <w:t>二级指标</w:t>
            </w:r>
          </w:p>
        </w:tc>
        <w:tc>
          <w:tcPr>
            <w:tcW w:w="1898" w:type="pct"/>
            <w:vAlign w:val="center"/>
          </w:tcPr>
          <w:p>
            <w:pPr>
              <w:widowControl/>
              <w:spacing w:line="400" w:lineRule="exact"/>
              <w:jc w:val="center"/>
              <w:rPr>
                <w:rFonts w:asciiTheme="majorEastAsia" w:hAnsiTheme="majorEastAsia" w:eastAsiaTheme="majorEastAsia" w:cstheme="majorEastAsia"/>
                <w:b/>
                <w:bCs/>
                <w:color w:val="000000"/>
                <w:kern w:val="0"/>
                <w:sz w:val="20"/>
                <w:szCs w:val="20"/>
              </w:rPr>
            </w:pPr>
            <w:r>
              <w:rPr>
                <w:rFonts w:hint="eastAsia" w:asciiTheme="majorEastAsia" w:hAnsiTheme="majorEastAsia" w:eastAsiaTheme="majorEastAsia" w:cstheme="majorEastAsia"/>
                <w:b/>
                <w:bCs/>
                <w:color w:val="000000"/>
                <w:kern w:val="0"/>
                <w:sz w:val="20"/>
                <w:szCs w:val="20"/>
              </w:rPr>
              <w:t>绩效指标描述</w:t>
            </w:r>
          </w:p>
        </w:tc>
        <w:tc>
          <w:tcPr>
            <w:tcW w:w="1059" w:type="pct"/>
            <w:vAlign w:val="center"/>
          </w:tcPr>
          <w:p>
            <w:pPr>
              <w:widowControl/>
              <w:spacing w:line="400" w:lineRule="exact"/>
              <w:jc w:val="center"/>
              <w:rPr>
                <w:rFonts w:asciiTheme="majorEastAsia" w:hAnsiTheme="majorEastAsia" w:eastAsiaTheme="majorEastAsia" w:cstheme="majorEastAsia"/>
                <w:b/>
                <w:bCs/>
                <w:color w:val="000000"/>
                <w:kern w:val="0"/>
                <w:sz w:val="20"/>
                <w:szCs w:val="20"/>
              </w:rPr>
            </w:pPr>
            <w:r>
              <w:rPr>
                <w:rFonts w:hint="eastAsia" w:asciiTheme="majorEastAsia" w:hAnsiTheme="majorEastAsia" w:eastAsiaTheme="majorEastAsia" w:cstheme="majorEastAsia"/>
                <w:b/>
                <w:bCs/>
                <w:color w:val="000000"/>
                <w:kern w:val="0"/>
                <w:sz w:val="20"/>
                <w:szCs w:val="20"/>
              </w:rPr>
              <w:t>指标值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930" w:type="pct"/>
            <w:vAlign w:val="center"/>
          </w:tcPr>
          <w:p>
            <w:pPr>
              <w:widowControl/>
              <w:spacing w:line="400" w:lineRule="exac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产出指标</w:t>
            </w:r>
          </w:p>
        </w:tc>
        <w:tc>
          <w:tcPr>
            <w:tcW w:w="1113" w:type="pct"/>
            <w:vAlign w:val="center"/>
          </w:tcPr>
          <w:p>
            <w:pPr>
              <w:widowControl/>
              <w:spacing w:line="400" w:lineRule="exact"/>
              <w:jc w:val="left"/>
              <w:rPr>
                <w:rFonts w:asciiTheme="majorEastAsia" w:hAnsiTheme="majorEastAsia" w:eastAsiaTheme="majorEastAsia" w:cstheme="majorEastAsia"/>
                <w:sz w:val="20"/>
                <w:szCs w:val="20"/>
              </w:rPr>
            </w:pPr>
            <w:r>
              <w:rPr>
                <w:rFonts w:hint="eastAsia" w:asciiTheme="majorEastAsia" w:hAnsiTheme="majorEastAsia" w:eastAsiaTheme="majorEastAsia" w:cstheme="majorEastAsia"/>
                <w:sz w:val="20"/>
                <w:szCs w:val="20"/>
              </w:rPr>
              <w:t>质量指标</w:t>
            </w:r>
          </w:p>
        </w:tc>
        <w:tc>
          <w:tcPr>
            <w:tcW w:w="1898" w:type="pct"/>
            <w:vAlign w:val="center"/>
          </w:tcPr>
          <w:p>
            <w:pPr>
              <w:widowControl/>
              <w:spacing w:line="400" w:lineRule="exact"/>
              <w:jc w:val="left"/>
              <w:rPr>
                <w:rFonts w:asciiTheme="majorEastAsia" w:hAnsiTheme="majorEastAsia" w:eastAsiaTheme="majorEastAsia" w:cstheme="majorEastAsia"/>
                <w:sz w:val="20"/>
                <w:szCs w:val="20"/>
              </w:rPr>
            </w:pPr>
            <w:r>
              <w:rPr>
                <w:rFonts w:hint="eastAsia" w:asciiTheme="majorEastAsia" w:hAnsiTheme="majorEastAsia" w:eastAsiaTheme="majorEastAsia" w:cstheme="majorEastAsia"/>
                <w:sz w:val="20"/>
                <w:szCs w:val="20"/>
              </w:rPr>
              <w:t>建设工程质量合格率（百分比）</w:t>
            </w:r>
          </w:p>
        </w:tc>
        <w:tc>
          <w:tcPr>
            <w:tcW w:w="1059" w:type="pct"/>
            <w:vAlign w:val="center"/>
          </w:tcPr>
          <w:p>
            <w:pPr>
              <w:widowControl/>
              <w:spacing w:line="400" w:lineRule="exact"/>
              <w:jc w:val="left"/>
              <w:rPr>
                <w:rFonts w:asciiTheme="majorEastAsia" w:hAnsiTheme="majorEastAsia" w:eastAsiaTheme="majorEastAsia" w:cstheme="majorEastAsia"/>
                <w:sz w:val="20"/>
                <w:szCs w:val="20"/>
              </w:rPr>
            </w:pPr>
            <w:r>
              <w:rPr>
                <w:rFonts w:hint="eastAsia" w:asciiTheme="majorEastAsia" w:hAnsiTheme="majorEastAsia" w:eastAsiaTheme="majorEastAsia" w:cstheme="majorEastAsia"/>
                <w:sz w:val="20"/>
                <w:szCs w:val="20"/>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trPr>
        <w:tc>
          <w:tcPr>
            <w:tcW w:w="930"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效果指标</w:t>
            </w:r>
          </w:p>
        </w:tc>
        <w:tc>
          <w:tcPr>
            <w:tcW w:w="1113"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可持续影响指标</w:t>
            </w:r>
          </w:p>
        </w:tc>
        <w:tc>
          <w:tcPr>
            <w:tcW w:w="1898"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提升皮革后整园区基础设施承载力效果</w:t>
            </w:r>
          </w:p>
        </w:tc>
        <w:tc>
          <w:tcPr>
            <w:tcW w:w="1059"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较好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930"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满意度指标</w:t>
            </w:r>
          </w:p>
        </w:tc>
        <w:tc>
          <w:tcPr>
            <w:tcW w:w="1113" w:type="pct"/>
            <w:vAlign w:val="center"/>
          </w:tcPr>
          <w:p>
            <w:pPr>
              <w:widowControl/>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服务对象满意度指标</w:t>
            </w:r>
          </w:p>
        </w:tc>
        <w:tc>
          <w:tcPr>
            <w:tcW w:w="1898" w:type="pct"/>
            <w:vAlign w:val="center"/>
          </w:tcPr>
          <w:p>
            <w:pPr>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受益企业整体满意度</w:t>
            </w:r>
          </w:p>
        </w:tc>
        <w:tc>
          <w:tcPr>
            <w:tcW w:w="1059" w:type="pct"/>
            <w:vAlign w:val="center"/>
          </w:tcPr>
          <w:p>
            <w:pPr>
              <w:spacing w:line="400" w:lineRule="exact"/>
              <w:jc w:val="left"/>
              <w:rPr>
                <w:rFonts w:asciiTheme="majorEastAsia" w:hAnsiTheme="majorEastAsia" w:eastAsiaTheme="majorEastAsia" w:cstheme="majorEastAsia"/>
                <w:color w:val="000000"/>
                <w:kern w:val="0"/>
                <w:sz w:val="20"/>
                <w:szCs w:val="20"/>
              </w:rPr>
            </w:pPr>
            <w:r>
              <w:rPr>
                <w:rFonts w:hint="eastAsia" w:asciiTheme="majorEastAsia" w:hAnsiTheme="majorEastAsia" w:eastAsiaTheme="majorEastAsia" w:cstheme="majorEastAsia"/>
                <w:color w:val="000000"/>
                <w:kern w:val="0"/>
                <w:sz w:val="20"/>
                <w:szCs w:val="20"/>
              </w:rPr>
              <w:t>≥90%</w:t>
            </w:r>
          </w:p>
        </w:tc>
      </w:tr>
    </w:tbl>
    <w:p>
      <w:pPr>
        <w:adjustRightInd w:val="0"/>
        <w:snapToGrid w:val="0"/>
        <w:spacing w:line="560" w:lineRule="exact"/>
        <w:ind w:firstLine="640" w:firstLineChars="200"/>
        <w:outlineLvl w:val="0"/>
        <w:rPr>
          <w:rFonts w:ascii="仿宋" w:hAnsi="仿宋" w:eastAsia="仿宋" w:cs="仿宋"/>
          <w:sz w:val="32"/>
          <w:szCs w:val="32"/>
        </w:rPr>
      </w:pPr>
      <w:bookmarkStart w:id="6" w:name="_Toc1729"/>
      <w:bookmarkStart w:id="7" w:name="_Toc84599733"/>
      <w:r>
        <w:rPr>
          <w:rFonts w:hint="eastAsia" w:ascii="黑体" w:hAnsi="黑体" w:eastAsia="黑体" w:cs="黑体"/>
          <w:sz w:val="32"/>
          <w:szCs w:val="32"/>
        </w:rPr>
        <w:t>二、绩效评价工作开展情况</w:t>
      </w:r>
      <w:bookmarkEnd w:id="6"/>
      <w:bookmarkEnd w:id="7"/>
    </w:p>
    <w:p>
      <w:pPr>
        <w:adjustRightInd w:val="0"/>
        <w:snapToGrid w:val="0"/>
        <w:spacing w:line="560" w:lineRule="exact"/>
        <w:ind w:firstLine="640" w:firstLineChars="200"/>
        <w:outlineLvl w:val="1"/>
        <w:rPr>
          <w:rFonts w:ascii="楷体" w:hAnsi="楷体" w:eastAsia="楷体" w:cs="楷体"/>
          <w:sz w:val="32"/>
          <w:szCs w:val="32"/>
        </w:rPr>
      </w:pPr>
      <w:bookmarkStart w:id="8" w:name="_Toc84599734"/>
      <w:r>
        <w:rPr>
          <w:rFonts w:hint="eastAsia" w:ascii="楷体" w:hAnsi="楷体" w:eastAsia="楷体" w:cs="楷体"/>
          <w:sz w:val="32"/>
          <w:szCs w:val="32"/>
        </w:rPr>
        <w:t>（一）绩效评价</w:t>
      </w:r>
      <w:bookmarkStart w:id="9" w:name="_Toc67472193"/>
      <w:r>
        <w:rPr>
          <w:rFonts w:hint="eastAsia" w:ascii="楷体" w:hAnsi="楷体" w:eastAsia="楷体" w:cs="楷体"/>
          <w:sz w:val="32"/>
          <w:szCs w:val="32"/>
        </w:rPr>
        <w:t>目的、对象和范围</w:t>
      </w:r>
      <w:bookmarkEnd w:id="8"/>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通过绩效评价，衡量、考核“本项目从项目决策、项目过程管理、项目产出、项目效益等方面进行综合评价，全面摸排本项目实施情况，总结经验、发现问题，为今后此类项目的实施提出改进意见和建议。</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本次评价对象是无极县皮革后整产业园市政道路工程项目；评价范围为4120.74万元项目资金的申报及使用情况，包括项目决策、项目过程管理、项目产出、项目效益等。</w:t>
      </w:r>
    </w:p>
    <w:p>
      <w:pPr>
        <w:adjustRightInd w:val="0"/>
        <w:snapToGrid w:val="0"/>
        <w:spacing w:line="560" w:lineRule="exact"/>
        <w:ind w:firstLine="640" w:firstLineChars="200"/>
        <w:outlineLvl w:val="1"/>
        <w:rPr>
          <w:rFonts w:ascii="楷体" w:hAnsi="楷体" w:eastAsia="楷体" w:cs="楷体"/>
          <w:sz w:val="32"/>
          <w:szCs w:val="32"/>
        </w:rPr>
      </w:pPr>
      <w:bookmarkStart w:id="10" w:name="_Toc84599735"/>
      <w:r>
        <w:rPr>
          <w:rFonts w:hint="eastAsia" w:ascii="楷体" w:hAnsi="楷体" w:eastAsia="楷体" w:cs="楷体"/>
          <w:sz w:val="32"/>
          <w:szCs w:val="32"/>
        </w:rPr>
        <w:t>（二）绩效评价原则、评价方法、评价标准</w:t>
      </w:r>
      <w:bookmarkEnd w:id="10"/>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本次评价遵循“问题导向、突出重点、科学规范、公平公正”的原则，采用因素分析法、公众评判等方法。</w:t>
      </w:r>
    </w:p>
    <w:p>
      <w:pPr>
        <w:adjustRightInd w:val="0"/>
        <w:snapToGrid w:val="0"/>
        <w:spacing w:line="560" w:lineRule="exact"/>
        <w:ind w:firstLine="640" w:firstLineChars="200"/>
        <w:rPr>
          <w:rFonts w:eastAsia="仿宋"/>
          <w:sz w:val="32"/>
          <w:szCs w:val="32"/>
        </w:rPr>
      </w:pPr>
      <w:r>
        <w:rPr>
          <w:rFonts w:hint="eastAsia" w:ascii="仿宋_GB2312" w:hAnsi="仿宋_GB2312" w:eastAsia="仿宋_GB2312" w:cs="仿宋_GB2312"/>
          <w:sz w:val="32"/>
          <w:szCs w:val="32"/>
        </w:rPr>
        <w:t>评价标准：根据《石家庄市市级预算绩效重点评价管理办法》（石财绩〔2020〕6号），评价结果采取评级形式，以优秀、良好、一般、较差四个等级来反映；评价结果一般设置100分，得分与等级对应关系为：得分≥85分为优秀；75≤得分＜85分为良好；60≤得分＜75分为一般；得分＜60分为较差。</w:t>
      </w:r>
    </w:p>
    <w:p>
      <w:pPr>
        <w:adjustRightInd w:val="0"/>
        <w:snapToGrid w:val="0"/>
        <w:spacing w:line="560" w:lineRule="exact"/>
        <w:ind w:firstLine="640" w:firstLineChars="200"/>
        <w:outlineLvl w:val="1"/>
        <w:rPr>
          <w:rFonts w:ascii="楷体" w:hAnsi="楷体" w:eastAsia="楷体" w:cs="楷体"/>
          <w:sz w:val="32"/>
          <w:szCs w:val="32"/>
        </w:rPr>
      </w:pPr>
      <w:bookmarkStart w:id="11" w:name="_Toc84599736"/>
      <w:r>
        <w:rPr>
          <w:rFonts w:hint="eastAsia" w:ascii="楷体" w:hAnsi="楷体" w:eastAsia="楷体" w:cs="楷体"/>
          <w:sz w:val="32"/>
          <w:szCs w:val="32"/>
        </w:rPr>
        <w:t>（三）评价指标体系</w:t>
      </w:r>
      <w:bookmarkEnd w:id="11"/>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石家庄市市级预算绩效重点评价管理办法》（石财绩〔2020〕6号）、《项目支出绩效评价管理办法》（财预〔2020〕10号）中项目支出绩效评价指标体系框架，结合本项目的具体情况，设计项目绩效评价指标体系，以定性与定量综合考量。指标体系满分100分，项目决策10分、项目过程管理25分、项目产出30分、项目效益35分。</w:t>
      </w:r>
    </w:p>
    <w:p>
      <w:pPr>
        <w:adjustRightInd w:val="0"/>
        <w:snapToGrid w:val="0"/>
        <w:spacing w:line="560" w:lineRule="exact"/>
        <w:ind w:firstLine="640" w:firstLineChars="200"/>
        <w:outlineLvl w:val="1"/>
        <w:rPr>
          <w:rFonts w:ascii="楷体" w:hAnsi="楷体" w:eastAsia="楷体" w:cs="楷体"/>
          <w:sz w:val="32"/>
          <w:szCs w:val="32"/>
        </w:rPr>
      </w:pPr>
      <w:bookmarkStart w:id="12" w:name="_Toc84599737"/>
      <w:r>
        <w:rPr>
          <w:rFonts w:hint="eastAsia" w:ascii="楷体" w:hAnsi="楷体" w:eastAsia="楷体" w:cs="楷体"/>
          <w:sz w:val="32"/>
          <w:szCs w:val="32"/>
        </w:rPr>
        <w:t>（四）绩效评价工作过程</w:t>
      </w:r>
      <w:bookmarkEnd w:id="12"/>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1.前期准备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（1）组建评价小组</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根据任务分工，成立评价工作组，规范绩效评价工作流程，了解项目内容和预算安排情况，明确绩效评价目的和重点。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（2）制定评价方案</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工作组通过与项目单位负责人沟通、实地调研和查阅文件资料等方式了解项目的立项背景、实施情况，掌握绩效评价过程中需要关注的问题；最后，评价工作组根据了解的项目基本情况和关注点，收集项目资料，在此基础上，形成项目绩效评价工作方案。</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2.资料收集汇总</w:t>
      </w:r>
    </w:p>
    <w:p>
      <w:pPr>
        <w:adjustRightInd w:val="0"/>
        <w:snapToGrid w:val="0"/>
        <w:spacing w:line="560" w:lineRule="exact"/>
        <w:ind w:firstLine="640" w:firstLineChars="200"/>
        <w:rPr>
          <w:rFonts w:ascii="仿宋_GB2312" w:hAnsi="仿宋_GB2312" w:eastAsia="仿宋_GB2312" w:cs="仿宋_GB2312"/>
        </w:rPr>
      </w:pPr>
      <w:r>
        <w:rPr>
          <w:rFonts w:hint="eastAsia" w:ascii="仿宋_GB2312" w:hAnsi="仿宋_GB2312" w:eastAsia="仿宋_GB2312" w:cs="仿宋_GB2312"/>
          <w:sz w:val="32"/>
          <w:szCs w:val="32"/>
        </w:rPr>
        <w:t>2021年8月12日-9月16日为实施阶段：评价工作组同项目单位进行对接，熟悉项目情况。在与项目单位充分沟通的基础上进行项目资料收集、整理和分析工作。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3.现场勘察</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评价工作组通过对恒昌东延北路、皮革九路和皮革二路三条道路及便道、雨水沟、绿化、路灯等配套设施的实施情况进行现场勘察，形成勘察记录。</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4.评价报告</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工作组根据收集的项目资料，对项目决策、过程、产出、效益情况进行综合分析评分，并根据评分情况撰写绩效评价报告初稿。与项目单位就评价报告有关内容进行沟通后,根据反馈意见进行合理修改后出具并提交评价报告。</w:t>
      </w:r>
    </w:p>
    <w:p>
      <w:pPr>
        <w:adjustRightInd w:val="0"/>
        <w:snapToGrid w:val="0"/>
        <w:spacing w:line="560" w:lineRule="exact"/>
        <w:ind w:firstLine="640" w:firstLineChars="200"/>
        <w:outlineLvl w:val="0"/>
        <w:rPr>
          <w:rFonts w:ascii="黑体" w:hAnsi="黑体" w:eastAsia="黑体" w:cs="黑体"/>
          <w:sz w:val="32"/>
          <w:szCs w:val="32"/>
        </w:rPr>
      </w:pPr>
      <w:bookmarkStart w:id="13" w:name="_Toc84599738"/>
      <w:r>
        <w:rPr>
          <w:rFonts w:hint="eastAsia" w:ascii="黑体" w:hAnsi="黑体" w:eastAsia="黑体" w:cs="黑体"/>
          <w:sz w:val="32"/>
          <w:szCs w:val="32"/>
        </w:rPr>
        <w:t>三、综合评价情况及评价结论</w:t>
      </w:r>
      <w:bookmarkEnd w:id="9"/>
      <w:bookmarkEnd w:id="13"/>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该项目的实施，完善了区域路网，满足了企业交通运输需求，为园区提供了市政基础设施，有利于加快区域产业的发展，间接的为当地居民提供了就业机会，提高就业收入，改善居民生活水平。但项目过程中存在管理制度不健全、未按计划完工等问题。无极县皮革后整产业园市政道路工程项目综合评价得分72.84分，绩效评定的结论为“一般”。（具体评分情况见附件）</w:t>
      </w:r>
    </w:p>
    <w:p>
      <w:pPr>
        <w:widowControl/>
        <w:spacing w:after="156" w:afterLines="50" w:line="560" w:lineRule="exact"/>
        <w:jc w:val="center"/>
        <w:rPr>
          <w:rFonts w:ascii="黑体" w:hAnsi="黑体" w:eastAsia="黑体" w:cs="黑体"/>
          <w:bCs/>
          <w:kern w:val="0"/>
          <w:sz w:val="28"/>
          <w:szCs w:val="28"/>
        </w:rPr>
      </w:pPr>
      <w:r>
        <w:rPr>
          <w:rFonts w:hint="eastAsia" w:ascii="黑体" w:hAnsi="黑体" w:eastAsia="黑体" w:cs="黑体"/>
          <w:bCs/>
          <w:kern w:val="0"/>
          <w:sz w:val="28"/>
          <w:szCs w:val="28"/>
        </w:rPr>
        <w:t>表2：项目整体绩效评价结论一览表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3687"/>
        <w:gridCol w:w="2582"/>
        <w:gridCol w:w="26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05"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评价内容</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分值</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评价得分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05"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项目决策</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10</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30"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项目过程管理</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25</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00"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项目产出</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30</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20.34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00"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项目效益</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35</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15"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综合得分</w:t>
            </w:r>
          </w:p>
        </w:tc>
        <w:tc>
          <w:tcPr>
            <w:tcW w:w="144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100</w:t>
            </w:r>
          </w:p>
        </w:tc>
        <w:tc>
          <w:tcPr>
            <w:tcW w:w="1501"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72.84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36" w:hRule="atLeast"/>
          <w:jc w:val="center"/>
        </w:trPr>
        <w:tc>
          <w:tcPr>
            <w:tcW w:w="2058" w:type="pct"/>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绩效评定级别</w:t>
            </w:r>
          </w:p>
        </w:tc>
        <w:tc>
          <w:tcPr>
            <w:tcW w:w="2942" w:type="pct"/>
            <w:gridSpan w:val="2"/>
            <w:shd w:val="clear" w:color="auto" w:fill="auto"/>
            <w:vAlign w:val="center"/>
          </w:tcPr>
          <w:p>
            <w:pPr>
              <w:adjustRightInd w:val="0"/>
              <w:snapToGrid w:val="0"/>
              <w:spacing w:line="320" w:lineRule="exact"/>
              <w:jc w:val="center"/>
              <w:rPr>
                <w:rFonts w:ascii="宋体" w:hAnsi="宋体" w:eastAsia="宋体" w:cs="宋体"/>
                <w:sz w:val="20"/>
                <w:szCs w:val="20"/>
              </w:rPr>
            </w:pPr>
            <w:r>
              <w:rPr>
                <w:rFonts w:hint="eastAsia" w:ascii="宋体" w:hAnsi="宋体" w:eastAsia="宋体" w:cs="宋体"/>
                <w:sz w:val="20"/>
                <w:szCs w:val="20"/>
              </w:rPr>
              <w:t>一般</w:t>
            </w:r>
          </w:p>
        </w:tc>
      </w:tr>
    </w:tbl>
    <w:p>
      <w:pPr>
        <w:adjustRightInd w:val="0"/>
        <w:snapToGrid w:val="0"/>
        <w:spacing w:line="560" w:lineRule="exact"/>
        <w:ind w:firstLine="640" w:firstLineChars="200"/>
        <w:outlineLvl w:val="0"/>
        <w:rPr>
          <w:rFonts w:ascii="黑体" w:hAnsi="黑体" w:eastAsia="黑体" w:cs="黑体"/>
          <w:sz w:val="32"/>
          <w:szCs w:val="32"/>
        </w:rPr>
      </w:pPr>
      <w:bookmarkStart w:id="14" w:name="_Toc84599739"/>
      <w:bookmarkStart w:id="15" w:name="_Toc67472195"/>
      <w:r>
        <w:rPr>
          <w:rFonts w:hint="eastAsia" w:ascii="黑体" w:hAnsi="黑体" w:eastAsia="黑体" w:cs="黑体"/>
          <w:sz w:val="32"/>
          <w:szCs w:val="32"/>
        </w:rPr>
        <w:t>四、绩效评价指标分析</w:t>
      </w:r>
      <w:bookmarkEnd w:id="14"/>
    </w:p>
    <w:p>
      <w:pPr>
        <w:adjustRightInd w:val="0"/>
        <w:snapToGrid w:val="0"/>
        <w:spacing w:line="560" w:lineRule="exact"/>
        <w:ind w:firstLine="640" w:firstLineChars="200"/>
        <w:outlineLvl w:val="1"/>
        <w:rPr>
          <w:rFonts w:ascii="楷体" w:hAnsi="楷体" w:eastAsia="楷体" w:cs="楷体"/>
          <w:sz w:val="32"/>
          <w:szCs w:val="32"/>
        </w:rPr>
      </w:pPr>
      <w:bookmarkStart w:id="16" w:name="_Toc84599740"/>
      <w:r>
        <w:rPr>
          <w:rFonts w:hint="eastAsia" w:ascii="楷体" w:hAnsi="楷体" w:eastAsia="楷体" w:cs="楷体"/>
          <w:sz w:val="32"/>
          <w:szCs w:val="32"/>
        </w:rPr>
        <w:t>（一）项目决策情况</w:t>
      </w:r>
      <w:bookmarkEnd w:id="16"/>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1.项目立项分析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无极县行政审批局关于无极县皮革后整产业园市政道路工程项目可行性研究报告的批复》（无行审审字[2019]27号），无极县皮革后整产业园市政道路工程项目由河北无极经济开发区管理委员会申请，无极县行政审批局批复。</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评价认为，该项目实施符合河北省政府、石家庄市政府的政策要求和战略部署，该项目立项依据充分；项目申请、设立符合相关要求。该指标满分4分，根据评分标准得4分。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2.绩效目标分析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该项目在申报预算时，编制了项目绩效目标表，项目总体绩效目标设置为“提升园区基础设施承载力，改善企业出行条件”，项目总体绩效目标设置不明确、不具体，绩效目标不能反映项目“产出”情况，扣1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项目总体绩效目标设置不明确、不具体，与项目绩效指标匹配度较低，扣1分。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绩效指标设置了产出、效果和满意度绩效指标，项目产出指标中只设置了“建设工程质量合格率（百分比）”一个指标，未设置数量、成本、时效等指标，项目效果指标只设置了“可持续影响”一个指标，未设置社会效益、经济效益等指标，评价认为：上述指标未进行细化、量化，设置简单，难以进行评价考核，扣1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综上所述，该指标满分6分，根据评分标准得3分。</w:t>
      </w:r>
    </w:p>
    <w:p>
      <w:pPr>
        <w:adjustRightInd w:val="0"/>
        <w:snapToGrid w:val="0"/>
        <w:spacing w:line="560" w:lineRule="exact"/>
        <w:ind w:firstLine="640" w:firstLineChars="200"/>
        <w:outlineLvl w:val="1"/>
        <w:rPr>
          <w:rFonts w:ascii="楷体" w:hAnsi="楷体" w:eastAsia="楷体" w:cs="楷体"/>
          <w:sz w:val="32"/>
          <w:szCs w:val="32"/>
        </w:rPr>
      </w:pPr>
      <w:bookmarkStart w:id="17" w:name="_Toc84599741"/>
      <w:r>
        <w:rPr>
          <w:rFonts w:hint="eastAsia" w:ascii="楷体" w:hAnsi="楷体" w:eastAsia="楷体" w:cs="楷体"/>
          <w:sz w:val="32"/>
          <w:szCs w:val="32"/>
        </w:rPr>
        <w:t>（二）项目过程管理</w:t>
      </w:r>
      <w:bookmarkEnd w:id="17"/>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1.资金管理情况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极县皮革后整产业园市政道路工程项目预算资金4120.74万元，项目实际支付资金2784.2万元，预算执行率67.57%，根据绩效评分标准，扣3分；项目评价组查看了项目资金支出的记账凭证及原始凭证，项目支出工程费2700万元，设计费50万元，监理费34.2万元，项目资金使用范围、支付内容符合项目管理规定，不扣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综上所述，该指标满分10分,根据评分标准得7分。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2.项目组织实施分析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无极县机构编制委员会关于印发&lt;河北无极经济开发区职能、内设机构和人员编制规定&gt;的通知》（无编[2017]5号），河北无极经济开发区管理委员会负责组织无极县皮革后整产业园市政道路项目的建设和管理；河北无极经济开发区管理委员会制定了无极开发区工程项目管理办法及财务管理制度；河北无极经济开发区管理委员会负责对项目的实施过程进行监督，截止到2021年7月31日，无极县皮革后整产业园市政道路项目仍未完工，河北无极经济开发区管理委员会未进行验收工作，扣3分；河北无极经济开发区管理委员会负责项目的档案管理工作，未提供项目预算资金审批文件等资料，档案管理资料不齐全，扣1分。</w:t>
      </w:r>
    </w:p>
    <w:p>
      <w:pPr>
        <w:adjustRightInd w:val="0"/>
        <w:snapToGrid w:val="0"/>
        <w:spacing w:line="56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综上所述，该指标满分15分,根据评分标准得11分。</w:t>
      </w:r>
    </w:p>
    <w:p>
      <w:pPr>
        <w:adjustRightInd w:val="0"/>
        <w:snapToGrid w:val="0"/>
        <w:spacing w:line="560" w:lineRule="exact"/>
        <w:ind w:firstLine="640" w:firstLineChars="200"/>
        <w:outlineLvl w:val="1"/>
        <w:rPr>
          <w:rFonts w:ascii="楷体" w:hAnsi="楷体" w:eastAsia="楷体" w:cs="楷体"/>
          <w:sz w:val="32"/>
          <w:szCs w:val="32"/>
        </w:rPr>
      </w:pPr>
      <w:bookmarkStart w:id="18" w:name="_Toc84599742"/>
      <w:r>
        <w:rPr>
          <w:rFonts w:hint="eastAsia" w:ascii="楷体" w:hAnsi="楷体" w:eastAsia="楷体" w:cs="楷体"/>
          <w:sz w:val="32"/>
          <w:szCs w:val="32"/>
        </w:rPr>
        <w:t>（三）项目产出情况</w:t>
      </w:r>
      <w:bookmarkEnd w:id="18"/>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1.项目产出数量分析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无极县皮革后整产业园市政道路工程项目计划完成道路总长度3254米，施工内容为道路39063平方米、便道14474平方米、雨水沟1370米、绿化面积10031平方米、路灯177根，目前已完成道路 2280 米，其中：沥青混凝土主路面 31100平方米，便道 10800 平方米，雨水沟 1020 米，绿化面积 7930 平方米，路灯 136 杆。市政道路实际完成率为79.61%，根据评分标准扣0.82分，配套设施完成率分别为便道74.62%、雨水沟74.45%、绿化79.05%、路灯76.84%，根据评分标准扣分0.84分。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综上所述，该指标满分8分，得分6.34分。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2.项目产出质量分析</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止到2021年7月31日，经与河北无极经济开发区管理委员会沟通了解到，项目尚未竣工，未进行项目竣工验收工作且未取得验收报告、结算报告等资料，因此评价组无法了解到市政道路合格率和道路主要结构尺寸合格率的合格情况，扣4分，该指标满分10分，得6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3.项目产出时效分析</w:t>
      </w:r>
    </w:p>
    <w:p>
      <w:pPr>
        <w:pStyle w:val="26"/>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河北无极经济开发区管理委员会与石家庄一建建设集团有限公司签订的无极县皮革后整产业园市政道路工程设计施工总承包合同显示承包人进场日期为签订合同后3个工作日，合同签订日期为2019年8月22日，根据《无极县行政审批局关于无极县皮革后整产业园市政道路工程项目可行性研究报告的批复》（无行审审字[2019]27号）显示项目建设工期为8个月。截止到2021年7月31日，该项目仍未竣工验收，评价认为，该项目时效性一般，扣4分，该指标满分6分，得2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4.项目产出成本分析</w:t>
      </w:r>
    </w:p>
    <w:p>
      <w:pPr>
        <w:adjustRightInd w:val="0"/>
        <w:snapToGrid w:val="0"/>
        <w:spacing w:line="560" w:lineRule="exact"/>
        <w:ind w:firstLine="640" w:firstLineChars="200"/>
        <w:rPr>
          <w:rFonts w:ascii="仿宋" w:hAnsi="仿宋" w:eastAsia="仿宋" w:cs="仿宋"/>
          <w:sz w:val="32"/>
          <w:szCs w:val="32"/>
        </w:rPr>
      </w:pPr>
      <w:r>
        <w:rPr>
          <w:rFonts w:hint="eastAsia" w:ascii="仿宋_GB2312" w:hAnsi="仿宋_GB2312" w:eastAsia="仿宋_GB2312" w:cs="仿宋_GB2312"/>
          <w:sz w:val="32"/>
          <w:szCs w:val="32"/>
        </w:rPr>
        <w:t>无极县皮革后整产业园市政道路工程项目预算资金4120.74万元，项目合同总金额3964.683万元。项目整体节约了资金，成本节约率3.79%。该指标满分6分，根据评分标准得6分。</w:t>
      </w:r>
    </w:p>
    <w:p>
      <w:pPr>
        <w:numPr>
          <w:ilvl w:val="0"/>
          <w:numId w:val="1"/>
        </w:numPr>
        <w:adjustRightInd w:val="0"/>
        <w:snapToGrid w:val="0"/>
        <w:spacing w:line="560" w:lineRule="exact"/>
        <w:ind w:firstLine="640" w:firstLineChars="200"/>
        <w:outlineLvl w:val="1"/>
        <w:rPr>
          <w:rFonts w:ascii="楷体" w:hAnsi="楷体" w:eastAsia="楷体" w:cs="楷体"/>
          <w:sz w:val="32"/>
          <w:szCs w:val="32"/>
        </w:rPr>
      </w:pPr>
      <w:bookmarkStart w:id="19" w:name="_Toc84599743"/>
      <w:r>
        <w:rPr>
          <w:rFonts w:hint="eastAsia" w:ascii="楷体" w:hAnsi="楷体" w:eastAsia="楷体" w:cs="楷体"/>
          <w:sz w:val="32"/>
          <w:szCs w:val="32"/>
        </w:rPr>
        <w:t>项目效益情况</w:t>
      </w:r>
      <w:bookmarkEnd w:id="19"/>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1.社会效益指标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改善园区路况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本项目的建设和实施，改善了园区道路情况，为后期物流运输提供了保障。但皮革二路和恒昌东延北路均未完工，一定程度上影响了道路通行状况，路况改善较明显。</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该指标满分10分，根据评分标准得8分。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2.经济效益指标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（1）带动周边居民就业</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项目实施期间，当地村民参与施工，拓宽了就业机会。道路建成后，皮革后整园区将会有多家企业入驻，间接的为当地居民提供了就业机会。目前园区新增5个项目，总投资17.88亿元，均已开工建设，建成后将提供就业岗位800个。</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（2）带动园区企业发展，增加当地税收</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项目的建设和实施，延伸和完善了产业园道路骨架，推动整个经济开发区（南区）的市政基础设施建设，为园区引进优秀企业提供了便利条件。目前新增土地出让576.7亩，园区招商引资新增项目5个，其中：诺卫冀源环境技术（河北）有限公司固废、危废处置项目286.3亩、无极县制革工程实验室项目25.5亩、无极县皮革后整园动力中心项目19亩、诺卫环境生态技术发展有限公司中信皮革产业循环经济示范基地项目167.8亩、博通慧谷产业园项目78.1亩。5个项目均已开工建设，建成后将对当地财政增加税收约8650万元。</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由于园区现在处于引进企业和企业建设的初期阶段，企业的发展和带动周边居民就业情况表现为较显著。</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综上所述，该指标满分9分，根据评分标准得5.5分。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3.生态效益指标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本项目通过对无极县皮革后整产业园道路的修建，便道、雨水沟、绿化、路灯等配套设施的建设，完善了区域路网，改善了工业区的环境及现状地貌，但</w:t>
      </w:r>
      <w:bookmarkStart w:id="35" w:name="_GoBack"/>
      <w:bookmarkEnd w:id="35"/>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rPr>
        <w:t>2021年7月31日，道路还有部分未修建，仍未竣工验收，限制了评价组对道路整体生态效益的评价。</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综上所述，路容路貌有较明显提升改善。该指标满分8分，根据评分标准得6分。</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4.服务对象满意度</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为深入了解项目的实施效果，项目单位对园区内企业及工作人员进行了满意度调查。满意度达到90%。</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该指标满分8分，根据评分标准得8分。</w:t>
      </w:r>
    </w:p>
    <w:bookmarkEnd w:id="15"/>
    <w:p>
      <w:pPr>
        <w:spacing w:line="560" w:lineRule="exact"/>
        <w:ind w:left="420" w:leftChars="200" w:firstLine="200"/>
        <w:jc w:val="left"/>
        <w:outlineLvl w:val="0"/>
        <w:rPr>
          <w:rFonts w:ascii="黑体" w:hAnsi="黑体" w:eastAsia="黑体" w:cs="黑体"/>
          <w:bCs/>
          <w:sz w:val="32"/>
          <w:szCs w:val="32"/>
        </w:rPr>
      </w:pPr>
      <w:bookmarkStart w:id="20" w:name="_Toc27581"/>
      <w:bookmarkStart w:id="21" w:name="_Toc67472200"/>
      <w:bookmarkStart w:id="22" w:name="_Toc84599744"/>
      <w:r>
        <w:rPr>
          <w:rFonts w:hint="eastAsia" w:ascii="黑体" w:hAnsi="黑体" w:eastAsia="黑体" w:cs="黑体"/>
          <w:bCs/>
          <w:sz w:val="32"/>
          <w:szCs w:val="32"/>
        </w:rPr>
        <w:t>五、存在的主要问题及</w:t>
      </w:r>
      <w:bookmarkEnd w:id="20"/>
      <w:bookmarkEnd w:id="21"/>
      <w:bookmarkEnd w:id="22"/>
      <w:r>
        <w:rPr>
          <w:rFonts w:hint="eastAsia" w:ascii="黑体" w:hAnsi="黑体" w:eastAsia="黑体" w:cs="黑体"/>
          <w:bCs/>
          <w:sz w:val="32"/>
          <w:szCs w:val="32"/>
        </w:rPr>
        <w:t>相关建议</w:t>
      </w:r>
    </w:p>
    <w:p>
      <w:pPr>
        <w:adjustRightInd w:val="0"/>
        <w:snapToGrid w:val="0"/>
        <w:spacing w:line="560" w:lineRule="exact"/>
        <w:ind w:firstLine="640" w:firstLineChars="200"/>
        <w:rPr>
          <w:rFonts w:ascii="楷体" w:hAnsi="楷体" w:eastAsia="楷体" w:cs="楷体"/>
          <w:sz w:val="32"/>
          <w:szCs w:val="32"/>
        </w:rPr>
      </w:pPr>
      <w:bookmarkStart w:id="23" w:name="_Toc200"/>
      <w:bookmarkStart w:id="24" w:name="_Toc415668839"/>
      <w:bookmarkStart w:id="25" w:name="_Toc29303539"/>
      <w:bookmarkStart w:id="26" w:name="_Toc440030957"/>
      <w:r>
        <w:rPr>
          <w:rFonts w:hint="eastAsia" w:ascii="楷体" w:hAnsi="楷体" w:eastAsia="楷体" w:cs="楷体"/>
          <w:sz w:val="32"/>
          <w:szCs w:val="32"/>
        </w:rPr>
        <w:t>（一）存在的主要问题</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本项目的建设完善了道路网和基础设施，改善了工业区环境和面貌，提高了土地价值，产生经济效益，增加了当地群众的就业机会，给群众带来了利益。但项目执行过程中也存在一些问题：</w:t>
      </w:r>
    </w:p>
    <w:bookmarkEnd w:id="23"/>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1.项目总体目标和项目绩效指标设置不明确、不完整</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项目在申报预算时，编制了项目绩效目标表，项目总体绩效目标设置为“提升园区基础设施承载力，改善企业出行条件”，不能有效反映项目“产出”情况，不符合绩效目标的内涵要求，项目总体绩效目标设置不明确、不具体。</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项目绩效指标设置了产出、效果和满意度绩效指标，项目产出指标中只设置了“建设工程质量合格率（百分比）”一个指标，未设置数量、成本、时效等指标，项目效果指标只设置了“可持续影响”一个指标，未设置社会效益、经济效益等指标，项目绩效指标设置简单，未进行细化、量化。</w:t>
      </w:r>
    </w:p>
    <w:bookmarkEnd w:id="24"/>
    <w:bookmarkEnd w:id="25"/>
    <w:bookmarkEnd w:id="26"/>
    <w:p>
      <w:pPr>
        <w:spacing w:line="560" w:lineRule="exact"/>
        <w:ind w:firstLine="640" w:firstLineChars="200"/>
        <w:jc w:val="left"/>
        <w:rPr>
          <w:rFonts w:ascii="仿宋_GB2312" w:hAnsi="仿宋_GB2312" w:eastAsia="仿宋_GB2312" w:cs="仿宋_GB2312"/>
          <w:sz w:val="32"/>
          <w:szCs w:val="32"/>
        </w:rPr>
      </w:pPr>
      <w:bookmarkStart w:id="27" w:name="_Toc31250"/>
      <w:bookmarkStart w:id="28" w:name="_Toc67472206"/>
      <w:bookmarkStart w:id="29" w:name="_Toc2365"/>
      <w:r>
        <w:rPr>
          <w:rFonts w:hint="eastAsia" w:ascii="仿宋_GB2312" w:hAnsi="仿宋_GB2312" w:eastAsia="仿宋_GB2312" w:cs="仿宋_GB2312"/>
          <w:sz w:val="32"/>
          <w:szCs w:val="32"/>
        </w:rPr>
        <w:t>2</w:t>
      </w:r>
      <w:bookmarkEnd w:id="27"/>
      <w:r>
        <w:rPr>
          <w:rFonts w:hint="eastAsia" w:ascii="仿宋_GB2312" w:hAnsi="仿宋_GB2312" w:eastAsia="仿宋_GB2312" w:cs="仿宋_GB2312"/>
          <w:sz w:val="32"/>
          <w:szCs w:val="32"/>
        </w:rPr>
        <w:t>.项目未按计划进度完工</w:t>
      </w:r>
    </w:p>
    <w:p>
      <w:pPr>
        <w:spacing w:line="560" w:lineRule="exact"/>
        <w:ind w:firstLine="640" w:firstLineChars="200"/>
        <w:jc w:val="left"/>
        <w:rPr>
          <w:rFonts w:ascii="仿宋_GB2312" w:hAnsi="仿宋_GB2312" w:eastAsia="仿宋_GB2312" w:cs="仿宋_GB2312"/>
          <w:sz w:val="32"/>
          <w:szCs w:val="32"/>
        </w:rPr>
      </w:pPr>
      <w:bookmarkStart w:id="30" w:name="_Toc14974"/>
      <w:r>
        <w:rPr>
          <w:rFonts w:hint="eastAsia" w:ascii="仿宋_GB2312" w:hAnsi="仿宋_GB2312" w:eastAsia="仿宋_GB2312" w:cs="仿宋_GB2312"/>
          <w:sz w:val="32"/>
          <w:szCs w:val="32"/>
        </w:rPr>
        <w:t>根据河北无极经济开发区管理委员会与石家庄一建建设集团有限公司签订的无极县皮革后整产业园市政道路工程设计施工总承包合同显示承包人进场日期为签订合同后3个工作日，合同签订日期为2019年8月22日，根据《无极县行政审批局关于无极县皮革后整产业园市政道路工程项目可行性研究报告的批复》（无行审审字[2019]27号）显示项目建设工期为8个月。截止到2021年7月31日，该项目仍未竣工验收，项目产出时效性严重滞后。</w:t>
      </w:r>
    </w:p>
    <w:bookmarkEnd w:id="28"/>
    <w:bookmarkEnd w:id="29"/>
    <w:bookmarkEnd w:id="30"/>
    <w:p>
      <w:pPr>
        <w:spacing w:line="560" w:lineRule="exact"/>
        <w:ind w:left="420" w:leftChars="200" w:firstLine="200"/>
        <w:jc w:val="left"/>
        <w:outlineLvl w:val="0"/>
        <w:rPr>
          <w:rFonts w:ascii="楷体" w:hAnsi="楷体" w:eastAsia="楷体" w:cs="楷体"/>
          <w:bCs/>
          <w:sz w:val="32"/>
          <w:szCs w:val="32"/>
        </w:rPr>
      </w:pPr>
      <w:r>
        <w:rPr>
          <w:rFonts w:hint="eastAsia" w:ascii="楷体" w:hAnsi="楷体" w:eastAsia="楷体" w:cs="楷体"/>
          <w:bCs/>
          <w:sz w:val="32"/>
          <w:szCs w:val="32"/>
        </w:rPr>
        <w:t>（二）相关建议</w:t>
      </w:r>
    </w:p>
    <w:p>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建议河北无极经济开发区管理委员会强化绩效目标意识，规范绩效目标和绩效指标编制，建立健全预算绩效管理制度，梳理预算绩效管理流程体系，细化工作流程，科学设定绩效目标和绩效指标，将所有考核指标量化、细化，根据项目具体实施内容进一步细化完善绩效指标的制定，提高设定质量。</w:t>
      </w:r>
    </w:p>
    <w:p>
      <w:pPr>
        <w:spacing w:line="560" w:lineRule="exact"/>
        <w:ind w:firstLine="640" w:firstLineChars="200"/>
        <w:jc w:val="left"/>
        <w:rPr>
          <w:rFonts w:ascii="仿宋" w:hAnsi="仿宋" w:eastAsia="仿宋" w:cs="仿宋"/>
          <w:sz w:val="32"/>
          <w:szCs w:val="32"/>
        </w:rPr>
      </w:pPr>
      <w:bookmarkStart w:id="31" w:name="_Toc7818"/>
      <w:bookmarkStart w:id="32" w:name="_Toc67472207"/>
      <w:bookmarkStart w:id="33" w:name="_Toc6623"/>
      <w:r>
        <w:rPr>
          <w:rFonts w:hint="eastAsia" w:ascii="仿宋_GB2312" w:hAnsi="仿宋_GB2312" w:eastAsia="仿宋_GB2312" w:cs="仿宋_GB2312"/>
          <w:sz w:val="32"/>
          <w:szCs w:val="32"/>
        </w:rPr>
        <w:t>2</w:t>
      </w:r>
      <w:bookmarkEnd w:id="31"/>
      <w:bookmarkStart w:id="34" w:name="_Toc3414"/>
      <w:r>
        <w:rPr>
          <w:rFonts w:hint="eastAsia" w:ascii="仿宋_GB2312" w:hAnsi="仿宋_GB2312" w:eastAsia="仿宋_GB2312" w:cs="仿宋_GB2312"/>
          <w:sz w:val="32"/>
          <w:szCs w:val="32"/>
        </w:rPr>
        <w:t>.建议河北无极经济开发区管理委员会对项目的实施情况进行严格把关，严格按照项目批复的计划进度进行施工，对项目存在的问题及时沟通解决，使项目能够及时高效的完工。</w:t>
      </w:r>
      <w:bookmarkEnd w:id="32"/>
      <w:bookmarkEnd w:id="33"/>
      <w:bookmarkEnd w:id="34"/>
      <w:r>
        <w:rPr>
          <w:rFonts w:hint="eastAsia" w:ascii="仿宋" w:hAnsi="仿宋" w:eastAsia="仿宋" w:cs="仿宋"/>
          <w:sz w:val="32"/>
          <w:szCs w:val="32"/>
        </w:rPr>
        <w:t xml:space="preserve"> </w:t>
      </w:r>
    </w:p>
    <w:p>
      <w:pPr>
        <w:pStyle w:val="2"/>
        <w:jc w:val="both"/>
        <w:rPr>
          <w:rFonts w:ascii="仿宋" w:hAnsi="仿宋" w:eastAsia="仿宋" w:cs="仿宋"/>
          <w:sz w:val="32"/>
          <w:szCs w:val="32"/>
        </w:rPr>
      </w:pPr>
    </w:p>
    <w:p>
      <w:pPr>
        <w:pStyle w:val="2"/>
        <w:jc w:val="both"/>
        <w:rPr>
          <w:rFonts w:ascii="仿宋" w:hAnsi="仿宋" w:eastAsia="仿宋" w:cs="仿宋"/>
          <w:sz w:val="32"/>
          <w:szCs w:val="32"/>
        </w:rPr>
      </w:pPr>
    </w:p>
    <w:p>
      <w:pPr>
        <w:pStyle w:val="2"/>
        <w:rPr>
          <w:rFonts w:ascii="仿宋_GB2312" w:hAnsi="仿宋_GB2312" w:eastAsia="仿宋_GB2312" w:cs="仿宋_GB2312"/>
          <w:sz w:val="32"/>
          <w:szCs w:val="32"/>
        </w:rPr>
      </w:pPr>
    </w:p>
    <w:p>
      <w:pPr>
        <w:pStyle w:val="2"/>
        <w:jc w:val="both"/>
        <w:rPr>
          <w:rFonts w:ascii="仿宋_GB2312" w:hAnsi="仿宋_GB2312" w:eastAsia="仿宋_GB2312" w:cs="仿宋_GB2312"/>
          <w:sz w:val="32"/>
          <w:szCs w:val="32"/>
        </w:rPr>
      </w:pPr>
    </w:p>
    <w:p>
      <w:pPr>
        <w:pStyle w:val="2"/>
        <w:rPr>
          <w:rFonts w:ascii="仿宋_GB2312" w:hAnsi="仿宋_GB2312" w:eastAsia="仿宋_GB2312" w:cs="仿宋_GB2312"/>
          <w:sz w:val="32"/>
          <w:szCs w:val="32"/>
        </w:rPr>
      </w:pPr>
    </w:p>
    <w:p>
      <w:pPr>
        <w:spacing w:line="560" w:lineRule="exact"/>
        <w:ind w:left="1598" w:leftChars="304" w:hanging="960" w:hanging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附件：无极县皮革后整产业园市政道路工程项目绩效评价指标体系评分表</w:t>
      </w:r>
    </w:p>
    <w:p>
      <w:pPr>
        <w:spacing w:line="360" w:lineRule="auto"/>
        <w:ind w:firstLine="640" w:firstLineChars="200"/>
        <w:jc w:val="left"/>
        <w:rPr>
          <w:rFonts w:ascii="仿宋_GB2312" w:hAnsi="仿宋_GB2312" w:eastAsia="仿宋_GB2312" w:cs="仿宋_GB2312"/>
          <w:sz w:val="32"/>
          <w:szCs w:val="32"/>
        </w:rPr>
      </w:pPr>
    </w:p>
    <w:p>
      <w:pPr>
        <w:rPr>
          <w:rFonts w:ascii="仿宋" w:hAnsi="仿宋" w:eastAsia="仿宋" w:cs="仿宋"/>
          <w:sz w:val="30"/>
          <w:szCs w:val="30"/>
        </w:rPr>
      </w:pPr>
    </w:p>
    <w:p>
      <w:pPr>
        <w:pStyle w:val="2"/>
      </w:pPr>
    </w:p>
    <w:p>
      <w:pPr>
        <w:pStyle w:val="2"/>
      </w:pPr>
    </w:p>
    <w:p>
      <w:pPr>
        <w:pStyle w:val="2"/>
        <w:jc w:val="both"/>
      </w:pPr>
    </w:p>
    <w:p>
      <w:pPr>
        <w:pStyle w:val="2"/>
        <w:jc w:val="right"/>
        <w:rPr>
          <w:rFonts w:ascii="仿宋" w:hAnsi="仿宋" w:eastAsia="仿宋" w:cs="仿宋"/>
          <w:b/>
          <w:sz w:val="30"/>
          <w:szCs w:val="30"/>
        </w:rPr>
        <w:sectPr>
          <w:footerReference r:id="rId4" w:type="default"/>
          <w:pgSz w:w="11906" w:h="16838"/>
          <w:pgMar w:top="2098" w:right="1531" w:bottom="1984" w:left="1531" w:header="851" w:footer="1417" w:gutter="0"/>
          <w:pgNumType w:start="1"/>
          <w:cols w:space="0" w:num="1"/>
          <w:docGrid w:type="lines" w:linePitch="312" w:charSpace="0"/>
        </w:sectPr>
      </w:pPr>
    </w:p>
    <w:p>
      <w:pPr>
        <w:spacing w:line="560" w:lineRule="exact"/>
        <w:jc w:val="left"/>
        <w:rPr>
          <w:rFonts w:ascii="黑体" w:hAnsi="黑体" w:eastAsia="黑体" w:cs="黑体"/>
          <w:sz w:val="32"/>
          <w:szCs w:val="32"/>
        </w:rPr>
      </w:pPr>
      <w:r>
        <w:rPr>
          <w:rFonts w:hint="eastAsia" w:ascii="黑体" w:hAnsi="黑体" w:eastAsia="黑体" w:cs="黑体"/>
          <w:sz w:val="32"/>
          <w:szCs w:val="32"/>
        </w:rPr>
        <w:t>附件：无极县皮革后整产业园市政道路工程项目绩效评价指标体系评分表</w:t>
      </w:r>
    </w:p>
    <w:tbl>
      <w:tblPr>
        <w:tblStyle w:val="13"/>
        <w:tblW w:w="5057" w:type="pct"/>
        <w:tblInd w:w="-92" w:type="dxa"/>
        <w:tblLayout w:type="autofit"/>
        <w:tblCellMar>
          <w:top w:w="0" w:type="dxa"/>
          <w:left w:w="108" w:type="dxa"/>
          <w:bottom w:w="0" w:type="dxa"/>
          <w:right w:w="108" w:type="dxa"/>
        </w:tblCellMar>
      </w:tblPr>
      <w:tblGrid>
        <w:gridCol w:w="1242"/>
        <w:gridCol w:w="1277"/>
        <w:gridCol w:w="1730"/>
        <w:gridCol w:w="1090"/>
        <w:gridCol w:w="2487"/>
        <w:gridCol w:w="3259"/>
        <w:gridCol w:w="1050"/>
        <w:gridCol w:w="2201"/>
      </w:tblGrid>
      <w:tr>
        <w:tblPrEx>
          <w:tblCellMar>
            <w:top w:w="0" w:type="dxa"/>
            <w:left w:w="108" w:type="dxa"/>
            <w:bottom w:w="0" w:type="dxa"/>
            <w:right w:w="108" w:type="dxa"/>
          </w:tblCellMar>
        </w:tblPrEx>
        <w:trPr>
          <w:trHeight w:val="450" w:hRule="atLeast"/>
          <w:tblHeader/>
        </w:trPr>
        <w:tc>
          <w:tcPr>
            <w:tcW w:w="433" w:type="pc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一级指标</w:t>
            </w:r>
          </w:p>
        </w:tc>
        <w:tc>
          <w:tcPr>
            <w:tcW w:w="445" w:type="pc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二级指标</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三级指标</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权重分值</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指标解释</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评分办法</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得分</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扣分原因</w:t>
            </w:r>
          </w:p>
        </w:tc>
      </w:tr>
      <w:tr>
        <w:tblPrEx>
          <w:tblCellMar>
            <w:top w:w="0" w:type="dxa"/>
            <w:left w:w="108" w:type="dxa"/>
            <w:bottom w:w="0" w:type="dxa"/>
            <w:right w:w="108" w:type="dxa"/>
          </w:tblCellMar>
        </w:tblPrEx>
        <w:trPr>
          <w:trHeight w:val="882" w:hRule="atLeast"/>
        </w:trPr>
        <w:tc>
          <w:tcPr>
            <w:tcW w:w="433" w:type="pct"/>
            <w:vMerge w:val="restart"/>
            <w:tcBorders>
              <w:top w:val="single" w:color="auto" w:sz="4" w:space="0"/>
              <w:left w:val="single" w:color="auto"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项目决策（10分）</w:t>
            </w:r>
          </w:p>
        </w:tc>
        <w:tc>
          <w:tcPr>
            <w:tcW w:w="445" w:type="pct"/>
            <w:vMerge w:val="restart"/>
            <w:tcBorders>
              <w:top w:val="single" w:color="auto" w:sz="4" w:space="0"/>
              <w:left w:val="single" w:color="000000" w:sz="4" w:space="0"/>
              <w:bottom w:val="nil"/>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项目立项合规性</w:t>
            </w:r>
          </w:p>
        </w:tc>
        <w:tc>
          <w:tcPr>
            <w:tcW w:w="603" w:type="pct"/>
            <w:tcBorders>
              <w:top w:val="single" w:color="000000" w:sz="4" w:space="0"/>
              <w:left w:val="single" w:color="auto"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立项依据充分性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考核项目与省、市政策、战略部署是否一致；项目申请、设立是否符合部门职责</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1.项目与省、市政策、战略部署一致，得1分；2.项目申请、设立与部门职责相符，得1分；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773" w:hRule="atLeast"/>
        </w:trPr>
        <w:tc>
          <w:tcPr>
            <w:tcW w:w="433" w:type="pct"/>
            <w:vMerge w:val="continue"/>
            <w:tcBorders>
              <w:top w:val="single" w:color="000000" w:sz="4" w:space="0"/>
              <w:left w:val="single" w:color="auto" w:sz="4" w:space="0"/>
              <w:bottom w:val="nil"/>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000000" w:sz="4" w:space="0"/>
              <w:left w:val="single" w:color="000000" w:sz="4" w:space="0"/>
              <w:bottom w:val="nil"/>
              <w:right w:val="single" w:color="auto"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auto"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立项程序规范性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项目申请设立程序是否符合相关程序</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项目申请设立程序符合相关程序得1分，审批文件、材料齐全得1分；</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732" w:hRule="atLeast"/>
        </w:trPr>
        <w:tc>
          <w:tcPr>
            <w:tcW w:w="433"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restart"/>
            <w:tcBorders>
              <w:top w:val="single" w:color="000000" w:sz="4" w:space="0"/>
              <w:left w:val="single" w:color="000000" w:sz="4" w:space="0"/>
              <w:bottom w:val="single" w:color="auto"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绩效目标</w:t>
            </w:r>
          </w:p>
        </w:tc>
        <w:tc>
          <w:tcPr>
            <w:tcW w:w="603" w:type="pct"/>
            <w:tcBorders>
              <w:top w:val="single" w:color="000000" w:sz="4" w:space="0"/>
              <w:left w:val="single" w:color="auto"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绩效目标合理性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考核项目是否制定了绩效目标，项目所制定的绩效目标是否量化、细化。</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1.项目制定了绩效目标，得1分；2.项目所设置的绩效目标量化、细化，得1分；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项目目标设置不明确、不具体</w:t>
            </w:r>
          </w:p>
        </w:tc>
      </w:tr>
      <w:tr>
        <w:tblPrEx>
          <w:tblCellMar>
            <w:top w:w="0" w:type="dxa"/>
            <w:left w:w="108" w:type="dxa"/>
            <w:bottom w:w="0" w:type="dxa"/>
            <w:right w:w="108" w:type="dxa"/>
          </w:tblCellMar>
        </w:tblPrEx>
        <w:trPr>
          <w:trHeight w:val="854" w:hRule="atLeast"/>
        </w:trPr>
        <w:tc>
          <w:tcPr>
            <w:tcW w:w="433" w:type="pct"/>
            <w:vMerge w:val="continue"/>
            <w:tcBorders>
              <w:top w:val="single" w:color="auto" w:sz="4" w:space="0"/>
              <w:left w:val="single" w:color="auto"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auto"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项目绩效指标与绩效目标的匹配性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考核项目是否设置了项目绩效指标；绩效指标与项目绩效目标是否相匹配；</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1.项目制定了绩效指标，得1分；2.项目所制定的绩效指标与项目绩效目标相匹配，得1分；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绩效目标与绩效指标匹配度较低</w:t>
            </w:r>
          </w:p>
        </w:tc>
      </w:tr>
      <w:tr>
        <w:tblPrEx>
          <w:tblCellMar>
            <w:top w:w="0" w:type="dxa"/>
            <w:left w:w="108" w:type="dxa"/>
            <w:bottom w:w="0" w:type="dxa"/>
            <w:right w:w="108" w:type="dxa"/>
          </w:tblCellMar>
        </w:tblPrEx>
        <w:trPr>
          <w:trHeight w:val="1140" w:hRule="atLeast"/>
        </w:trPr>
        <w:tc>
          <w:tcPr>
            <w:tcW w:w="433" w:type="pct"/>
            <w:vMerge w:val="continue"/>
            <w:tcBorders>
              <w:top w:val="single" w:color="auto" w:sz="4" w:space="0"/>
              <w:left w:val="single" w:color="auto"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auto"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auto"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项目绩效指标细化量化程度</w:t>
            </w:r>
          </w:p>
        </w:tc>
        <w:tc>
          <w:tcPr>
            <w:tcW w:w="380" w:type="pc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核绩效指标设置是否能全面准确反映项目目标完成情况，细化量化，可衡量；</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1.项目绩效指标设置能全面准确反映项目目标完成情况，得1分；2.项目所制定的绩效指标细化、量化、可衡量，得1分；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项目绩效目标设置简单，未进行细化、量化</w:t>
            </w:r>
          </w:p>
        </w:tc>
      </w:tr>
      <w:tr>
        <w:tblPrEx>
          <w:tblCellMar>
            <w:top w:w="0" w:type="dxa"/>
            <w:left w:w="108" w:type="dxa"/>
            <w:bottom w:w="0" w:type="dxa"/>
            <w:right w:w="108" w:type="dxa"/>
          </w:tblCellMar>
        </w:tblPrEx>
        <w:trPr>
          <w:trHeight w:val="1033" w:hRule="atLeast"/>
        </w:trPr>
        <w:tc>
          <w:tcPr>
            <w:tcW w:w="433"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项目过程管理（25分）</w:t>
            </w: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续上页</w:t>
            </w:r>
          </w:p>
        </w:tc>
        <w:tc>
          <w:tcPr>
            <w:tcW w:w="445" w:type="pct"/>
            <w:vMerge w:val="restart"/>
            <w:tcBorders>
              <w:top w:val="single" w:color="auto" w:sz="4" w:space="0"/>
              <w:left w:val="single" w:color="000000" w:sz="4" w:space="0"/>
              <w:bottom w:val="single" w:color="auto"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资金管理</w:t>
            </w:r>
          </w:p>
        </w:tc>
        <w:tc>
          <w:tcPr>
            <w:tcW w:w="603" w:type="pct"/>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预算执行率</w:t>
            </w:r>
          </w:p>
        </w:tc>
        <w:tc>
          <w:tcPr>
            <w:tcW w:w="380" w:type="pct"/>
            <w:tcBorders>
              <w:top w:val="single" w:color="auto" w:sz="4" w:space="0"/>
              <w:left w:val="single" w:color="000000" w:sz="4" w:space="0"/>
              <w:bottom w:val="single" w:color="auto"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867" w:type="pct"/>
            <w:tcBorders>
              <w:top w:val="single" w:color="000000" w:sz="4" w:space="0"/>
              <w:left w:val="single" w:color="auto"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预算执行率=（实际支出资金/实际到位预算资金）×100%</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预算资金执行率≥95%，得5分；预算资金执行率＜95%，每降低10%扣1分，扣完为止；小于50%不得分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预算执行率为67.57%，执行率较低</w:t>
            </w:r>
          </w:p>
        </w:tc>
      </w:tr>
      <w:tr>
        <w:tblPrEx>
          <w:tblCellMar>
            <w:top w:w="0" w:type="dxa"/>
            <w:left w:w="108" w:type="dxa"/>
            <w:bottom w:w="0" w:type="dxa"/>
            <w:right w:w="108" w:type="dxa"/>
          </w:tblCellMar>
        </w:tblPrEx>
        <w:trPr>
          <w:trHeight w:val="855"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资金使用合规性</w:t>
            </w:r>
          </w:p>
        </w:tc>
        <w:tc>
          <w:tcPr>
            <w:tcW w:w="380" w:type="pc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项目资金使用范围、支付内容是否合规</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查看记账凭证及原始凭证，核查资金支付内容、使用范围，资金使用合规得5分，不合规不得分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855"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组织实施管理</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管理职责明确性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管理职责是否明确，是否符合无极县经济开发区管理委员会职责范围</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明确，得3分；一般，得2分；不明确不得分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1425"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管理制度健全性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项目实施单位的财务和业务管理制度是否健全，用以反映和考核财务和业务管理制度对项目顺利实施的保障情况</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①已制定或具有相应的财务和业务管理制度，得2分；</w:t>
            </w:r>
            <w:r>
              <w:rPr>
                <w:rFonts w:hint="eastAsia" w:ascii="宋体" w:hAnsi="宋体" w:eastAsia="宋体" w:cs="宋体"/>
                <w:color w:val="000000"/>
                <w:kern w:val="0"/>
                <w:sz w:val="20"/>
                <w:szCs w:val="20"/>
                <w:lang w:bidi="ar"/>
              </w:rPr>
              <w:br w:type="textWrapping"/>
            </w:r>
            <w:r>
              <w:rPr>
                <w:rFonts w:hint="eastAsia" w:ascii="宋体" w:hAnsi="宋体" w:eastAsia="宋体" w:cs="宋体"/>
                <w:color w:val="000000"/>
                <w:kern w:val="0"/>
                <w:sz w:val="20"/>
                <w:szCs w:val="20"/>
                <w:lang w:bidi="ar"/>
              </w:rPr>
              <w:t>②财务和业务管理制度是否合法、合规、完整，得2分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1140"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质量管理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对项目实施过程进行监督；对项目实施的质量进行验收</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对实施过程进行监督，得2分；对项目实施的质量进行验收，得3分，若与实际不相符则酌情扣分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未见项目验收资料</w:t>
            </w:r>
          </w:p>
        </w:tc>
      </w:tr>
      <w:tr>
        <w:tblPrEx>
          <w:tblCellMar>
            <w:top w:w="0" w:type="dxa"/>
            <w:left w:w="108" w:type="dxa"/>
            <w:bottom w:w="0" w:type="dxa"/>
            <w:right w:w="108" w:type="dxa"/>
          </w:tblCellMar>
        </w:tblPrEx>
        <w:trPr>
          <w:trHeight w:val="855"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档案管理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867" w:type="pc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项目相关档案是否资料齐全、记录完整、归档及时；</w:t>
            </w:r>
          </w:p>
        </w:tc>
        <w:tc>
          <w:tcPr>
            <w:tcW w:w="1136" w:type="pc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项目相关档案资料齐全、归档及时，得3分；资料不齐全则酌情扣分；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档案管理不齐全</w:t>
            </w:r>
          </w:p>
        </w:tc>
      </w:tr>
      <w:tr>
        <w:tblPrEx>
          <w:tblCellMar>
            <w:top w:w="0" w:type="dxa"/>
            <w:left w:w="108" w:type="dxa"/>
            <w:bottom w:w="0" w:type="dxa"/>
            <w:right w:w="108" w:type="dxa"/>
          </w:tblCellMar>
        </w:tblPrEx>
        <w:trPr>
          <w:trHeight w:val="840" w:hRule="atLeast"/>
        </w:trPr>
        <w:tc>
          <w:tcPr>
            <w:tcW w:w="433"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项目产出（30分）</w:t>
            </w: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续上页</w:t>
            </w:r>
          </w:p>
        </w:tc>
        <w:tc>
          <w:tcPr>
            <w:tcW w:w="445"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产出数量</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市政道路实际完成率</w:t>
            </w:r>
          </w:p>
        </w:tc>
        <w:tc>
          <w:tcPr>
            <w:tcW w:w="380" w:type="pct"/>
            <w:tcBorders>
              <w:top w:val="single" w:color="000000" w:sz="4" w:space="0"/>
              <w:left w:val="single" w:color="000000" w:sz="4" w:space="0"/>
              <w:bottom w:val="single" w:color="000000"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867" w:type="pct"/>
            <w:vMerge w:val="restart"/>
            <w:tcBorders>
              <w:top w:val="single" w:color="auto" w:sz="4" w:space="0"/>
              <w:left w:val="single" w:color="auto"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实际完成率=（实际产出数/计划产出数）×100%，用以反映和考核项目产出数量目标的实现程度</w:t>
            </w:r>
          </w:p>
        </w:tc>
        <w:tc>
          <w:tcPr>
            <w:tcW w:w="1136" w:type="pct"/>
            <w:tcBorders>
              <w:top w:val="single" w:color="auto" w:sz="4" w:space="0"/>
              <w:left w:val="single" w:color="000000" w:sz="4" w:space="0"/>
              <w:bottom w:val="single" w:color="000000"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实际完成率=100%，得4分，未全部完成则按比例得分；</w:t>
            </w:r>
          </w:p>
        </w:tc>
        <w:tc>
          <w:tcPr>
            <w:tcW w:w="366" w:type="pct"/>
            <w:tcBorders>
              <w:top w:val="single" w:color="000000" w:sz="4" w:space="0"/>
              <w:left w:val="single" w:color="auto"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3.18</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按实际完成率扣分，实际完成率79.61%</w:t>
            </w:r>
          </w:p>
        </w:tc>
      </w:tr>
      <w:tr>
        <w:tblPrEx>
          <w:tblCellMar>
            <w:top w:w="0" w:type="dxa"/>
            <w:left w:w="108" w:type="dxa"/>
            <w:bottom w:w="0" w:type="dxa"/>
            <w:right w:w="108" w:type="dxa"/>
          </w:tblCellMar>
        </w:tblPrEx>
        <w:trPr>
          <w:trHeight w:val="860"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配套设施完成率</w:t>
            </w:r>
          </w:p>
        </w:tc>
        <w:tc>
          <w:tcPr>
            <w:tcW w:w="380" w:type="pct"/>
            <w:tcBorders>
              <w:top w:val="single" w:color="000000" w:sz="4" w:space="0"/>
              <w:left w:val="single" w:color="000000" w:sz="4" w:space="0"/>
              <w:bottom w:val="single" w:color="000000"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867"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136" w:type="pct"/>
            <w:tcBorders>
              <w:top w:val="single" w:color="000000" w:sz="4" w:space="0"/>
              <w:left w:val="single" w:color="000000" w:sz="4" w:space="0"/>
              <w:bottom w:val="single" w:color="auto" w:sz="4" w:space="0"/>
              <w:right w:val="single" w:color="auto"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实际完成率=100%，得4分，未全部完成则按比例得分；</w:t>
            </w:r>
          </w:p>
        </w:tc>
        <w:tc>
          <w:tcPr>
            <w:tcW w:w="366" w:type="pct"/>
            <w:tcBorders>
              <w:top w:val="single" w:color="000000" w:sz="4" w:space="0"/>
              <w:left w:val="single" w:color="auto"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3.16</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按实际完成率扣分，实际完成率79.05%</w:t>
            </w:r>
          </w:p>
        </w:tc>
      </w:tr>
      <w:tr>
        <w:tblPrEx>
          <w:tblCellMar>
            <w:top w:w="0" w:type="dxa"/>
            <w:left w:w="108" w:type="dxa"/>
            <w:bottom w:w="0" w:type="dxa"/>
            <w:right w:w="108" w:type="dxa"/>
          </w:tblCellMar>
        </w:tblPrEx>
        <w:trPr>
          <w:trHeight w:val="1710"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产出质量</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市政道路质量合格率</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867" w:type="pc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质量验收达标率=（质量验收达标产出数/实际产出数）×100%，并提供验收报告、结算报告等书面资料</w:t>
            </w:r>
          </w:p>
        </w:tc>
        <w:tc>
          <w:tcPr>
            <w:tcW w:w="1136" w:type="pc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验收达标率≥90%，得6分，每减少10%，扣1分；验收达标率＜60%得0分；项目单位未提供验收报告、结算报告等书面资料，酌情扣分；若验收情况与实际不符则酌情扣分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未见验收报告、结算报告等资料</w:t>
            </w:r>
          </w:p>
        </w:tc>
      </w:tr>
      <w:tr>
        <w:tblPrEx>
          <w:tblCellMar>
            <w:top w:w="0" w:type="dxa"/>
            <w:left w:w="108" w:type="dxa"/>
            <w:bottom w:w="0" w:type="dxa"/>
            <w:right w:w="108" w:type="dxa"/>
          </w:tblCellMar>
        </w:tblPrEx>
        <w:trPr>
          <w:trHeight w:val="1522" w:hRule="atLeast"/>
        </w:trPr>
        <w:tc>
          <w:tcPr>
            <w:tcW w:w="433"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道路主要结构尺寸合格率</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市政道路宽度、厚度达标程度，并提供验收报告、结算报告等书面资料</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市政道路宽度、厚度达到设计标准，得4分，未达到标准，不得分；项目单位未提供验收报告、结算报告等书面资料，酌情扣分；若验收情况与实际不符则酌情扣分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未见验收报告、结算报告等资料</w:t>
            </w:r>
          </w:p>
        </w:tc>
      </w:tr>
      <w:tr>
        <w:tblPrEx>
          <w:tblCellMar>
            <w:top w:w="0" w:type="dxa"/>
            <w:left w:w="108" w:type="dxa"/>
            <w:bottom w:w="0" w:type="dxa"/>
            <w:right w:w="108" w:type="dxa"/>
          </w:tblCellMar>
        </w:tblPrEx>
        <w:trPr>
          <w:trHeight w:val="855" w:hRule="atLeast"/>
        </w:trPr>
        <w:tc>
          <w:tcPr>
            <w:tcW w:w="433" w:type="pct"/>
            <w:vMerge w:val="continue"/>
            <w:tcBorders>
              <w:top w:val="single" w:color="auto" w:sz="4" w:space="0"/>
              <w:left w:val="single" w:color="000000" w:sz="4" w:space="0"/>
              <w:bottom w:val="nil"/>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产出时效</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市政道路完成及时性</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项目在计划时间内完成，用以反映和考核项目完成的及时程度。</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及时得6分，较及时得4分，一般得2分，不及时不得分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未在计划时间内完成</w:t>
            </w:r>
          </w:p>
        </w:tc>
      </w:tr>
      <w:tr>
        <w:tblPrEx>
          <w:tblCellMar>
            <w:top w:w="0" w:type="dxa"/>
            <w:left w:w="108" w:type="dxa"/>
            <w:bottom w:w="0" w:type="dxa"/>
            <w:right w:w="108" w:type="dxa"/>
          </w:tblCellMar>
        </w:tblPrEx>
        <w:trPr>
          <w:trHeight w:val="1140" w:hRule="atLeast"/>
        </w:trPr>
        <w:tc>
          <w:tcPr>
            <w:tcW w:w="433"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产出成本</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成本节约率</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成本节约率=〔（计划成本-实际成本）/计划成本〕×100%，用以反映和考核项目的成本节约程度。</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成本节约率≥0，得6分；成本节约率＜0，每降低10%，扣1分，扣完为止；</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820" w:hRule="atLeast"/>
        </w:trPr>
        <w:tc>
          <w:tcPr>
            <w:tcW w:w="4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项目效益（35分）</w:t>
            </w: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续上页</w:t>
            </w:r>
          </w:p>
        </w:tc>
        <w:tc>
          <w:tcPr>
            <w:tcW w:w="445"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社会效益指标</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改善园区路况</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10</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反映项目实施后路况改善情况</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明显提升得10分；较明显得8分；一般得4分；较差不得分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部分路段未完工</w:t>
            </w:r>
          </w:p>
        </w:tc>
      </w:tr>
      <w:tr>
        <w:tblPrEx>
          <w:tblCellMar>
            <w:top w:w="0" w:type="dxa"/>
            <w:left w:w="108" w:type="dxa"/>
            <w:bottom w:w="0" w:type="dxa"/>
            <w:right w:w="108" w:type="dxa"/>
          </w:tblCellMar>
        </w:tblPrEx>
        <w:trPr>
          <w:trHeight w:val="760" w:hRule="atLeast"/>
        </w:trPr>
        <w:tc>
          <w:tcPr>
            <w:tcW w:w="4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经济效益指标</w:t>
            </w:r>
          </w:p>
          <w:p>
            <w:pPr>
              <w:widowControl/>
              <w:jc w:val="left"/>
              <w:textAlignment w:val="center"/>
              <w:rPr>
                <w:rFonts w:ascii="宋体" w:hAnsi="宋体" w:eastAsia="宋体" w:cs="宋体"/>
                <w:color w:val="000000"/>
                <w:kern w:val="0"/>
                <w:sz w:val="20"/>
                <w:szCs w:val="20"/>
                <w:lang w:bidi="ar"/>
              </w:rPr>
            </w:pPr>
          </w:p>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续上页</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带动周边居民就业</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市政道路对周边居民就业情况有无提升</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显著得5分；较显著得3分；一般得2分，较差不得分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较显著</w:t>
            </w:r>
          </w:p>
        </w:tc>
      </w:tr>
      <w:tr>
        <w:tblPrEx>
          <w:tblCellMar>
            <w:top w:w="0" w:type="dxa"/>
            <w:left w:w="108" w:type="dxa"/>
            <w:bottom w:w="0" w:type="dxa"/>
            <w:right w:w="108" w:type="dxa"/>
          </w:tblCellMar>
        </w:tblPrEx>
        <w:trPr>
          <w:trHeight w:val="960" w:hRule="atLeast"/>
        </w:trPr>
        <w:tc>
          <w:tcPr>
            <w:tcW w:w="4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带动园区企业发展,增加当地税收</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道路的实施，给园区企业带来运输的便利，带动园区企业发展，增加当地税收</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显著得4分；较显著得2.5分；一般得1.5分，较差不得分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2.5</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较显著</w:t>
            </w:r>
          </w:p>
        </w:tc>
      </w:tr>
      <w:tr>
        <w:tblPrEx>
          <w:tblCellMar>
            <w:top w:w="0" w:type="dxa"/>
            <w:left w:w="108" w:type="dxa"/>
            <w:bottom w:w="0" w:type="dxa"/>
            <w:right w:w="108" w:type="dxa"/>
          </w:tblCellMar>
        </w:tblPrEx>
        <w:trPr>
          <w:trHeight w:val="800" w:hRule="atLeast"/>
        </w:trPr>
        <w:tc>
          <w:tcPr>
            <w:tcW w:w="4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tcBorders>
              <w:top w:val="nil"/>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生态效益指标</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园区容貌环境得到改善</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市政道路对园区容貌环境有无提升</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明显提升得8分；较明显得6分；一般得3分；较差不得分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道路未全部完工</w:t>
            </w:r>
          </w:p>
        </w:tc>
      </w:tr>
      <w:tr>
        <w:tblPrEx>
          <w:tblCellMar>
            <w:top w:w="0" w:type="dxa"/>
            <w:left w:w="108" w:type="dxa"/>
            <w:bottom w:w="0" w:type="dxa"/>
            <w:right w:w="108" w:type="dxa"/>
          </w:tblCellMar>
        </w:tblPrEx>
        <w:trPr>
          <w:trHeight w:val="1140" w:hRule="atLeast"/>
        </w:trPr>
        <w:tc>
          <w:tcPr>
            <w:tcW w:w="4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445" w:type="pct"/>
            <w:tcBorders>
              <w:top w:val="single" w:color="000000" w:sz="4" w:space="0"/>
              <w:left w:val="single" w:color="000000" w:sz="4" w:space="0"/>
              <w:bottom w:val="nil"/>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满意度指标</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受益对象满意度</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反映园区企业和工作人员对项目实施效果的满意情况，满意度＝（非常满意人数+基本满意人数）/调查人数×100%；</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满意率≥90%，得8分；80%≤满意率＜90%，得6分；60%≤满意率＜80%，得4分；小于60%不得分。</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r>
      <w:tr>
        <w:tblPrEx>
          <w:tblCellMar>
            <w:top w:w="0" w:type="dxa"/>
            <w:left w:w="108" w:type="dxa"/>
            <w:bottom w:w="0" w:type="dxa"/>
            <w:right w:w="108" w:type="dxa"/>
          </w:tblCellMar>
        </w:tblPrEx>
        <w:trPr>
          <w:trHeight w:val="420" w:hRule="atLeast"/>
        </w:trPr>
        <w:tc>
          <w:tcPr>
            <w:tcW w:w="8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评价总分</w:t>
            </w:r>
          </w:p>
        </w:tc>
        <w:tc>
          <w:tcPr>
            <w:tcW w:w="6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100</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72.84</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r>
    </w:tbl>
    <w:p>
      <w:pPr>
        <w:pStyle w:val="2"/>
        <w:jc w:val="both"/>
        <w:rPr>
          <w:rFonts w:ascii="仿宋" w:hAnsi="仿宋" w:eastAsia="仿宋" w:cs="仿宋"/>
          <w:sz w:val="30"/>
          <w:szCs w:val="30"/>
        </w:rPr>
      </w:pPr>
    </w:p>
    <w:p>
      <w:pPr>
        <w:pStyle w:val="2"/>
        <w:jc w:val="both"/>
        <w:rPr>
          <w:rFonts w:ascii="仿宋" w:hAnsi="仿宋" w:eastAsia="仿宋" w:cs="仿宋"/>
          <w:sz w:val="30"/>
          <w:szCs w:val="30"/>
        </w:rPr>
      </w:pPr>
    </w:p>
    <w:p>
      <w:pPr>
        <w:pStyle w:val="2"/>
        <w:jc w:val="both"/>
        <w:rPr>
          <w:rFonts w:ascii="仿宋" w:hAnsi="仿宋" w:eastAsia="仿宋" w:cs="仿宋"/>
          <w:sz w:val="30"/>
          <w:szCs w:val="30"/>
        </w:rPr>
      </w:pPr>
    </w:p>
    <w:sectPr>
      <w:footerReference r:id="rId5"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7CAD6CE-A4D5-4AB7-BFD3-FCE48DDD7E0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D6C617FB-EA79-4E07-9BAC-1BB0C2C602D2}"/>
  </w:font>
  <w:font w:name="仿宋">
    <w:panose1 w:val="02010609060101010101"/>
    <w:charset w:val="86"/>
    <w:family w:val="modern"/>
    <w:pitch w:val="default"/>
    <w:sig w:usb0="800002BF" w:usb1="38CF7CFA" w:usb2="00000016" w:usb3="00000000" w:csb0="00040001" w:csb1="00000000"/>
    <w:embedRegular r:id="rId3" w:fontKey="{325FE1AA-A570-4AFE-9DA0-254E47AC9765}"/>
  </w:font>
  <w:font w:name="楷体">
    <w:panose1 w:val="02010609060101010101"/>
    <w:charset w:val="86"/>
    <w:family w:val="modern"/>
    <w:pitch w:val="default"/>
    <w:sig w:usb0="800002BF" w:usb1="38CF7CFA" w:usb2="00000016" w:usb3="00000000" w:csb0="00040001" w:csb1="00000000"/>
    <w:embedRegular r:id="rId4" w:fontKey="{886CD2DD-E7FB-480C-8F2C-C51840AF57D8}"/>
  </w:font>
  <w:font w:name="华文中宋">
    <w:panose1 w:val="02010600040101010101"/>
    <w:charset w:val="86"/>
    <w:family w:val="auto"/>
    <w:pitch w:val="default"/>
    <w:sig w:usb0="00000287" w:usb1="080F0000" w:usb2="00000000" w:usb3="00000000" w:csb0="0004009F" w:csb1="DFD70000"/>
    <w:embedRegular r:id="rId5" w:fontKey="{C095C253-CFE0-463C-A2B7-0DC4A87120B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rPr>
                              <w:rFonts w:hint="eastAsia"/>
                            </w:rPr>
                            <w:fldChar w:fldCharType="begin"/>
                          </w:r>
                          <w:r>
                            <w:rPr>
                              <w:rFonts w:hint="eastAsia"/>
                            </w:rPr>
                            <w:instrText xml:space="preserve"> PAGE  \* MERGEFORMAT </w:instrText>
                          </w:r>
                          <w:r>
                            <w:rPr>
                              <w:rFonts w:hint="eastAsia"/>
                            </w:rPr>
                            <w:fldChar w:fldCharType="separate"/>
                          </w:r>
                          <w:r>
                            <w:t>13</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pPr>
                    <w:r>
                      <w:rPr>
                        <w:rFonts w:hint="eastAsia"/>
                      </w:rPr>
                      <w:fldChar w:fldCharType="begin"/>
                    </w:r>
                    <w:r>
                      <w:rPr>
                        <w:rFonts w:hint="eastAsia"/>
                      </w:rPr>
                      <w:instrText xml:space="preserve"> PAGE  \* MERGEFORMAT </w:instrText>
                    </w:r>
                    <w:r>
                      <w:rPr>
                        <w:rFonts w:hint="eastAsia"/>
                      </w:rPr>
                      <w:fldChar w:fldCharType="separate"/>
                    </w:r>
                    <w:r>
                      <w:t>13</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7"/>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520DC"/>
    <w:multiLevelType w:val="singleLevel"/>
    <w:tmpl w:val="D33520DC"/>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451"/>
    <w:rsid w:val="00017CE0"/>
    <w:rsid w:val="00042101"/>
    <w:rsid w:val="00047AB3"/>
    <w:rsid w:val="00095F53"/>
    <w:rsid w:val="000963E7"/>
    <w:rsid w:val="000A2BD5"/>
    <w:rsid w:val="000D08C9"/>
    <w:rsid w:val="000D3101"/>
    <w:rsid w:val="000F212E"/>
    <w:rsid w:val="000F3F29"/>
    <w:rsid w:val="00114A23"/>
    <w:rsid w:val="001319E6"/>
    <w:rsid w:val="00172F3A"/>
    <w:rsid w:val="001966DF"/>
    <w:rsid w:val="001A2551"/>
    <w:rsid w:val="001B1EB0"/>
    <w:rsid w:val="001C70FC"/>
    <w:rsid w:val="001F1F4D"/>
    <w:rsid w:val="00220229"/>
    <w:rsid w:val="00231155"/>
    <w:rsid w:val="0026759B"/>
    <w:rsid w:val="00272B49"/>
    <w:rsid w:val="00273B78"/>
    <w:rsid w:val="0027580D"/>
    <w:rsid w:val="002969E3"/>
    <w:rsid w:val="002D3767"/>
    <w:rsid w:val="002D5575"/>
    <w:rsid w:val="002F6046"/>
    <w:rsid w:val="003411EE"/>
    <w:rsid w:val="00341916"/>
    <w:rsid w:val="0035037D"/>
    <w:rsid w:val="00377211"/>
    <w:rsid w:val="003B3FBA"/>
    <w:rsid w:val="003D4C31"/>
    <w:rsid w:val="003E2334"/>
    <w:rsid w:val="003F4004"/>
    <w:rsid w:val="004119DF"/>
    <w:rsid w:val="004217D8"/>
    <w:rsid w:val="00423025"/>
    <w:rsid w:val="004A6785"/>
    <w:rsid w:val="004D1010"/>
    <w:rsid w:val="004D4050"/>
    <w:rsid w:val="004E10DD"/>
    <w:rsid w:val="004E1A81"/>
    <w:rsid w:val="004E1AA7"/>
    <w:rsid w:val="004F069B"/>
    <w:rsid w:val="004F21AE"/>
    <w:rsid w:val="00506C15"/>
    <w:rsid w:val="005073DE"/>
    <w:rsid w:val="00507E99"/>
    <w:rsid w:val="0053164E"/>
    <w:rsid w:val="00537834"/>
    <w:rsid w:val="00543359"/>
    <w:rsid w:val="00544F8C"/>
    <w:rsid w:val="0054660A"/>
    <w:rsid w:val="005503E6"/>
    <w:rsid w:val="005B5457"/>
    <w:rsid w:val="005D6579"/>
    <w:rsid w:val="005E1D6C"/>
    <w:rsid w:val="005E418A"/>
    <w:rsid w:val="005E6A73"/>
    <w:rsid w:val="005F4451"/>
    <w:rsid w:val="00617CD3"/>
    <w:rsid w:val="00622105"/>
    <w:rsid w:val="0062439E"/>
    <w:rsid w:val="00624E58"/>
    <w:rsid w:val="00636328"/>
    <w:rsid w:val="00637B20"/>
    <w:rsid w:val="00656C9A"/>
    <w:rsid w:val="006645A0"/>
    <w:rsid w:val="0067748F"/>
    <w:rsid w:val="006872B5"/>
    <w:rsid w:val="006960E5"/>
    <w:rsid w:val="006A72B3"/>
    <w:rsid w:val="006C3B68"/>
    <w:rsid w:val="006C4BB6"/>
    <w:rsid w:val="00702A2D"/>
    <w:rsid w:val="00703633"/>
    <w:rsid w:val="00707097"/>
    <w:rsid w:val="00710A4F"/>
    <w:rsid w:val="007158EB"/>
    <w:rsid w:val="00723BD8"/>
    <w:rsid w:val="0074306C"/>
    <w:rsid w:val="00770658"/>
    <w:rsid w:val="00771602"/>
    <w:rsid w:val="007739EE"/>
    <w:rsid w:val="00773DB1"/>
    <w:rsid w:val="007867DF"/>
    <w:rsid w:val="0079181B"/>
    <w:rsid w:val="007C6D49"/>
    <w:rsid w:val="007D32F2"/>
    <w:rsid w:val="008154E2"/>
    <w:rsid w:val="00837E25"/>
    <w:rsid w:val="00846726"/>
    <w:rsid w:val="008510E9"/>
    <w:rsid w:val="00873774"/>
    <w:rsid w:val="008D036E"/>
    <w:rsid w:val="009345E2"/>
    <w:rsid w:val="00972879"/>
    <w:rsid w:val="00980B6C"/>
    <w:rsid w:val="009B6715"/>
    <w:rsid w:val="009C79E8"/>
    <w:rsid w:val="009D792F"/>
    <w:rsid w:val="009F3679"/>
    <w:rsid w:val="009F392F"/>
    <w:rsid w:val="00A01AE8"/>
    <w:rsid w:val="00A12268"/>
    <w:rsid w:val="00A43B74"/>
    <w:rsid w:val="00A57C77"/>
    <w:rsid w:val="00A61EE1"/>
    <w:rsid w:val="00A83BF6"/>
    <w:rsid w:val="00AA6CFD"/>
    <w:rsid w:val="00AD4B7C"/>
    <w:rsid w:val="00AD501B"/>
    <w:rsid w:val="00AE4381"/>
    <w:rsid w:val="00B52D9C"/>
    <w:rsid w:val="00B57659"/>
    <w:rsid w:val="00B825BF"/>
    <w:rsid w:val="00B95885"/>
    <w:rsid w:val="00BB25BF"/>
    <w:rsid w:val="00BC34E7"/>
    <w:rsid w:val="00BD5318"/>
    <w:rsid w:val="00BE7EFB"/>
    <w:rsid w:val="00C145A2"/>
    <w:rsid w:val="00C7595F"/>
    <w:rsid w:val="00C76254"/>
    <w:rsid w:val="00CD54AD"/>
    <w:rsid w:val="00CD7876"/>
    <w:rsid w:val="00D01DB4"/>
    <w:rsid w:val="00D20E89"/>
    <w:rsid w:val="00D600A7"/>
    <w:rsid w:val="00D64877"/>
    <w:rsid w:val="00D81E20"/>
    <w:rsid w:val="00DA01B1"/>
    <w:rsid w:val="00DA17F0"/>
    <w:rsid w:val="00DB1C26"/>
    <w:rsid w:val="00DC6F59"/>
    <w:rsid w:val="00DE59BE"/>
    <w:rsid w:val="00E13F60"/>
    <w:rsid w:val="00E40DB1"/>
    <w:rsid w:val="00E43F0F"/>
    <w:rsid w:val="00E444D6"/>
    <w:rsid w:val="00E53625"/>
    <w:rsid w:val="00E6679F"/>
    <w:rsid w:val="00E74BF8"/>
    <w:rsid w:val="00E80EBF"/>
    <w:rsid w:val="00ED1841"/>
    <w:rsid w:val="00F13B18"/>
    <w:rsid w:val="00F142E0"/>
    <w:rsid w:val="00F56F09"/>
    <w:rsid w:val="00F62559"/>
    <w:rsid w:val="00F725A6"/>
    <w:rsid w:val="00F86419"/>
    <w:rsid w:val="00FC590C"/>
    <w:rsid w:val="010D55E4"/>
    <w:rsid w:val="011B3C8D"/>
    <w:rsid w:val="011F0D0F"/>
    <w:rsid w:val="01313A39"/>
    <w:rsid w:val="01842155"/>
    <w:rsid w:val="019738BF"/>
    <w:rsid w:val="01985A76"/>
    <w:rsid w:val="0202640B"/>
    <w:rsid w:val="0232791F"/>
    <w:rsid w:val="02384D87"/>
    <w:rsid w:val="023B5400"/>
    <w:rsid w:val="025603DB"/>
    <w:rsid w:val="02632836"/>
    <w:rsid w:val="026F5C8D"/>
    <w:rsid w:val="02710CFF"/>
    <w:rsid w:val="027934E5"/>
    <w:rsid w:val="028C3C49"/>
    <w:rsid w:val="02C67D3C"/>
    <w:rsid w:val="02C73530"/>
    <w:rsid w:val="02CF5DBD"/>
    <w:rsid w:val="02D7615B"/>
    <w:rsid w:val="02D86E8C"/>
    <w:rsid w:val="02DE6A39"/>
    <w:rsid w:val="02FF1B58"/>
    <w:rsid w:val="032A5898"/>
    <w:rsid w:val="03386371"/>
    <w:rsid w:val="033B3CE2"/>
    <w:rsid w:val="034740B5"/>
    <w:rsid w:val="034E10A9"/>
    <w:rsid w:val="03556557"/>
    <w:rsid w:val="0366412E"/>
    <w:rsid w:val="03690FFE"/>
    <w:rsid w:val="03703C07"/>
    <w:rsid w:val="03B40B3C"/>
    <w:rsid w:val="03B70288"/>
    <w:rsid w:val="041E134D"/>
    <w:rsid w:val="04367846"/>
    <w:rsid w:val="043F2C00"/>
    <w:rsid w:val="04470C34"/>
    <w:rsid w:val="04530B7D"/>
    <w:rsid w:val="04670131"/>
    <w:rsid w:val="04673267"/>
    <w:rsid w:val="04B8303C"/>
    <w:rsid w:val="04DC3E94"/>
    <w:rsid w:val="04ED2EE1"/>
    <w:rsid w:val="05191B0E"/>
    <w:rsid w:val="051F1AE2"/>
    <w:rsid w:val="05363F22"/>
    <w:rsid w:val="053A0F11"/>
    <w:rsid w:val="0563169F"/>
    <w:rsid w:val="05704A18"/>
    <w:rsid w:val="05797E16"/>
    <w:rsid w:val="05AB17DA"/>
    <w:rsid w:val="05AE041A"/>
    <w:rsid w:val="05DD003A"/>
    <w:rsid w:val="05E57BF5"/>
    <w:rsid w:val="05E62E79"/>
    <w:rsid w:val="05FC331B"/>
    <w:rsid w:val="06017391"/>
    <w:rsid w:val="06133112"/>
    <w:rsid w:val="06151C30"/>
    <w:rsid w:val="06317B73"/>
    <w:rsid w:val="065A4522"/>
    <w:rsid w:val="065F703B"/>
    <w:rsid w:val="06913833"/>
    <w:rsid w:val="069612B3"/>
    <w:rsid w:val="06AD5471"/>
    <w:rsid w:val="06BD79B8"/>
    <w:rsid w:val="06DE6AE9"/>
    <w:rsid w:val="070B6228"/>
    <w:rsid w:val="07393A7A"/>
    <w:rsid w:val="07425A9E"/>
    <w:rsid w:val="074E046E"/>
    <w:rsid w:val="07515A96"/>
    <w:rsid w:val="0754479A"/>
    <w:rsid w:val="078B6166"/>
    <w:rsid w:val="07AC0716"/>
    <w:rsid w:val="07AF4A1F"/>
    <w:rsid w:val="07B931B7"/>
    <w:rsid w:val="07C124E9"/>
    <w:rsid w:val="07C86488"/>
    <w:rsid w:val="07D2223B"/>
    <w:rsid w:val="07DF2133"/>
    <w:rsid w:val="080920B9"/>
    <w:rsid w:val="081E0CB5"/>
    <w:rsid w:val="08336D3B"/>
    <w:rsid w:val="085D5592"/>
    <w:rsid w:val="08764A46"/>
    <w:rsid w:val="0889509F"/>
    <w:rsid w:val="09053E76"/>
    <w:rsid w:val="09075390"/>
    <w:rsid w:val="09284F2D"/>
    <w:rsid w:val="0929379B"/>
    <w:rsid w:val="095821BD"/>
    <w:rsid w:val="095F08CF"/>
    <w:rsid w:val="098A1D4B"/>
    <w:rsid w:val="09916845"/>
    <w:rsid w:val="0997345A"/>
    <w:rsid w:val="09B27881"/>
    <w:rsid w:val="09B3522A"/>
    <w:rsid w:val="09BA71BF"/>
    <w:rsid w:val="09CE2DF4"/>
    <w:rsid w:val="09EF653E"/>
    <w:rsid w:val="0A2A68D8"/>
    <w:rsid w:val="0A455E30"/>
    <w:rsid w:val="0A50403A"/>
    <w:rsid w:val="0A5A52D8"/>
    <w:rsid w:val="0A5A5ED2"/>
    <w:rsid w:val="0ABB63E0"/>
    <w:rsid w:val="0AE32E30"/>
    <w:rsid w:val="0AE40CD5"/>
    <w:rsid w:val="0AE95DC3"/>
    <w:rsid w:val="0B0C5A9E"/>
    <w:rsid w:val="0B14203B"/>
    <w:rsid w:val="0B322AD9"/>
    <w:rsid w:val="0B5A7407"/>
    <w:rsid w:val="0B8009A8"/>
    <w:rsid w:val="0BB359C0"/>
    <w:rsid w:val="0BC86612"/>
    <w:rsid w:val="0BC909CD"/>
    <w:rsid w:val="0BCB6592"/>
    <w:rsid w:val="0BCC0DDE"/>
    <w:rsid w:val="0BDE6F9D"/>
    <w:rsid w:val="0BE65663"/>
    <w:rsid w:val="0BF24E59"/>
    <w:rsid w:val="0BFA4410"/>
    <w:rsid w:val="0BFA7E03"/>
    <w:rsid w:val="0C2F43FC"/>
    <w:rsid w:val="0C6B63B0"/>
    <w:rsid w:val="0CB2275E"/>
    <w:rsid w:val="0CB25A3E"/>
    <w:rsid w:val="0CEA765F"/>
    <w:rsid w:val="0CEE0AD9"/>
    <w:rsid w:val="0D186A8C"/>
    <w:rsid w:val="0D214553"/>
    <w:rsid w:val="0D2E56E4"/>
    <w:rsid w:val="0D41349E"/>
    <w:rsid w:val="0D5342F7"/>
    <w:rsid w:val="0D7553F3"/>
    <w:rsid w:val="0DB125CA"/>
    <w:rsid w:val="0DD34BEC"/>
    <w:rsid w:val="0DEA2F5C"/>
    <w:rsid w:val="0E1B093C"/>
    <w:rsid w:val="0E2A4310"/>
    <w:rsid w:val="0EEE07C9"/>
    <w:rsid w:val="0EF62B13"/>
    <w:rsid w:val="0F1543A0"/>
    <w:rsid w:val="0F252446"/>
    <w:rsid w:val="0F276507"/>
    <w:rsid w:val="0F5D683C"/>
    <w:rsid w:val="0F785AF9"/>
    <w:rsid w:val="0F7D01A9"/>
    <w:rsid w:val="0F8820A0"/>
    <w:rsid w:val="0FB606F7"/>
    <w:rsid w:val="0FC21E95"/>
    <w:rsid w:val="0FD42E9C"/>
    <w:rsid w:val="0FE66C63"/>
    <w:rsid w:val="100D60D8"/>
    <w:rsid w:val="103A6E81"/>
    <w:rsid w:val="10502FE1"/>
    <w:rsid w:val="108B3195"/>
    <w:rsid w:val="10B22437"/>
    <w:rsid w:val="10C803B5"/>
    <w:rsid w:val="10D16C5B"/>
    <w:rsid w:val="10E2107E"/>
    <w:rsid w:val="10E433E2"/>
    <w:rsid w:val="10F24ECA"/>
    <w:rsid w:val="10FC412B"/>
    <w:rsid w:val="110355C4"/>
    <w:rsid w:val="111B6791"/>
    <w:rsid w:val="11207CE1"/>
    <w:rsid w:val="11320A15"/>
    <w:rsid w:val="11435E61"/>
    <w:rsid w:val="117046F8"/>
    <w:rsid w:val="11894440"/>
    <w:rsid w:val="11A0203A"/>
    <w:rsid w:val="11A113E3"/>
    <w:rsid w:val="11A21CAC"/>
    <w:rsid w:val="11A452D7"/>
    <w:rsid w:val="11BE5776"/>
    <w:rsid w:val="11C53388"/>
    <w:rsid w:val="11D04823"/>
    <w:rsid w:val="11E06729"/>
    <w:rsid w:val="11E33349"/>
    <w:rsid w:val="120A2E0D"/>
    <w:rsid w:val="12127126"/>
    <w:rsid w:val="124C51BC"/>
    <w:rsid w:val="12997B70"/>
    <w:rsid w:val="12A1093C"/>
    <w:rsid w:val="12B928FE"/>
    <w:rsid w:val="12E74C6A"/>
    <w:rsid w:val="12E97859"/>
    <w:rsid w:val="13332AB5"/>
    <w:rsid w:val="137C3E4D"/>
    <w:rsid w:val="13AA6329"/>
    <w:rsid w:val="13AB7C7E"/>
    <w:rsid w:val="13BA6DCC"/>
    <w:rsid w:val="13E2763F"/>
    <w:rsid w:val="13E93397"/>
    <w:rsid w:val="13EA4D67"/>
    <w:rsid w:val="13F55B59"/>
    <w:rsid w:val="14161CA4"/>
    <w:rsid w:val="1418542B"/>
    <w:rsid w:val="1420445B"/>
    <w:rsid w:val="142808A2"/>
    <w:rsid w:val="147671DD"/>
    <w:rsid w:val="149027C6"/>
    <w:rsid w:val="14B06DCB"/>
    <w:rsid w:val="14C2798D"/>
    <w:rsid w:val="14D25984"/>
    <w:rsid w:val="14DD13EB"/>
    <w:rsid w:val="14E41589"/>
    <w:rsid w:val="153E5D0C"/>
    <w:rsid w:val="15532009"/>
    <w:rsid w:val="155A6E51"/>
    <w:rsid w:val="1572105B"/>
    <w:rsid w:val="15B26513"/>
    <w:rsid w:val="15D45165"/>
    <w:rsid w:val="15D64B6C"/>
    <w:rsid w:val="15F03D66"/>
    <w:rsid w:val="15FA7CB5"/>
    <w:rsid w:val="163A7468"/>
    <w:rsid w:val="1652605F"/>
    <w:rsid w:val="16756EC8"/>
    <w:rsid w:val="167577EB"/>
    <w:rsid w:val="169B4C77"/>
    <w:rsid w:val="16A477ED"/>
    <w:rsid w:val="16E73611"/>
    <w:rsid w:val="171B44EC"/>
    <w:rsid w:val="17285F6D"/>
    <w:rsid w:val="17557696"/>
    <w:rsid w:val="175E3B6E"/>
    <w:rsid w:val="17760ED2"/>
    <w:rsid w:val="17927AAD"/>
    <w:rsid w:val="17943B81"/>
    <w:rsid w:val="17B8072D"/>
    <w:rsid w:val="17CD51D4"/>
    <w:rsid w:val="17D3647A"/>
    <w:rsid w:val="17F10EA3"/>
    <w:rsid w:val="17FD3AD8"/>
    <w:rsid w:val="181B0B48"/>
    <w:rsid w:val="18276F12"/>
    <w:rsid w:val="183303F0"/>
    <w:rsid w:val="183B43AC"/>
    <w:rsid w:val="18455F53"/>
    <w:rsid w:val="186412C5"/>
    <w:rsid w:val="18AB315F"/>
    <w:rsid w:val="18B259F3"/>
    <w:rsid w:val="18C72EF2"/>
    <w:rsid w:val="18EE09C2"/>
    <w:rsid w:val="18F24BEA"/>
    <w:rsid w:val="190E2104"/>
    <w:rsid w:val="19201B87"/>
    <w:rsid w:val="19483188"/>
    <w:rsid w:val="194B096D"/>
    <w:rsid w:val="19745D50"/>
    <w:rsid w:val="19891543"/>
    <w:rsid w:val="199A7002"/>
    <w:rsid w:val="19B67269"/>
    <w:rsid w:val="19FC3591"/>
    <w:rsid w:val="1A046542"/>
    <w:rsid w:val="1A0E53B8"/>
    <w:rsid w:val="1A4B3962"/>
    <w:rsid w:val="1A4D6BC3"/>
    <w:rsid w:val="1A691A14"/>
    <w:rsid w:val="1A744840"/>
    <w:rsid w:val="1A862FDD"/>
    <w:rsid w:val="1A8C62AA"/>
    <w:rsid w:val="1AA564CC"/>
    <w:rsid w:val="1AB420DD"/>
    <w:rsid w:val="1B440AB8"/>
    <w:rsid w:val="1B5101CC"/>
    <w:rsid w:val="1B6D1BBE"/>
    <w:rsid w:val="1B7C4596"/>
    <w:rsid w:val="1B9C3F5B"/>
    <w:rsid w:val="1BA44AD2"/>
    <w:rsid w:val="1BB37415"/>
    <w:rsid w:val="1BB515B3"/>
    <w:rsid w:val="1BCA3F3F"/>
    <w:rsid w:val="1C0C3925"/>
    <w:rsid w:val="1C1205BD"/>
    <w:rsid w:val="1C2D074A"/>
    <w:rsid w:val="1C342CF7"/>
    <w:rsid w:val="1C41103A"/>
    <w:rsid w:val="1C5931FB"/>
    <w:rsid w:val="1C6A20C6"/>
    <w:rsid w:val="1C8052C5"/>
    <w:rsid w:val="1CC87734"/>
    <w:rsid w:val="1CF30D3E"/>
    <w:rsid w:val="1D0569B0"/>
    <w:rsid w:val="1D94387C"/>
    <w:rsid w:val="1D9D0DB9"/>
    <w:rsid w:val="1DBF43E1"/>
    <w:rsid w:val="1DEE5432"/>
    <w:rsid w:val="1E1042FE"/>
    <w:rsid w:val="1E344AC1"/>
    <w:rsid w:val="1E3728CF"/>
    <w:rsid w:val="1E8C4167"/>
    <w:rsid w:val="1EC45999"/>
    <w:rsid w:val="1ED15251"/>
    <w:rsid w:val="1EF07941"/>
    <w:rsid w:val="1EF83A6D"/>
    <w:rsid w:val="1F285692"/>
    <w:rsid w:val="1F610152"/>
    <w:rsid w:val="1F632A6A"/>
    <w:rsid w:val="1F6A2428"/>
    <w:rsid w:val="1F6E21E1"/>
    <w:rsid w:val="1F8247D7"/>
    <w:rsid w:val="1F83094B"/>
    <w:rsid w:val="1FDC0CC7"/>
    <w:rsid w:val="1FDD0790"/>
    <w:rsid w:val="1FEF63B6"/>
    <w:rsid w:val="200C03C5"/>
    <w:rsid w:val="202B6617"/>
    <w:rsid w:val="20601B16"/>
    <w:rsid w:val="20612BAD"/>
    <w:rsid w:val="206F381A"/>
    <w:rsid w:val="2075753B"/>
    <w:rsid w:val="207E3DE8"/>
    <w:rsid w:val="208A6EE6"/>
    <w:rsid w:val="2094463A"/>
    <w:rsid w:val="20946E57"/>
    <w:rsid w:val="20BA1C83"/>
    <w:rsid w:val="20D2382E"/>
    <w:rsid w:val="20E6708E"/>
    <w:rsid w:val="20F0179B"/>
    <w:rsid w:val="20F5604B"/>
    <w:rsid w:val="212051E0"/>
    <w:rsid w:val="2142609C"/>
    <w:rsid w:val="214A5903"/>
    <w:rsid w:val="214D013E"/>
    <w:rsid w:val="214F7536"/>
    <w:rsid w:val="21690D3B"/>
    <w:rsid w:val="21B64506"/>
    <w:rsid w:val="21D050D7"/>
    <w:rsid w:val="22006124"/>
    <w:rsid w:val="22133FF8"/>
    <w:rsid w:val="222A5C48"/>
    <w:rsid w:val="222D16A2"/>
    <w:rsid w:val="22427698"/>
    <w:rsid w:val="224E2CA7"/>
    <w:rsid w:val="22546A33"/>
    <w:rsid w:val="22691929"/>
    <w:rsid w:val="226C2E9A"/>
    <w:rsid w:val="227B004E"/>
    <w:rsid w:val="22F07F5A"/>
    <w:rsid w:val="2309504C"/>
    <w:rsid w:val="23332ECE"/>
    <w:rsid w:val="233F243F"/>
    <w:rsid w:val="23596615"/>
    <w:rsid w:val="23900146"/>
    <w:rsid w:val="239A77E9"/>
    <w:rsid w:val="239E0A62"/>
    <w:rsid w:val="23D30BA0"/>
    <w:rsid w:val="2425436A"/>
    <w:rsid w:val="2451690B"/>
    <w:rsid w:val="2452144C"/>
    <w:rsid w:val="24560A6F"/>
    <w:rsid w:val="245A514B"/>
    <w:rsid w:val="248C174F"/>
    <w:rsid w:val="248D5DEC"/>
    <w:rsid w:val="24A01300"/>
    <w:rsid w:val="24B70FB1"/>
    <w:rsid w:val="24B901C1"/>
    <w:rsid w:val="25375346"/>
    <w:rsid w:val="25641E0C"/>
    <w:rsid w:val="25661014"/>
    <w:rsid w:val="25924283"/>
    <w:rsid w:val="25931A2D"/>
    <w:rsid w:val="25E41ED6"/>
    <w:rsid w:val="25E768F2"/>
    <w:rsid w:val="261C277D"/>
    <w:rsid w:val="26244E03"/>
    <w:rsid w:val="26276F81"/>
    <w:rsid w:val="262E2C90"/>
    <w:rsid w:val="263A1523"/>
    <w:rsid w:val="2646245F"/>
    <w:rsid w:val="264E6E3E"/>
    <w:rsid w:val="26505EE4"/>
    <w:rsid w:val="266B4F8B"/>
    <w:rsid w:val="26872819"/>
    <w:rsid w:val="268D6F4D"/>
    <w:rsid w:val="26935397"/>
    <w:rsid w:val="269A3879"/>
    <w:rsid w:val="26A50674"/>
    <w:rsid w:val="26D41CA6"/>
    <w:rsid w:val="2703182A"/>
    <w:rsid w:val="271B7BC5"/>
    <w:rsid w:val="273D2C62"/>
    <w:rsid w:val="27453BAE"/>
    <w:rsid w:val="27642CB5"/>
    <w:rsid w:val="276572F1"/>
    <w:rsid w:val="276E635A"/>
    <w:rsid w:val="277E6841"/>
    <w:rsid w:val="27922FB7"/>
    <w:rsid w:val="27B452FF"/>
    <w:rsid w:val="27BA05C1"/>
    <w:rsid w:val="27BF3345"/>
    <w:rsid w:val="27C71871"/>
    <w:rsid w:val="27CB5238"/>
    <w:rsid w:val="27CF12B4"/>
    <w:rsid w:val="27D56ECC"/>
    <w:rsid w:val="27DB4C18"/>
    <w:rsid w:val="27DB5E0F"/>
    <w:rsid w:val="27E76327"/>
    <w:rsid w:val="27F74517"/>
    <w:rsid w:val="28186506"/>
    <w:rsid w:val="281D0376"/>
    <w:rsid w:val="28370CEC"/>
    <w:rsid w:val="2853192B"/>
    <w:rsid w:val="2877606C"/>
    <w:rsid w:val="287C642C"/>
    <w:rsid w:val="28C00644"/>
    <w:rsid w:val="290D4AE9"/>
    <w:rsid w:val="29132925"/>
    <w:rsid w:val="29275C45"/>
    <w:rsid w:val="29350378"/>
    <w:rsid w:val="29A81DA4"/>
    <w:rsid w:val="29CB790E"/>
    <w:rsid w:val="29E0608E"/>
    <w:rsid w:val="29F81B49"/>
    <w:rsid w:val="2A033359"/>
    <w:rsid w:val="2A2228A8"/>
    <w:rsid w:val="2A3A41FE"/>
    <w:rsid w:val="2A4C0DBF"/>
    <w:rsid w:val="2A6F64CD"/>
    <w:rsid w:val="2A8438F0"/>
    <w:rsid w:val="2A9108A4"/>
    <w:rsid w:val="2A961098"/>
    <w:rsid w:val="2A9D262E"/>
    <w:rsid w:val="2AC760D9"/>
    <w:rsid w:val="2ACB65D8"/>
    <w:rsid w:val="2AE718D7"/>
    <w:rsid w:val="2AEC6822"/>
    <w:rsid w:val="2B3A2E5E"/>
    <w:rsid w:val="2B3A72D8"/>
    <w:rsid w:val="2B7B6FD3"/>
    <w:rsid w:val="2B980F2D"/>
    <w:rsid w:val="2BBD5CD2"/>
    <w:rsid w:val="2BBE4E5C"/>
    <w:rsid w:val="2BCB5C84"/>
    <w:rsid w:val="2C043C5F"/>
    <w:rsid w:val="2C34715B"/>
    <w:rsid w:val="2C3C1EC4"/>
    <w:rsid w:val="2C493490"/>
    <w:rsid w:val="2C70314F"/>
    <w:rsid w:val="2C76296E"/>
    <w:rsid w:val="2C8020DF"/>
    <w:rsid w:val="2C874113"/>
    <w:rsid w:val="2CA54E30"/>
    <w:rsid w:val="2CBE1070"/>
    <w:rsid w:val="2CD46440"/>
    <w:rsid w:val="2CDA5FC0"/>
    <w:rsid w:val="2D216560"/>
    <w:rsid w:val="2D296BCD"/>
    <w:rsid w:val="2D31234C"/>
    <w:rsid w:val="2D314032"/>
    <w:rsid w:val="2D31697D"/>
    <w:rsid w:val="2D456B37"/>
    <w:rsid w:val="2D5F3648"/>
    <w:rsid w:val="2D815E5F"/>
    <w:rsid w:val="2D8A094B"/>
    <w:rsid w:val="2D8C429B"/>
    <w:rsid w:val="2D97617F"/>
    <w:rsid w:val="2DA0390E"/>
    <w:rsid w:val="2DAB1981"/>
    <w:rsid w:val="2DD90A12"/>
    <w:rsid w:val="2DDA3D83"/>
    <w:rsid w:val="2DE336D6"/>
    <w:rsid w:val="2E584E45"/>
    <w:rsid w:val="2E5E7EDB"/>
    <w:rsid w:val="2E6304F0"/>
    <w:rsid w:val="2E7D36E8"/>
    <w:rsid w:val="2EAD6F58"/>
    <w:rsid w:val="2EB371B4"/>
    <w:rsid w:val="2EB46ECE"/>
    <w:rsid w:val="2EB84D16"/>
    <w:rsid w:val="2EC35ACE"/>
    <w:rsid w:val="2EDF713F"/>
    <w:rsid w:val="2F042A8E"/>
    <w:rsid w:val="2F4B72FF"/>
    <w:rsid w:val="2F5A7428"/>
    <w:rsid w:val="2F624780"/>
    <w:rsid w:val="2F7431E9"/>
    <w:rsid w:val="2FA44F98"/>
    <w:rsid w:val="2FA769C6"/>
    <w:rsid w:val="2FDF7EFC"/>
    <w:rsid w:val="2FEC47C1"/>
    <w:rsid w:val="2FED4FCE"/>
    <w:rsid w:val="2FF242A7"/>
    <w:rsid w:val="30064D5B"/>
    <w:rsid w:val="300C0317"/>
    <w:rsid w:val="305A4ACB"/>
    <w:rsid w:val="306B32F5"/>
    <w:rsid w:val="309A65D8"/>
    <w:rsid w:val="30AA583E"/>
    <w:rsid w:val="30AE5117"/>
    <w:rsid w:val="30D20C77"/>
    <w:rsid w:val="31237451"/>
    <w:rsid w:val="3180567D"/>
    <w:rsid w:val="31AE4D64"/>
    <w:rsid w:val="31CA57AA"/>
    <w:rsid w:val="31F03D4E"/>
    <w:rsid w:val="320B0EAE"/>
    <w:rsid w:val="324549C2"/>
    <w:rsid w:val="325109BF"/>
    <w:rsid w:val="325459D0"/>
    <w:rsid w:val="326061CE"/>
    <w:rsid w:val="3275522A"/>
    <w:rsid w:val="32FD7B6D"/>
    <w:rsid w:val="333C0607"/>
    <w:rsid w:val="333C71FC"/>
    <w:rsid w:val="3364678C"/>
    <w:rsid w:val="337754CC"/>
    <w:rsid w:val="339B013D"/>
    <w:rsid w:val="33B633E7"/>
    <w:rsid w:val="33BA120A"/>
    <w:rsid w:val="33DF29C1"/>
    <w:rsid w:val="33F72D6E"/>
    <w:rsid w:val="342567C8"/>
    <w:rsid w:val="342F55D0"/>
    <w:rsid w:val="34301FBE"/>
    <w:rsid w:val="343D56EE"/>
    <w:rsid w:val="34566F3E"/>
    <w:rsid w:val="3460104A"/>
    <w:rsid w:val="35136639"/>
    <w:rsid w:val="3579019E"/>
    <w:rsid w:val="359100D6"/>
    <w:rsid w:val="35C12EBC"/>
    <w:rsid w:val="35D751FD"/>
    <w:rsid w:val="35EA1990"/>
    <w:rsid w:val="35F556E8"/>
    <w:rsid w:val="35F955DB"/>
    <w:rsid w:val="36265A8A"/>
    <w:rsid w:val="362E2F48"/>
    <w:rsid w:val="36404A6D"/>
    <w:rsid w:val="36456551"/>
    <w:rsid w:val="36574094"/>
    <w:rsid w:val="3664796E"/>
    <w:rsid w:val="36692719"/>
    <w:rsid w:val="366A54F4"/>
    <w:rsid w:val="36776CAD"/>
    <w:rsid w:val="367861E8"/>
    <w:rsid w:val="368852DA"/>
    <w:rsid w:val="368C2DD2"/>
    <w:rsid w:val="368E27F6"/>
    <w:rsid w:val="369A12B6"/>
    <w:rsid w:val="36B1216F"/>
    <w:rsid w:val="36BA51DB"/>
    <w:rsid w:val="36CE7B94"/>
    <w:rsid w:val="37097D9B"/>
    <w:rsid w:val="3750063B"/>
    <w:rsid w:val="37557AB4"/>
    <w:rsid w:val="377F36E7"/>
    <w:rsid w:val="37C339E7"/>
    <w:rsid w:val="37D85FDA"/>
    <w:rsid w:val="381402E5"/>
    <w:rsid w:val="384D6BB1"/>
    <w:rsid w:val="3861738F"/>
    <w:rsid w:val="386F37E5"/>
    <w:rsid w:val="38786E7C"/>
    <w:rsid w:val="38B115EA"/>
    <w:rsid w:val="38C236A8"/>
    <w:rsid w:val="38EE7B4D"/>
    <w:rsid w:val="393F2042"/>
    <w:rsid w:val="397B2BE6"/>
    <w:rsid w:val="39866C36"/>
    <w:rsid w:val="39A946F5"/>
    <w:rsid w:val="39B621B7"/>
    <w:rsid w:val="39B750BD"/>
    <w:rsid w:val="39BE2707"/>
    <w:rsid w:val="39D047DA"/>
    <w:rsid w:val="39E7010B"/>
    <w:rsid w:val="39EE6CE9"/>
    <w:rsid w:val="39F76688"/>
    <w:rsid w:val="39FF0BFD"/>
    <w:rsid w:val="3A6E5EA1"/>
    <w:rsid w:val="3A756B20"/>
    <w:rsid w:val="3A837CFF"/>
    <w:rsid w:val="3A8B4F30"/>
    <w:rsid w:val="3A917EBE"/>
    <w:rsid w:val="3AB65781"/>
    <w:rsid w:val="3AC103FE"/>
    <w:rsid w:val="3AD77B6D"/>
    <w:rsid w:val="3B262B97"/>
    <w:rsid w:val="3B520C20"/>
    <w:rsid w:val="3B55165C"/>
    <w:rsid w:val="3B6C396A"/>
    <w:rsid w:val="3B8D2618"/>
    <w:rsid w:val="3BA536F3"/>
    <w:rsid w:val="3BB54AA9"/>
    <w:rsid w:val="3BBF5758"/>
    <w:rsid w:val="3BC24C70"/>
    <w:rsid w:val="3BC34B6B"/>
    <w:rsid w:val="3BC43F58"/>
    <w:rsid w:val="3BEC2E2B"/>
    <w:rsid w:val="3BFF3CB5"/>
    <w:rsid w:val="3C07068D"/>
    <w:rsid w:val="3C0F6E26"/>
    <w:rsid w:val="3C2B19F9"/>
    <w:rsid w:val="3C3C3B72"/>
    <w:rsid w:val="3C641E6F"/>
    <w:rsid w:val="3CB80010"/>
    <w:rsid w:val="3CBE2CBF"/>
    <w:rsid w:val="3CDD7358"/>
    <w:rsid w:val="3CF06620"/>
    <w:rsid w:val="3CF51989"/>
    <w:rsid w:val="3D03129C"/>
    <w:rsid w:val="3D084878"/>
    <w:rsid w:val="3D1C6280"/>
    <w:rsid w:val="3D242D3B"/>
    <w:rsid w:val="3D432E08"/>
    <w:rsid w:val="3D5758A6"/>
    <w:rsid w:val="3DC46621"/>
    <w:rsid w:val="3DF25D82"/>
    <w:rsid w:val="3DF41B1F"/>
    <w:rsid w:val="3E1F555A"/>
    <w:rsid w:val="3E5343AE"/>
    <w:rsid w:val="3E8B0212"/>
    <w:rsid w:val="3EA36D7A"/>
    <w:rsid w:val="3EA87CE9"/>
    <w:rsid w:val="3EA959BD"/>
    <w:rsid w:val="3EAE48EA"/>
    <w:rsid w:val="3EC26D76"/>
    <w:rsid w:val="3EEA5738"/>
    <w:rsid w:val="3EF326DC"/>
    <w:rsid w:val="3F5E258E"/>
    <w:rsid w:val="3F843560"/>
    <w:rsid w:val="3F9D5F65"/>
    <w:rsid w:val="3FA21647"/>
    <w:rsid w:val="3FBC73B9"/>
    <w:rsid w:val="3FC4398A"/>
    <w:rsid w:val="3FC63603"/>
    <w:rsid w:val="3FCD4E61"/>
    <w:rsid w:val="3FD539CD"/>
    <w:rsid w:val="3FDC7E40"/>
    <w:rsid w:val="3FE724BC"/>
    <w:rsid w:val="3FF43202"/>
    <w:rsid w:val="400F0577"/>
    <w:rsid w:val="40315500"/>
    <w:rsid w:val="408B57DE"/>
    <w:rsid w:val="40AD2B85"/>
    <w:rsid w:val="40AF06F1"/>
    <w:rsid w:val="40E766B8"/>
    <w:rsid w:val="40FA0154"/>
    <w:rsid w:val="40FD1D84"/>
    <w:rsid w:val="41112D55"/>
    <w:rsid w:val="411774B4"/>
    <w:rsid w:val="413A5B98"/>
    <w:rsid w:val="415E7367"/>
    <w:rsid w:val="417B44C0"/>
    <w:rsid w:val="41A77193"/>
    <w:rsid w:val="41B45EAE"/>
    <w:rsid w:val="41B64407"/>
    <w:rsid w:val="41D105B5"/>
    <w:rsid w:val="41E06FF8"/>
    <w:rsid w:val="422A0FEC"/>
    <w:rsid w:val="422C6D05"/>
    <w:rsid w:val="42442131"/>
    <w:rsid w:val="425D3311"/>
    <w:rsid w:val="42BA2B21"/>
    <w:rsid w:val="42BD444E"/>
    <w:rsid w:val="42BD4888"/>
    <w:rsid w:val="42D44F8D"/>
    <w:rsid w:val="43097411"/>
    <w:rsid w:val="43322DCB"/>
    <w:rsid w:val="43373C1F"/>
    <w:rsid w:val="433A2E0A"/>
    <w:rsid w:val="43461D9D"/>
    <w:rsid w:val="435D5FEE"/>
    <w:rsid w:val="438602D6"/>
    <w:rsid w:val="438860F6"/>
    <w:rsid w:val="43B30320"/>
    <w:rsid w:val="43BD442A"/>
    <w:rsid w:val="43C45BCD"/>
    <w:rsid w:val="43D75A2A"/>
    <w:rsid w:val="43E662BE"/>
    <w:rsid w:val="43F573A9"/>
    <w:rsid w:val="43FB0BFF"/>
    <w:rsid w:val="4446799D"/>
    <w:rsid w:val="44495D30"/>
    <w:rsid w:val="445E7538"/>
    <w:rsid w:val="446C0CE1"/>
    <w:rsid w:val="449E0025"/>
    <w:rsid w:val="44AD161C"/>
    <w:rsid w:val="44D012B1"/>
    <w:rsid w:val="44F119E2"/>
    <w:rsid w:val="45135CEC"/>
    <w:rsid w:val="453803F4"/>
    <w:rsid w:val="454C38BB"/>
    <w:rsid w:val="45511171"/>
    <w:rsid w:val="455D09DF"/>
    <w:rsid w:val="455D2350"/>
    <w:rsid w:val="457C25CE"/>
    <w:rsid w:val="45DB43B5"/>
    <w:rsid w:val="45E43CB8"/>
    <w:rsid w:val="45EB2F02"/>
    <w:rsid w:val="45EF3F21"/>
    <w:rsid w:val="460648BC"/>
    <w:rsid w:val="460D1D30"/>
    <w:rsid w:val="46116FBD"/>
    <w:rsid w:val="46192097"/>
    <w:rsid w:val="464C2725"/>
    <w:rsid w:val="468E55C6"/>
    <w:rsid w:val="46A01CB2"/>
    <w:rsid w:val="46B4197B"/>
    <w:rsid w:val="46C46D70"/>
    <w:rsid w:val="46CD4FD3"/>
    <w:rsid w:val="46E819A3"/>
    <w:rsid w:val="46F96BB6"/>
    <w:rsid w:val="470156EB"/>
    <w:rsid w:val="470763C8"/>
    <w:rsid w:val="47480B88"/>
    <w:rsid w:val="47686E21"/>
    <w:rsid w:val="4790513A"/>
    <w:rsid w:val="47A16088"/>
    <w:rsid w:val="47B50103"/>
    <w:rsid w:val="47C460CD"/>
    <w:rsid w:val="47F1218D"/>
    <w:rsid w:val="48230DC6"/>
    <w:rsid w:val="48842C88"/>
    <w:rsid w:val="48855966"/>
    <w:rsid w:val="48B30CDF"/>
    <w:rsid w:val="48C72469"/>
    <w:rsid w:val="48E427CA"/>
    <w:rsid w:val="48F124B7"/>
    <w:rsid w:val="490B0F83"/>
    <w:rsid w:val="491E5325"/>
    <w:rsid w:val="4966377F"/>
    <w:rsid w:val="4969458D"/>
    <w:rsid w:val="49781CE1"/>
    <w:rsid w:val="498C499E"/>
    <w:rsid w:val="49C0382F"/>
    <w:rsid w:val="49FE7853"/>
    <w:rsid w:val="4A48381B"/>
    <w:rsid w:val="4A4B3AFD"/>
    <w:rsid w:val="4A5C755E"/>
    <w:rsid w:val="4A6846DA"/>
    <w:rsid w:val="4A7426A2"/>
    <w:rsid w:val="4A9A5204"/>
    <w:rsid w:val="4AAB5F95"/>
    <w:rsid w:val="4AB36856"/>
    <w:rsid w:val="4AB56A81"/>
    <w:rsid w:val="4AC560AF"/>
    <w:rsid w:val="4B421CD2"/>
    <w:rsid w:val="4B612332"/>
    <w:rsid w:val="4B96628E"/>
    <w:rsid w:val="4BAF5B96"/>
    <w:rsid w:val="4BCE575D"/>
    <w:rsid w:val="4BDF144B"/>
    <w:rsid w:val="4BE421D7"/>
    <w:rsid w:val="4BEE2CCF"/>
    <w:rsid w:val="4C375831"/>
    <w:rsid w:val="4C3E6037"/>
    <w:rsid w:val="4C8A40BB"/>
    <w:rsid w:val="4CBE06A1"/>
    <w:rsid w:val="4CC12BEB"/>
    <w:rsid w:val="4CC44C90"/>
    <w:rsid w:val="4CCB41B4"/>
    <w:rsid w:val="4CE848C1"/>
    <w:rsid w:val="4CF24A75"/>
    <w:rsid w:val="4D013F64"/>
    <w:rsid w:val="4D054AEF"/>
    <w:rsid w:val="4D406CDA"/>
    <w:rsid w:val="4D522307"/>
    <w:rsid w:val="4D700A9E"/>
    <w:rsid w:val="4D8E307A"/>
    <w:rsid w:val="4DFB014E"/>
    <w:rsid w:val="4E1638AB"/>
    <w:rsid w:val="4E987EF9"/>
    <w:rsid w:val="4EA257CB"/>
    <w:rsid w:val="4F0D5DB7"/>
    <w:rsid w:val="4F2D7528"/>
    <w:rsid w:val="4F3C5DDB"/>
    <w:rsid w:val="4F451824"/>
    <w:rsid w:val="4F53616C"/>
    <w:rsid w:val="4F59487C"/>
    <w:rsid w:val="4F8F54C2"/>
    <w:rsid w:val="4F9F1DFB"/>
    <w:rsid w:val="4FA47499"/>
    <w:rsid w:val="4FA818A5"/>
    <w:rsid w:val="4FBE02A6"/>
    <w:rsid w:val="4FCC70A8"/>
    <w:rsid w:val="4FD34710"/>
    <w:rsid w:val="4FD50C73"/>
    <w:rsid w:val="4FD94220"/>
    <w:rsid w:val="4FDA759A"/>
    <w:rsid w:val="4FE0255D"/>
    <w:rsid w:val="4FE51198"/>
    <w:rsid w:val="4FEA43C7"/>
    <w:rsid w:val="503B4439"/>
    <w:rsid w:val="50461965"/>
    <w:rsid w:val="50A651C9"/>
    <w:rsid w:val="50B670CC"/>
    <w:rsid w:val="50E17D9D"/>
    <w:rsid w:val="50EC0809"/>
    <w:rsid w:val="50FD50A1"/>
    <w:rsid w:val="512E5AEF"/>
    <w:rsid w:val="5148226D"/>
    <w:rsid w:val="51A26312"/>
    <w:rsid w:val="52121FB3"/>
    <w:rsid w:val="52365E89"/>
    <w:rsid w:val="524D090C"/>
    <w:rsid w:val="525A72B7"/>
    <w:rsid w:val="527539C5"/>
    <w:rsid w:val="52792E50"/>
    <w:rsid w:val="52AF3CFD"/>
    <w:rsid w:val="52AF4C11"/>
    <w:rsid w:val="52D8233D"/>
    <w:rsid w:val="53475F65"/>
    <w:rsid w:val="53637D36"/>
    <w:rsid w:val="536C0988"/>
    <w:rsid w:val="536E49EF"/>
    <w:rsid w:val="538E73AC"/>
    <w:rsid w:val="53B51DE6"/>
    <w:rsid w:val="53BC2BE6"/>
    <w:rsid w:val="53DC1204"/>
    <w:rsid w:val="53E17F06"/>
    <w:rsid w:val="53F65FB6"/>
    <w:rsid w:val="53FD2EC0"/>
    <w:rsid w:val="54153377"/>
    <w:rsid w:val="5416441B"/>
    <w:rsid w:val="543640C4"/>
    <w:rsid w:val="5461243C"/>
    <w:rsid w:val="54BF1B21"/>
    <w:rsid w:val="54D22521"/>
    <w:rsid w:val="54E30CC2"/>
    <w:rsid w:val="55021FC9"/>
    <w:rsid w:val="55086969"/>
    <w:rsid w:val="55332499"/>
    <w:rsid w:val="553349E2"/>
    <w:rsid w:val="55884A22"/>
    <w:rsid w:val="5596285F"/>
    <w:rsid w:val="55C107EC"/>
    <w:rsid w:val="55CA5025"/>
    <w:rsid w:val="55D8576B"/>
    <w:rsid w:val="55F6420D"/>
    <w:rsid w:val="55FB25B1"/>
    <w:rsid w:val="56107EDF"/>
    <w:rsid w:val="56117D7B"/>
    <w:rsid w:val="561B6452"/>
    <w:rsid w:val="565655A8"/>
    <w:rsid w:val="566B6013"/>
    <w:rsid w:val="56881191"/>
    <w:rsid w:val="56E844C3"/>
    <w:rsid w:val="56FC7846"/>
    <w:rsid w:val="5718056B"/>
    <w:rsid w:val="574344F4"/>
    <w:rsid w:val="57455501"/>
    <w:rsid w:val="576C7A35"/>
    <w:rsid w:val="57A47CDA"/>
    <w:rsid w:val="57E60E79"/>
    <w:rsid w:val="582D1D0E"/>
    <w:rsid w:val="583F476F"/>
    <w:rsid w:val="58557BDB"/>
    <w:rsid w:val="589C04E6"/>
    <w:rsid w:val="58A052C8"/>
    <w:rsid w:val="58AC5C59"/>
    <w:rsid w:val="58C31279"/>
    <w:rsid w:val="58D14F69"/>
    <w:rsid w:val="58EB0CFF"/>
    <w:rsid w:val="59422BDA"/>
    <w:rsid w:val="5956637D"/>
    <w:rsid w:val="597062A0"/>
    <w:rsid w:val="59A54DED"/>
    <w:rsid w:val="59EA5384"/>
    <w:rsid w:val="59ED7206"/>
    <w:rsid w:val="5A2A0401"/>
    <w:rsid w:val="5A3173D2"/>
    <w:rsid w:val="5A7B60FB"/>
    <w:rsid w:val="5A8D7703"/>
    <w:rsid w:val="5A942AA4"/>
    <w:rsid w:val="5AB4345A"/>
    <w:rsid w:val="5ABF4E13"/>
    <w:rsid w:val="5AC17641"/>
    <w:rsid w:val="5AD77CC3"/>
    <w:rsid w:val="5AE06AD2"/>
    <w:rsid w:val="5AE35512"/>
    <w:rsid w:val="5B0537B5"/>
    <w:rsid w:val="5B3679C6"/>
    <w:rsid w:val="5B4F55B8"/>
    <w:rsid w:val="5B6C6102"/>
    <w:rsid w:val="5BAB3DE0"/>
    <w:rsid w:val="5BC17590"/>
    <w:rsid w:val="5BC4539E"/>
    <w:rsid w:val="5BCC648E"/>
    <w:rsid w:val="5BCD330F"/>
    <w:rsid w:val="5BDF091B"/>
    <w:rsid w:val="5C050334"/>
    <w:rsid w:val="5C7033C1"/>
    <w:rsid w:val="5C8F6EC1"/>
    <w:rsid w:val="5CA30BC8"/>
    <w:rsid w:val="5CB41A83"/>
    <w:rsid w:val="5D22451B"/>
    <w:rsid w:val="5D3C5821"/>
    <w:rsid w:val="5D4F3094"/>
    <w:rsid w:val="5D5C64DA"/>
    <w:rsid w:val="5D682C05"/>
    <w:rsid w:val="5D8A0B9F"/>
    <w:rsid w:val="5D8A7E1F"/>
    <w:rsid w:val="5DA00004"/>
    <w:rsid w:val="5DB4249B"/>
    <w:rsid w:val="5DE21727"/>
    <w:rsid w:val="5DFA7200"/>
    <w:rsid w:val="5DFE0CA2"/>
    <w:rsid w:val="5E0C5E4D"/>
    <w:rsid w:val="5E123EAD"/>
    <w:rsid w:val="5E1C7424"/>
    <w:rsid w:val="5E2A06B3"/>
    <w:rsid w:val="5E3F7C53"/>
    <w:rsid w:val="5E424061"/>
    <w:rsid w:val="5E502223"/>
    <w:rsid w:val="5E592845"/>
    <w:rsid w:val="5EA62F45"/>
    <w:rsid w:val="5EA74B36"/>
    <w:rsid w:val="5EA945DD"/>
    <w:rsid w:val="5EB116EF"/>
    <w:rsid w:val="5ED00797"/>
    <w:rsid w:val="5EE827E8"/>
    <w:rsid w:val="5EEB7BE4"/>
    <w:rsid w:val="5EF22A8F"/>
    <w:rsid w:val="5EF518D7"/>
    <w:rsid w:val="5EF548F1"/>
    <w:rsid w:val="5EF8485D"/>
    <w:rsid w:val="5F1E3E1E"/>
    <w:rsid w:val="5F781D9A"/>
    <w:rsid w:val="5F924FB4"/>
    <w:rsid w:val="5F960CA6"/>
    <w:rsid w:val="5FB7685B"/>
    <w:rsid w:val="5FD255E8"/>
    <w:rsid w:val="601159BE"/>
    <w:rsid w:val="60335610"/>
    <w:rsid w:val="603B1F7C"/>
    <w:rsid w:val="603B3CF5"/>
    <w:rsid w:val="60501686"/>
    <w:rsid w:val="60524D39"/>
    <w:rsid w:val="605A168D"/>
    <w:rsid w:val="60651B24"/>
    <w:rsid w:val="6086357E"/>
    <w:rsid w:val="60972C3D"/>
    <w:rsid w:val="60A1369D"/>
    <w:rsid w:val="60B8268A"/>
    <w:rsid w:val="60DA3045"/>
    <w:rsid w:val="60DD70BC"/>
    <w:rsid w:val="60EE1441"/>
    <w:rsid w:val="61242295"/>
    <w:rsid w:val="61521B59"/>
    <w:rsid w:val="617B49D5"/>
    <w:rsid w:val="618B78A1"/>
    <w:rsid w:val="61C31AB7"/>
    <w:rsid w:val="61C43518"/>
    <w:rsid w:val="61D809D5"/>
    <w:rsid w:val="61F124F6"/>
    <w:rsid w:val="62023672"/>
    <w:rsid w:val="6202746D"/>
    <w:rsid w:val="62067DC0"/>
    <w:rsid w:val="621D15B4"/>
    <w:rsid w:val="62213482"/>
    <w:rsid w:val="623332E1"/>
    <w:rsid w:val="623C0AB7"/>
    <w:rsid w:val="625F0FBF"/>
    <w:rsid w:val="62732BC9"/>
    <w:rsid w:val="627C4675"/>
    <w:rsid w:val="627E189E"/>
    <w:rsid w:val="629508CA"/>
    <w:rsid w:val="62A80B44"/>
    <w:rsid w:val="62B41555"/>
    <w:rsid w:val="62C64EFD"/>
    <w:rsid w:val="62E63D9D"/>
    <w:rsid w:val="62E83F5A"/>
    <w:rsid w:val="62EA20EC"/>
    <w:rsid w:val="62F977F5"/>
    <w:rsid w:val="631103C1"/>
    <w:rsid w:val="632A57D5"/>
    <w:rsid w:val="63335C1B"/>
    <w:rsid w:val="634204EE"/>
    <w:rsid w:val="637B6A09"/>
    <w:rsid w:val="63B5681A"/>
    <w:rsid w:val="63E134A5"/>
    <w:rsid w:val="63F02B6F"/>
    <w:rsid w:val="642052D3"/>
    <w:rsid w:val="644574B4"/>
    <w:rsid w:val="64527802"/>
    <w:rsid w:val="645B680F"/>
    <w:rsid w:val="646974A5"/>
    <w:rsid w:val="647943BD"/>
    <w:rsid w:val="64934CC8"/>
    <w:rsid w:val="649576E8"/>
    <w:rsid w:val="64993578"/>
    <w:rsid w:val="64B40537"/>
    <w:rsid w:val="64B804BA"/>
    <w:rsid w:val="64E93241"/>
    <w:rsid w:val="65151EB8"/>
    <w:rsid w:val="654C0775"/>
    <w:rsid w:val="655868AB"/>
    <w:rsid w:val="65660376"/>
    <w:rsid w:val="65660FA9"/>
    <w:rsid w:val="656F0AE7"/>
    <w:rsid w:val="657D06D7"/>
    <w:rsid w:val="65956800"/>
    <w:rsid w:val="65A33F8C"/>
    <w:rsid w:val="65AD77DB"/>
    <w:rsid w:val="65BB21DE"/>
    <w:rsid w:val="65E175BD"/>
    <w:rsid w:val="65EA1AC8"/>
    <w:rsid w:val="65ED74B1"/>
    <w:rsid w:val="65F56594"/>
    <w:rsid w:val="66004205"/>
    <w:rsid w:val="6602437B"/>
    <w:rsid w:val="66082BBC"/>
    <w:rsid w:val="662D1B30"/>
    <w:rsid w:val="663D7CF7"/>
    <w:rsid w:val="664D024A"/>
    <w:rsid w:val="66643DCF"/>
    <w:rsid w:val="6668655C"/>
    <w:rsid w:val="66B04314"/>
    <w:rsid w:val="66D20CFA"/>
    <w:rsid w:val="66DD4CE6"/>
    <w:rsid w:val="66E637AC"/>
    <w:rsid w:val="66F1449F"/>
    <w:rsid w:val="66FF0C01"/>
    <w:rsid w:val="67270DDB"/>
    <w:rsid w:val="674B2A96"/>
    <w:rsid w:val="674D4AE2"/>
    <w:rsid w:val="67523BED"/>
    <w:rsid w:val="675310F6"/>
    <w:rsid w:val="677D3BEB"/>
    <w:rsid w:val="6780699D"/>
    <w:rsid w:val="678C6939"/>
    <w:rsid w:val="678D0F64"/>
    <w:rsid w:val="67B7147A"/>
    <w:rsid w:val="67B823BF"/>
    <w:rsid w:val="67BA5A2D"/>
    <w:rsid w:val="67C86D77"/>
    <w:rsid w:val="6809109D"/>
    <w:rsid w:val="68285847"/>
    <w:rsid w:val="683E5F69"/>
    <w:rsid w:val="685C7DEE"/>
    <w:rsid w:val="687B477E"/>
    <w:rsid w:val="687F39C2"/>
    <w:rsid w:val="68A00840"/>
    <w:rsid w:val="68CC1218"/>
    <w:rsid w:val="68D368D3"/>
    <w:rsid w:val="68DB1405"/>
    <w:rsid w:val="69130B9F"/>
    <w:rsid w:val="69984A01"/>
    <w:rsid w:val="69C879A4"/>
    <w:rsid w:val="6A3E5DA6"/>
    <w:rsid w:val="6A5058EC"/>
    <w:rsid w:val="6A624605"/>
    <w:rsid w:val="6A6E596B"/>
    <w:rsid w:val="6A7620B3"/>
    <w:rsid w:val="6A834D62"/>
    <w:rsid w:val="6AD5472F"/>
    <w:rsid w:val="6AD8022B"/>
    <w:rsid w:val="6AD805D5"/>
    <w:rsid w:val="6B1A3F4F"/>
    <w:rsid w:val="6B1A5AC6"/>
    <w:rsid w:val="6B2439C7"/>
    <w:rsid w:val="6B5D0ECA"/>
    <w:rsid w:val="6B5F7E02"/>
    <w:rsid w:val="6BB610B2"/>
    <w:rsid w:val="6BCB42AF"/>
    <w:rsid w:val="6BCC236F"/>
    <w:rsid w:val="6BDA0735"/>
    <w:rsid w:val="6BF8370E"/>
    <w:rsid w:val="6C092394"/>
    <w:rsid w:val="6C123E93"/>
    <w:rsid w:val="6C4D1F0B"/>
    <w:rsid w:val="6C5C5E57"/>
    <w:rsid w:val="6C7358BA"/>
    <w:rsid w:val="6CA36BF4"/>
    <w:rsid w:val="6CB71782"/>
    <w:rsid w:val="6CC2191D"/>
    <w:rsid w:val="6CE15385"/>
    <w:rsid w:val="6CED5C40"/>
    <w:rsid w:val="6D0B59D9"/>
    <w:rsid w:val="6D103297"/>
    <w:rsid w:val="6D687701"/>
    <w:rsid w:val="6D6A3B0C"/>
    <w:rsid w:val="6D845942"/>
    <w:rsid w:val="6D9F5B26"/>
    <w:rsid w:val="6DCE05DA"/>
    <w:rsid w:val="6DD06DE8"/>
    <w:rsid w:val="6DD3541E"/>
    <w:rsid w:val="6DDB06E3"/>
    <w:rsid w:val="6E081CA0"/>
    <w:rsid w:val="6E403E6E"/>
    <w:rsid w:val="6EA50131"/>
    <w:rsid w:val="6EB92F75"/>
    <w:rsid w:val="6EC41B06"/>
    <w:rsid w:val="6F002603"/>
    <w:rsid w:val="6F2C26A5"/>
    <w:rsid w:val="6F3A65AF"/>
    <w:rsid w:val="6F953376"/>
    <w:rsid w:val="6FA8616A"/>
    <w:rsid w:val="6FC65B9C"/>
    <w:rsid w:val="6FE137DB"/>
    <w:rsid w:val="6FF95DB4"/>
    <w:rsid w:val="70203ACE"/>
    <w:rsid w:val="70306F06"/>
    <w:rsid w:val="707B699D"/>
    <w:rsid w:val="707D2FCB"/>
    <w:rsid w:val="7081341D"/>
    <w:rsid w:val="709A3015"/>
    <w:rsid w:val="709C7F30"/>
    <w:rsid w:val="70FF231B"/>
    <w:rsid w:val="712145E2"/>
    <w:rsid w:val="712A10DA"/>
    <w:rsid w:val="713632BD"/>
    <w:rsid w:val="71454482"/>
    <w:rsid w:val="71656712"/>
    <w:rsid w:val="716661E7"/>
    <w:rsid w:val="71B05816"/>
    <w:rsid w:val="71C94CA8"/>
    <w:rsid w:val="71D4379B"/>
    <w:rsid w:val="71F06699"/>
    <w:rsid w:val="71FC0F10"/>
    <w:rsid w:val="71FF2663"/>
    <w:rsid w:val="720D6455"/>
    <w:rsid w:val="722902D6"/>
    <w:rsid w:val="7235718F"/>
    <w:rsid w:val="72655D51"/>
    <w:rsid w:val="726B6342"/>
    <w:rsid w:val="728E5536"/>
    <w:rsid w:val="72916CEC"/>
    <w:rsid w:val="729D5375"/>
    <w:rsid w:val="72AC080C"/>
    <w:rsid w:val="72B61C82"/>
    <w:rsid w:val="72BA3BC4"/>
    <w:rsid w:val="72DF006D"/>
    <w:rsid w:val="72E01249"/>
    <w:rsid w:val="73182A84"/>
    <w:rsid w:val="732175B5"/>
    <w:rsid w:val="732A30C0"/>
    <w:rsid w:val="73527F6F"/>
    <w:rsid w:val="7359138B"/>
    <w:rsid w:val="736E10B3"/>
    <w:rsid w:val="73886EE4"/>
    <w:rsid w:val="73ED5343"/>
    <w:rsid w:val="73F15145"/>
    <w:rsid w:val="74912187"/>
    <w:rsid w:val="74A51BA7"/>
    <w:rsid w:val="74B3778F"/>
    <w:rsid w:val="74C416F6"/>
    <w:rsid w:val="74DA50AA"/>
    <w:rsid w:val="74DB3C13"/>
    <w:rsid w:val="74FE0C2B"/>
    <w:rsid w:val="75143A10"/>
    <w:rsid w:val="751812C2"/>
    <w:rsid w:val="75614A45"/>
    <w:rsid w:val="7566482B"/>
    <w:rsid w:val="757B320D"/>
    <w:rsid w:val="757D3D42"/>
    <w:rsid w:val="75846C54"/>
    <w:rsid w:val="75A51424"/>
    <w:rsid w:val="75B31138"/>
    <w:rsid w:val="75F21B4B"/>
    <w:rsid w:val="75F321AA"/>
    <w:rsid w:val="75F734BB"/>
    <w:rsid w:val="76136B51"/>
    <w:rsid w:val="76182FBA"/>
    <w:rsid w:val="762C7D1C"/>
    <w:rsid w:val="763438FB"/>
    <w:rsid w:val="764002E4"/>
    <w:rsid w:val="7693697A"/>
    <w:rsid w:val="76A278F2"/>
    <w:rsid w:val="76C86EFC"/>
    <w:rsid w:val="76E2134F"/>
    <w:rsid w:val="76F670B0"/>
    <w:rsid w:val="77072773"/>
    <w:rsid w:val="771D04E7"/>
    <w:rsid w:val="771D3195"/>
    <w:rsid w:val="773079F4"/>
    <w:rsid w:val="77357482"/>
    <w:rsid w:val="773C6996"/>
    <w:rsid w:val="773D1CEC"/>
    <w:rsid w:val="77433CD6"/>
    <w:rsid w:val="774C0105"/>
    <w:rsid w:val="774E35C2"/>
    <w:rsid w:val="77512D7E"/>
    <w:rsid w:val="7763001F"/>
    <w:rsid w:val="778C2897"/>
    <w:rsid w:val="77A76E0A"/>
    <w:rsid w:val="77CC126E"/>
    <w:rsid w:val="77D2645E"/>
    <w:rsid w:val="77D678DB"/>
    <w:rsid w:val="77E133BA"/>
    <w:rsid w:val="77E77624"/>
    <w:rsid w:val="78014966"/>
    <w:rsid w:val="782216CF"/>
    <w:rsid w:val="786F5E38"/>
    <w:rsid w:val="78875447"/>
    <w:rsid w:val="7899274E"/>
    <w:rsid w:val="78AA0420"/>
    <w:rsid w:val="78D70FC1"/>
    <w:rsid w:val="78F376E8"/>
    <w:rsid w:val="790A4B85"/>
    <w:rsid w:val="792A0512"/>
    <w:rsid w:val="792A42DA"/>
    <w:rsid w:val="795A034C"/>
    <w:rsid w:val="796D53F1"/>
    <w:rsid w:val="796F419B"/>
    <w:rsid w:val="79772AF6"/>
    <w:rsid w:val="79BE20E5"/>
    <w:rsid w:val="79CB3113"/>
    <w:rsid w:val="79E81ACE"/>
    <w:rsid w:val="79E93F06"/>
    <w:rsid w:val="79EE7C0A"/>
    <w:rsid w:val="79FF137B"/>
    <w:rsid w:val="7A093875"/>
    <w:rsid w:val="7A1025D8"/>
    <w:rsid w:val="7A315369"/>
    <w:rsid w:val="7A3B023A"/>
    <w:rsid w:val="7A964A1D"/>
    <w:rsid w:val="7AA27289"/>
    <w:rsid w:val="7AA46D43"/>
    <w:rsid w:val="7AD934CE"/>
    <w:rsid w:val="7B6A4C5E"/>
    <w:rsid w:val="7B7D3820"/>
    <w:rsid w:val="7B8C3DFB"/>
    <w:rsid w:val="7B8F641B"/>
    <w:rsid w:val="7BA2387F"/>
    <w:rsid w:val="7BA552BF"/>
    <w:rsid w:val="7BC5785C"/>
    <w:rsid w:val="7BE97DDA"/>
    <w:rsid w:val="7C0D7C50"/>
    <w:rsid w:val="7C2555E3"/>
    <w:rsid w:val="7C360C31"/>
    <w:rsid w:val="7C4304B3"/>
    <w:rsid w:val="7C8658C7"/>
    <w:rsid w:val="7C8C6328"/>
    <w:rsid w:val="7C922500"/>
    <w:rsid w:val="7C950E5F"/>
    <w:rsid w:val="7CA127D2"/>
    <w:rsid w:val="7CCE0D63"/>
    <w:rsid w:val="7CF36370"/>
    <w:rsid w:val="7D6B4A85"/>
    <w:rsid w:val="7D8B3F47"/>
    <w:rsid w:val="7D962354"/>
    <w:rsid w:val="7DA12A98"/>
    <w:rsid w:val="7DA9255F"/>
    <w:rsid w:val="7DC1674C"/>
    <w:rsid w:val="7E0C5125"/>
    <w:rsid w:val="7E1258AA"/>
    <w:rsid w:val="7E152E50"/>
    <w:rsid w:val="7E1D1FDE"/>
    <w:rsid w:val="7E3368B9"/>
    <w:rsid w:val="7E3451AE"/>
    <w:rsid w:val="7E3A6732"/>
    <w:rsid w:val="7E4138D2"/>
    <w:rsid w:val="7E444F92"/>
    <w:rsid w:val="7E48781C"/>
    <w:rsid w:val="7E693391"/>
    <w:rsid w:val="7E882B7A"/>
    <w:rsid w:val="7EA64361"/>
    <w:rsid w:val="7EC61D92"/>
    <w:rsid w:val="7EC83535"/>
    <w:rsid w:val="7EE054E8"/>
    <w:rsid w:val="7EF63A40"/>
    <w:rsid w:val="7EFC0027"/>
    <w:rsid w:val="7F0E4EDE"/>
    <w:rsid w:val="7F1C2958"/>
    <w:rsid w:val="7F1C51A5"/>
    <w:rsid w:val="7F390FFC"/>
    <w:rsid w:val="7F742BF4"/>
    <w:rsid w:val="7F867624"/>
    <w:rsid w:val="7F986DF2"/>
    <w:rsid w:val="7F994860"/>
    <w:rsid w:val="7FA12480"/>
    <w:rsid w:val="7FC86438"/>
    <w:rsid w:val="7FD9336F"/>
    <w:rsid w:val="7FDA4E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0"/>
    <w:pPr>
      <w:keepNext/>
      <w:keepLines/>
      <w:snapToGrid w:val="0"/>
      <w:spacing w:line="300" w:lineRule="auto"/>
      <w:ind w:firstLine="152" w:firstLineChars="152"/>
      <w:outlineLvl w:val="1"/>
    </w:pPr>
    <w:rPr>
      <w:rFonts w:ascii="Arial" w:hAnsi="Arial" w:eastAsia="黑体"/>
      <w:bCs/>
      <w:sz w:val="28"/>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line="400" w:lineRule="exact"/>
      <w:jc w:val="center"/>
    </w:pPr>
    <w:rPr>
      <w:rFonts w:cs="宋体"/>
      <w:sz w:val="24"/>
    </w:rPr>
  </w:style>
  <w:style w:type="paragraph" w:styleId="4">
    <w:name w:val="annotation text"/>
    <w:basedOn w:val="1"/>
    <w:qFormat/>
    <w:uiPriority w:val="0"/>
    <w:pPr>
      <w:jc w:val="left"/>
    </w:pPr>
  </w:style>
  <w:style w:type="paragraph" w:styleId="5">
    <w:name w:val="Body Text Indent"/>
    <w:basedOn w:val="1"/>
    <w:qFormat/>
    <w:uiPriority w:val="0"/>
    <w:pPr>
      <w:autoSpaceDE w:val="0"/>
      <w:autoSpaceDN w:val="0"/>
      <w:adjustRightInd w:val="0"/>
      <w:snapToGrid w:val="0"/>
      <w:spacing w:line="588" w:lineRule="atLeast"/>
      <w:ind w:left="1596" w:hanging="969"/>
    </w:pPr>
    <w:rPr>
      <w:rFonts w:ascii="宋体" w:hAnsi="宋体" w:eastAsia="仿宋_GB2312"/>
      <w:spacing w:val="6"/>
      <w:sz w:val="30"/>
    </w:rPr>
  </w:style>
  <w:style w:type="paragraph" w:styleId="6">
    <w:name w:val="Balloon Text"/>
    <w:basedOn w:val="1"/>
    <w:link w:val="27"/>
    <w:qFormat/>
    <w:uiPriority w:val="0"/>
    <w:rPr>
      <w:sz w:val="18"/>
      <w:szCs w:val="18"/>
    </w:rPr>
  </w:style>
  <w:style w:type="paragraph" w:styleId="7">
    <w:name w:val="footer"/>
    <w:basedOn w:val="1"/>
    <w:qFormat/>
    <w:uiPriority w:val="99"/>
    <w:pPr>
      <w:tabs>
        <w:tab w:val="center" w:pos="4153"/>
        <w:tab w:val="right" w:pos="8306"/>
      </w:tabs>
      <w:snapToGrid w:val="0"/>
      <w:jc w:val="left"/>
    </w:pPr>
    <w:rPr>
      <w:rFonts w:ascii="Times New Roman" w:hAnsi="Times New Roman"/>
      <w:sz w:val="18"/>
      <w:szCs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toc 1"/>
    <w:basedOn w:val="1"/>
    <w:next w:val="1"/>
    <w:qFormat/>
    <w:uiPriority w:val="39"/>
  </w:style>
  <w:style w:type="paragraph" w:styleId="10">
    <w:name w:val="toc 2"/>
    <w:basedOn w:val="1"/>
    <w:next w:val="1"/>
    <w:qFormat/>
    <w:uiPriority w:val="39"/>
    <w:pPr>
      <w:ind w:left="420" w:leftChars="200"/>
    </w:p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Title"/>
    <w:basedOn w:val="1"/>
    <w:qFormat/>
    <w:uiPriority w:val="0"/>
    <w:pPr>
      <w:spacing w:before="240" w:after="60"/>
      <w:jc w:val="center"/>
      <w:outlineLvl w:val="0"/>
    </w:pPr>
    <w:rPr>
      <w:rFonts w:ascii="Arial" w:hAnsi="Arial" w:cs="Arial"/>
      <w:b/>
      <w:bCs/>
      <w:sz w:val="32"/>
      <w:szCs w:val="32"/>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qFormat/>
    <w:uiPriority w:val="0"/>
    <w:rPr>
      <w:rFonts w:ascii="Times New Roman" w:hAnsi="Times New Roman" w:eastAsia="宋体" w:cs="Times New Roman"/>
    </w:rPr>
  </w:style>
  <w:style w:type="character" w:styleId="17">
    <w:name w:val="Hyperlink"/>
    <w:basedOn w:val="15"/>
    <w:unhideWhenUsed/>
    <w:qFormat/>
    <w:uiPriority w:val="99"/>
    <w:rPr>
      <w:color w:val="0563C1" w:themeColor="hyperlink"/>
      <w:u w:val="single"/>
      <w14:textFill>
        <w14:solidFill>
          <w14:schemeClr w14:val="hlink"/>
        </w14:solidFill>
      </w14:textFill>
    </w:rPr>
  </w:style>
  <w:style w:type="paragraph" w:customStyle="1" w:styleId="18">
    <w:name w:val="WPSOffice手动目录 1"/>
    <w:qFormat/>
    <w:uiPriority w:val="0"/>
    <w:rPr>
      <w:rFonts w:ascii="Times New Roman" w:hAnsi="Times New Roman" w:eastAsia="宋体" w:cs="Times New Roman"/>
      <w:lang w:val="en-US" w:eastAsia="zh-CN" w:bidi="ar-SA"/>
    </w:rPr>
  </w:style>
  <w:style w:type="paragraph" w:customStyle="1" w:styleId="19">
    <w:name w:val="WPSOffice手动目录 2"/>
    <w:qFormat/>
    <w:uiPriority w:val="0"/>
    <w:pPr>
      <w:ind w:left="200" w:leftChars="200"/>
    </w:pPr>
    <w:rPr>
      <w:rFonts w:ascii="Times New Roman" w:hAnsi="Times New Roman" w:eastAsia="宋体" w:cs="Times New Roman"/>
      <w:lang w:val="en-US" w:eastAsia="zh-CN" w:bidi="ar-SA"/>
    </w:rPr>
  </w:style>
  <w:style w:type="paragraph" w:styleId="20">
    <w:name w:val="List Paragraph"/>
    <w:basedOn w:val="1"/>
    <w:qFormat/>
    <w:uiPriority w:val="34"/>
    <w:pPr>
      <w:ind w:firstLine="420" w:firstLineChars="200"/>
    </w:pPr>
    <w:rPr>
      <w:rFonts w:ascii="Calibri" w:hAnsi="Calibri" w:eastAsia="宋体" w:cs="Times New Roman"/>
      <w:szCs w:val="22"/>
    </w:rPr>
  </w:style>
  <w:style w:type="character" w:customStyle="1" w:styleId="21">
    <w:name w:val="font31"/>
    <w:basedOn w:val="15"/>
    <w:qFormat/>
    <w:uiPriority w:val="0"/>
    <w:rPr>
      <w:rFonts w:hint="eastAsia" w:ascii="宋体" w:hAnsi="宋体" w:eastAsia="宋体" w:cs="宋体"/>
      <w:color w:val="000000"/>
      <w:sz w:val="24"/>
      <w:szCs w:val="24"/>
      <w:u w:val="none"/>
    </w:rPr>
  </w:style>
  <w:style w:type="character" w:customStyle="1" w:styleId="22">
    <w:name w:val="font11"/>
    <w:basedOn w:val="15"/>
    <w:qFormat/>
    <w:uiPriority w:val="0"/>
    <w:rPr>
      <w:rFonts w:hint="eastAsia" w:ascii="仿宋" w:hAnsi="仿宋" w:eastAsia="仿宋" w:cs="仿宋"/>
      <w:color w:val="000000"/>
      <w:sz w:val="24"/>
      <w:szCs w:val="24"/>
      <w:u w:val="none"/>
    </w:rPr>
  </w:style>
  <w:style w:type="character" w:customStyle="1" w:styleId="23">
    <w:name w:val="font51"/>
    <w:basedOn w:val="15"/>
    <w:qFormat/>
    <w:uiPriority w:val="0"/>
    <w:rPr>
      <w:rFonts w:hint="eastAsia" w:ascii="宋体" w:hAnsi="宋体" w:eastAsia="宋体" w:cs="宋体"/>
      <w:color w:val="000000"/>
      <w:sz w:val="24"/>
      <w:szCs w:val="24"/>
      <w:u w:val="none"/>
    </w:rPr>
  </w:style>
  <w:style w:type="character" w:customStyle="1" w:styleId="24">
    <w:name w:val="font01"/>
    <w:basedOn w:val="15"/>
    <w:qFormat/>
    <w:uiPriority w:val="0"/>
    <w:rPr>
      <w:rFonts w:hint="eastAsia" w:ascii="仿宋" w:hAnsi="仿宋" w:eastAsia="仿宋" w:cs="仿宋"/>
      <w:color w:val="000000"/>
      <w:sz w:val="24"/>
      <w:szCs w:val="24"/>
      <w:u w:val="none"/>
    </w:rPr>
  </w:style>
  <w:style w:type="character" w:customStyle="1" w:styleId="25">
    <w:name w:val="font21"/>
    <w:basedOn w:val="15"/>
    <w:qFormat/>
    <w:uiPriority w:val="0"/>
    <w:rPr>
      <w:rFonts w:hint="eastAsia" w:ascii="宋体" w:hAnsi="宋体" w:eastAsia="宋体" w:cs="宋体"/>
      <w:color w:val="000000"/>
      <w:sz w:val="16"/>
      <w:szCs w:val="16"/>
      <w:u w:val="none"/>
    </w:rPr>
  </w:style>
  <w:style w:type="paragraph" w:customStyle="1" w:styleId="26">
    <w:name w:val="Default"/>
    <w:qFormat/>
    <w:uiPriority w:val="0"/>
    <w:pPr>
      <w:widowControl w:val="0"/>
      <w:autoSpaceDE w:val="0"/>
      <w:autoSpaceDN w:val="0"/>
      <w:adjustRightInd w:val="0"/>
    </w:pPr>
    <w:rPr>
      <w:rFonts w:ascii="宋体" w:eastAsia="宋体" w:cs="宋体" w:hAnsiTheme="minorHAnsi"/>
      <w:color w:val="000000"/>
      <w:sz w:val="24"/>
      <w:szCs w:val="24"/>
      <w:lang w:val="en-US" w:eastAsia="zh-CN" w:bidi="ar-SA"/>
    </w:rPr>
  </w:style>
  <w:style w:type="character" w:customStyle="1" w:styleId="27">
    <w:name w:val="批注框文本 Char"/>
    <w:basedOn w:val="15"/>
    <w:link w:val="6"/>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270AF7-51F6-4A93-9535-B32F5E90CFFD}">
  <ds:schemaRefs/>
</ds:datastoreItem>
</file>

<file path=docProps/app.xml><?xml version="1.0" encoding="utf-8"?>
<Properties xmlns="http://schemas.openxmlformats.org/officeDocument/2006/extended-properties" xmlns:vt="http://schemas.openxmlformats.org/officeDocument/2006/docPropsVTypes">
  <Template>Normal</Template>
  <Pages>19</Pages>
  <Words>1521</Words>
  <Characters>8675</Characters>
  <Lines>72</Lines>
  <Paragraphs>20</Paragraphs>
  <TotalTime>44</TotalTime>
  <ScaleCrop>false</ScaleCrop>
  <LinksUpToDate>false</LinksUpToDate>
  <CharactersWithSpaces>10176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2020-08-27T02:34:00Z</dcterms:created>
  <dc:creator>Administrator</dc:creator>
  <cp:lastModifiedBy>Administrator</cp:lastModifiedBy>
  <cp:lastPrinted>2021-03-05T06:35:00Z</cp:lastPrinted>
  <dcterms:modified xsi:type="dcterms:W3CDTF">2024-06-20T13:12:27Z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29FFE43F07FF4583B41D581C88BA78CB</vt:lpwstr>
  </property>
</Properties>
</file>