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360" w:lineRule="auto"/>
        <w:jc w:val="center"/>
        <w:textAlignment w:val="auto"/>
        <w:rPr>
          <w:rFonts w:hint="default" w:ascii="仿宋" w:hAnsi="仿宋" w:eastAsia="仿宋" w:cs="仿宋"/>
          <w:color w:val="auto"/>
          <w:sz w:val="44"/>
          <w:szCs w:val="44"/>
          <w:lang w:val="en-US" w:eastAsia="zh-CN"/>
        </w:rPr>
      </w:pPr>
      <w:r>
        <w:rPr>
          <w:rFonts w:hint="eastAsia" w:ascii="仿宋" w:hAnsi="仿宋" w:eastAsia="仿宋" w:cs="仿宋"/>
          <w:color w:val="auto"/>
          <w:sz w:val="44"/>
          <w:szCs w:val="44"/>
          <w:lang w:val="en-US" w:eastAsia="zh-CN"/>
        </w:rPr>
        <w:t xml:space="preserve">                                                         </w:t>
      </w: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color w:val="auto"/>
          <w:sz w:val="44"/>
          <w:szCs w:val="44"/>
          <w:lang w:val="en-US" w:eastAsia="zh-CN"/>
        </w:rPr>
      </w:pPr>
      <w:r>
        <w:rPr>
          <w:rFonts w:hint="eastAsia" w:ascii="仿宋" w:hAnsi="仿宋" w:eastAsia="仿宋" w:cs="仿宋"/>
          <w:sz w:val="44"/>
          <w:szCs w:val="44"/>
          <w:lang w:val="en-US" w:eastAsia="zh-CN"/>
        </w:rPr>
        <w:drawing>
          <wp:anchor distT="0" distB="0" distL="114300" distR="114300" simplePos="0" relativeHeight="251659264" behindDoc="1" locked="0" layoutInCell="1" allowOverlap="1">
            <wp:simplePos x="0" y="0"/>
            <wp:positionH relativeFrom="column">
              <wp:posOffset>-444500</wp:posOffset>
            </wp:positionH>
            <wp:positionV relativeFrom="page">
              <wp:posOffset>849630</wp:posOffset>
            </wp:positionV>
            <wp:extent cx="1329055" cy="1324610"/>
            <wp:effectExtent l="0" t="0" r="0" b="8255"/>
            <wp:wrapTight wrapText="bothSides">
              <wp:wrapPolygon>
                <wp:start x="8978" y="932"/>
                <wp:lineTo x="6502" y="1243"/>
                <wp:lineTo x="1238" y="4660"/>
                <wp:lineTo x="0" y="10872"/>
                <wp:lineTo x="1238" y="15843"/>
                <wp:lineTo x="1238" y="16775"/>
                <wp:lineTo x="7121" y="20813"/>
                <wp:lineTo x="8669" y="21434"/>
                <wp:lineTo x="12384" y="21434"/>
                <wp:lineTo x="14242" y="20813"/>
                <wp:lineTo x="19505" y="17085"/>
                <wp:lineTo x="21053" y="10872"/>
                <wp:lineTo x="19815" y="4970"/>
                <wp:lineTo x="14242" y="1243"/>
                <wp:lineTo x="12075" y="932"/>
                <wp:lineTo x="8978" y="932"/>
              </wp:wrapPolygon>
            </wp:wrapTight>
            <wp:docPr id="2" name="图片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ogo"/>
                    <pic:cNvPicPr>
                      <a:picLocks noChangeAspect="1"/>
                    </pic:cNvPicPr>
                  </pic:nvPicPr>
                  <pic:blipFill>
                    <a:blip r:embed="rId7"/>
                    <a:stretch>
                      <a:fillRect/>
                    </a:stretch>
                  </pic:blipFill>
                  <pic:spPr>
                    <a:xfrm>
                      <a:off x="0" y="0"/>
                      <a:ext cx="1329055" cy="1324610"/>
                    </a:xfrm>
                    <a:prstGeom prst="rect">
                      <a:avLst/>
                    </a:prstGeom>
                  </pic:spPr>
                </pic:pic>
              </a:graphicData>
            </a:graphic>
          </wp:anchor>
        </w:drawing>
      </w:r>
    </w:p>
    <w:p>
      <w:pPr>
        <w:keepNext w:val="0"/>
        <w:keepLines w:val="0"/>
        <w:pageBreakBefore w:val="0"/>
        <w:kinsoku/>
        <w:wordWrap/>
        <w:overflowPunct/>
        <w:topLinePunct w:val="0"/>
        <w:autoSpaceDE/>
        <w:autoSpaceDN/>
        <w:bidi w:val="0"/>
        <w:spacing w:line="360" w:lineRule="auto"/>
        <w:jc w:val="both"/>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r>
        <w:rPr>
          <w:rFonts w:hint="eastAsia" w:ascii="宋体" w:hAnsi="宋体" w:eastAsia="宋体" w:cs="宋体"/>
          <w:b/>
          <w:bCs/>
          <w:color w:val="auto"/>
          <w:sz w:val="44"/>
          <w:szCs w:val="44"/>
          <w:lang w:val="en-US" w:eastAsia="zh-CN"/>
        </w:rPr>
        <w:t>原民办代课教师教龄补助项目</w:t>
      </w: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r>
        <w:rPr>
          <w:rFonts w:hint="eastAsia" w:ascii="宋体" w:hAnsi="宋体" w:eastAsia="宋体" w:cs="宋体"/>
          <w:b/>
          <w:bCs/>
          <w:color w:val="auto"/>
          <w:sz w:val="44"/>
          <w:szCs w:val="44"/>
          <w:lang w:val="en-US" w:eastAsia="zh-CN"/>
        </w:rPr>
        <w:t>绩 效 评 价 报 告</w:t>
      </w: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both"/>
        <w:textAlignment w:val="auto"/>
        <w:rPr>
          <w:rFonts w:hint="eastAsia" w:ascii="仿宋" w:hAnsi="仿宋" w:eastAsia="仿宋" w:cs="仿宋"/>
          <w:b/>
          <w:bCs/>
          <w:color w:val="auto"/>
          <w:sz w:val="32"/>
          <w:szCs w:val="32"/>
          <w:lang w:val="en-US" w:eastAsia="zh-CN"/>
        </w:rPr>
      </w:pPr>
    </w:p>
    <w:p>
      <w:pPr>
        <w:pStyle w:val="4"/>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lang w:eastAsia="zh-CN"/>
        </w:rPr>
      </w:pPr>
      <w:r>
        <w:rPr>
          <w:rFonts w:hint="eastAsia" w:ascii="宋体" w:hAnsi="宋体" w:eastAsia="宋体" w:cs="宋体"/>
          <w:b/>
          <w:bCs w:val="0"/>
          <w:sz w:val="32"/>
          <w:szCs w:val="32"/>
        </w:rPr>
        <w:t>委托单位：</w:t>
      </w:r>
      <w:r>
        <w:rPr>
          <w:rFonts w:hint="eastAsia" w:ascii="宋体" w:hAnsi="宋体" w:eastAsia="宋体" w:cs="宋体"/>
          <w:b/>
          <w:bCs w:val="0"/>
          <w:sz w:val="32"/>
          <w:szCs w:val="32"/>
          <w:lang w:eastAsia="zh-CN"/>
        </w:rPr>
        <w:t>无极县财政局</w:t>
      </w:r>
    </w:p>
    <w:p>
      <w:pPr>
        <w:pStyle w:val="4"/>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rPr>
      </w:pPr>
      <w:r>
        <w:rPr>
          <w:rFonts w:hint="eastAsia" w:ascii="宋体" w:hAnsi="宋体" w:eastAsia="宋体" w:cs="宋体"/>
          <w:b/>
          <w:bCs w:val="0"/>
          <w:sz w:val="32"/>
          <w:szCs w:val="32"/>
        </w:rPr>
        <w:t>项目单位：</w:t>
      </w:r>
      <w:r>
        <w:rPr>
          <w:rFonts w:hint="eastAsia" w:ascii="宋体" w:hAnsi="宋体" w:eastAsia="宋体" w:cs="宋体"/>
          <w:b/>
          <w:bCs w:val="0"/>
          <w:sz w:val="32"/>
          <w:szCs w:val="32"/>
          <w:lang w:eastAsia="zh-CN"/>
        </w:rPr>
        <w:t>无极县教育</w:t>
      </w:r>
      <w:r>
        <w:rPr>
          <w:rFonts w:hint="eastAsia" w:ascii="宋体" w:hAnsi="宋体" w:eastAsia="宋体" w:cs="宋体"/>
          <w:b/>
          <w:bCs w:val="0"/>
          <w:sz w:val="32"/>
          <w:szCs w:val="32"/>
        </w:rPr>
        <w:t>局</w:t>
      </w:r>
    </w:p>
    <w:p>
      <w:pPr>
        <w:pStyle w:val="4"/>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rPr>
      </w:pPr>
      <w:r>
        <w:rPr>
          <w:rFonts w:hint="eastAsia" w:ascii="宋体" w:hAnsi="宋体" w:eastAsia="宋体" w:cs="宋体"/>
          <w:b/>
          <w:bCs w:val="0"/>
          <w:sz w:val="32"/>
          <w:szCs w:val="32"/>
        </w:rPr>
        <w:t>评价机构：中大宇辰项目管理有限公司</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val="0"/>
          <w:sz w:val="32"/>
          <w:szCs w:val="32"/>
        </w:rPr>
      </w:pPr>
      <w:r>
        <w:rPr>
          <w:rFonts w:hint="eastAsia" w:ascii="宋体" w:hAnsi="宋体" w:eastAsia="宋体" w:cs="宋体"/>
          <w:b/>
          <w:bCs w:val="0"/>
          <w:sz w:val="32"/>
          <w:szCs w:val="32"/>
        </w:rPr>
        <w:t>2021年</w:t>
      </w:r>
      <w:r>
        <w:rPr>
          <w:rFonts w:hint="eastAsia" w:ascii="宋体" w:hAnsi="宋体" w:eastAsia="宋体" w:cs="宋体"/>
          <w:b/>
          <w:bCs w:val="0"/>
          <w:sz w:val="32"/>
          <w:szCs w:val="32"/>
          <w:lang w:val="en-US" w:eastAsia="zh-CN"/>
        </w:rPr>
        <w:t>7</w:t>
      </w:r>
      <w:r>
        <w:rPr>
          <w:rFonts w:hint="eastAsia" w:ascii="宋体" w:hAnsi="宋体" w:eastAsia="宋体" w:cs="宋体"/>
          <w:b/>
          <w:bCs w:val="0"/>
          <w:sz w:val="32"/>
          <w:szCs w:val="32"/>
        </w:rPr>
        <w:t>月</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val="0"/>
          <w:bCs w:val="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r>
        <w:rPr>
          <w:rFonts w:hint="eastAsia" w:ascii="仿宋" w:hAnsi="仿宋" w:eastAsia="仿宋" w:cs="仿宋"/>
          <w:b/>
          <w:bCs/>
          <w:color w:val="auto"/>
          <w:kern w:val="2"/>
          <w:sz w:val="44"/>
          <w:szCs w:val="44"/>
          <w:lang w:val="en-US" w:eastAsia="zh-CN" w:bidi="ar-SA"/>
        </w:rPr>
        <w:drawing>
          <wp:anchor distT="0" distB="0" distL="114300" distR="114300" simplePos="0" relativeHeight="251660288" behindDoc="0" locked="0" layoutInCell="1" allowOverlap="1">
            <wp:simplePos x="0" y="0"/>
            <wp:positionH relativeFrom="column">
              <wp:posOffset>-19050</wp:posOffset>
            </wp:positionH>
            <wp:positionV relativeFrom="paragraph">
              <wp:posOffset>0</wp:posOffset>
            </wp:positionV>
            <wp:extent cx="5266690" cy="3693795"/>
            <wp:effectExtent l="0" t="0" r="10160" b="1905"/>
            <wp:wrapTopAndBottom/>
            <wp:docPr id="7" name="图片 7" descr="苌彦改  张段固镇东验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苌彦改  张段固镇东验村"/>
                    <pic:cNvPicPr>
                      <a:picLocks noChangeAspect="1"/>
                    </pic:cNvPicPr>
                  </pic:nvPicPr>
                  <pic:blipFill>
                    <a:blip r:embed="rId8"/>
                    <a:stretch>
                      <a:fillRect/>
                    </a:stretch>
                  </pic:blipFill>
                  <pic:spPr>
                    <a:xfrm>
                      <a:off x="0" y="0"/>
                      <a:ext cx="5266690" cy="3693795"/>
                    </a:xfrm>
                    <a:prstGeom prst="rect">
                      <a:avLst/>
                    </a:prstGeom>
                  </pic:spPr>
                </pic:pic>
              </a:graphicData>
            </a:graphic>
          </wp:anchor>
        </w:drawing>
      </w:r>
      <w:r>
        <w:rPr>
          <w:rFonts w:hint="eastAsia" w:ascii="仿宋" w:hAnsi="仿宋" w:eastAsia="仿宋" w:cs="仿宋"/>
          <w:b w:val="0"/>
          <w:bCs w:val="0"/>
          <w:color w:val="auto"/>
          <w:kern w:val="2"/>
          <w:sz w:val="36"/>
          <w:szCs w:val="36"/>
          <w:lang w:val="en-US" w:eastAsia="zh-CN" w:bidi="ar-SA"/>
        </w:rPr>
        <w:t>东验村实地入户走访图片</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r>
        <w:rPr>
          <w:rFonts w:hint="eastAsia" w:ascii="仿宋" w:hAnsi="仿宋" w:eastAsia="仿宋" w:cs="仿宋"/>
          <w:b w:val="0"/>
          <w:bCs w:val="0"/>
          <w:color w:val="auto"/>
          <w:kern w:val="2"/>
          <w:sz w:val="36"/>
          <w:szCs w:val="36"/>
          <w:lang w:val="en-US" w:eastAsia="zh-CN" w:bidi="ar-SA"/>
        </w:rPr>
        <w:drawing>
          <wp:anchor distT="0" distB="0" distL="114300" distR="114300" simplePos="0" relativeHeight="251661312" behindDoc="0" locked="0" layoutInCell="1" allowOverlap="1">
            <wp:simplePos x="0" y="0"/>
            <wp:positionH relativeFrom="column">
              <wp:posOffset>-19050</wp:posOffset>
            </wp:positionH>
            <wp:positionV relativeFrom="paragraph">
              <wp:posOffset>131445</wp:posOffset>
            </wp:positionV>
            <wp:extent cx="5266690" cy="3683635"/>
            <wp:effectExtent l="0" t="0" r="10160" b="12065"/>
            <wp:wrapTopAndBottom/>
            <wp:docPr id="8" name="图片 8" descr="牛敏雪  郭庄镇马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牛敏雪  郭庄镇马村"/>
                    <pic:cNvPicPr>
                      <a:picLocks noChangeAspect="1"/>
                    </pic:cNvPicPr>
                  </pic:nvPicPr>
                  <pic:blipFill>
                    <a:blip r:embed="rId9"/>
                    <a:stretch>
                      <a:fillRect/>
                    </a:stretch>
                  </pic:blipFill>
                  <pic:spPr>
                    <a:xfrm>
                      <a:off x="0" y="0"/>
                      <a:ext cx="5266690" cy="3683635"/>
                    </a:xfrm>
                    <a:prstGeom prst="rect">
                      <a:avLst/>
                    </a:prstGeom>
                  </pic:spPr>
                </pic:pic>
              </a:graphicData>
            </a:graphic>
          </wp:anchor>
        </w:drawing>
      </w:r>
      <w:r>
        <w:rPr>
          <w:rFonts w:hint="eastAsia" w:ascii="仿宋" w:hAnsi="仿宋" w:eastAsia="仿宋" w:cs="仿宋"/>
          <w:b w:val="0"/>
          <w:bCs w:val="0"/>
          <w:color w:val="auto"/>
          <w:kern w:val="2"/>
          <w:sz w:val="36"/>
          <w:szCs w:val="36"/>
          <w:lang w:val="en-US" w:eastAsia="zh-CN" w:bidi="ar-SA"/>
        </w:rPr>
        <w:t>马村实地入户走访图片</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r>
        <w:rPr>
          <w:rFonts w:hint="eastAsia" w:ascii="仿宋" w:hAnsi="仿宋" w:eastAsia="仿宋" w:cs="仿宋"/>
          <w:b/>
          <w:bCs/>
          <w:color w:val="auto"/>
          <w:kern w:val="2"/>
          <w:sz w:val="44"/>
          <w:szCs w:val="44"/>
          <w:lang w:val="en-US" w:eastAsia="zh-CN" w:bidi="ar-SA"/>
        </w:rPr>
        <w:drawing>
          <wp:anchor distT="0" distB="0" distL="114300" distR="114300" simplePos="0" relativeHeight="251662336" behindDoc="0" locked="0" layoutInCell="1" allowOverlap="1">
            <wp:simplePos x="0" y="0"/>
            <wp:positionH relativeFrom="column">
              <wp:posOffset>9525</wp:posOffset>
            </wp:positionH>
            <wp:positionV relativeFrom="paragraph">
              <wp:posOffset>223520</wp:posOffset>
            </wp:positionV>
            <wp:extent cx="5266690" cy="3484245"/>
            <wp:effectExtent l="0" t="0" r="10160" b="1905"/>
            <wp:wrapTopAndBottom/>
            <wp:docPr id="9" name="图片 9" descr="兰领兄  七汲镇崔村走访入户调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兰领兄  七汲镇崔村走访入户调查"/>
                    <pic:cNvPicPr>
                      <a:picLocks noChangeAspect="1"/>
                    </pic:cNvPicPr>
                  </pic:nvPicPr>
                  <pic:blipFill>
                    <a:blip r:embed="rId10"/>
                    <a:stretch>
                      <a:fillRect/>
                    </a:stretch>
                  </pic:blipFill>
                  <pic:spPr>
                    <a:xfrm>
                      <a:off x="0" y="0"/>
                      <a:ext cx="5266690" cy="3484245"/>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r>
        <w:rPr>
          <w:rFonts w:hint="eastAsia" w:ascii="仿宋" w:hAnsi="仿宋" w:eastAsia="仿宋" w:cs="仿宋"/>
          <w:b w:val="0"/>
          <w:bCs w:val="0"/>
          <w:color w:val="auto"/>
          <w:kern w:val="2"/>
          <w:sz w:val="36"/>
          <w:szCs w:val="36"/>
          <w:lang w:val="en-US" w:eastAsia="zh-CN" w:bidi="ar-SA"/>
        </w:rPr>
        <w:t>兰领兄  七汲镇崔村实地入户走访图片</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val="0"/>
          <w:bCs w:val="0"/>
          <w:color w:val="auto"/>
          <w:kern w:val="2"/>
          <w:sz w:val="36"/>
          <w:szCs w:val="36"/>
          <w:lang w:val="en-US" w:eastAsia="zh-CN" w:bidi="ar-SA"/>
        </w:rPr>
      </w:pPr>
      <w:r>
        <w:rPr>
          <w:rFonts w:hint="eastAsia" w:ascii="仿宋" w:hAnsi="仿宋" w:eastAsia="仿宋" w:cs="仿宋"/>
          <w:b w:val="0"/>
          <w:bCs w:val="0"/>
          <w:color w:val="auto"/>
          <w:kern w:val="2"/>
          <w:sz w:val="36"/>
          <w:szCs w:val="36"/>
          <w:lang w:val="en-US" w:eastAsia="zh-CN" w:bidi="ar-SA"/>
        </w:rPr>
        <w:t xml:space="preserve">  杨坊村实地入户走访图片</w:t>
      </w:r>
      <w:r>
        <w:rPr>
          <w:rFonts w:hint="eastAsia" w:ascii="仿宋" w:hAnsi="仿宋" w:eastAsia="仿宋" w:cs="仿宋"/>
          <w:b w:val="0"/>
          <w:bCs w:val="0"/>
          <w:color w:val="auto"/>
          <w:kern w:val="2"/>
          <w:sz w:val="36"/>
          <w:szCs w:val="36"/>
          <w:lang w:val="en-US" w:eastAsia="zh-CN" w:bidi="ar-SA"/>
        </w:rPr>
        <w:drawing>
          <wp:anchor distT="0" distB="0" distL="114300" distR="114300" simplePos="0" relativeHeight="251663360" behindDoc="0" locked="0" layoutInCell="1" allowOverlap="1">
            <wp:simplePos x="0" y="0"/>
            <wp:positionH relativeFrom="column">
              <wp:posOffset>-10160</wp:posOffset>
            </wp:positionH>
            <wp:positionV relativeFrom="paragraph">
              <wp:posOffset>273685</wp:posOffset>
            </wp:positionV>
            <wp:extent cx="5257800" cy="3439795"/>
            <wp:effectExtent l="0" t="0" r="0" b="8255"/>
            <wp:wrapTopAndBottom/>
            <wp:docPr id="10" name="图片 10" descr="翟秀芬  郭庄镇杨坊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翟秀芬  郭庄镇杨坊村"/>
                    <pic:cNvPicPr>
                      <a:picLocks noChangeAspect="1"/>
                    </pic:cNvPicPr>
                  </pic:nvPicPr>
                  <pic:blipFill>
                    <a:blip r:embed="rId11"/>
                    <a:srcRect t="-254"/>
                    <a:stretch>
                      <a:fillRect/>
                    </a:stretch>
                  </pic:blipFill>
                  <pic:spPr>
                    <a:xfrm>
                      <a:off x="0" y="0"/>
                      <a:ext cx="5257800" cy="3439795"/>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sectPr>
          <w:footerReference r:id="rId3" w:type="default"/>
          <w:pgSz w:w="11906" w:h="16838"/>
          <w:pgMar w:top="1440" w:right="1800" w:bottom="1440" w:left="1800" w:header="851" w:footer="992" w:gutter="0"/>
          <w:pgNumType w:fmt="decimal"/>
          <w:cols w:space="425" w:num="1"/>
          <w:docGrid w:type="lines" w:linePitch="312" w:charSpace="0"/>
        </w:sectPr>
      </w:pPr>
    </w:p>
    <w:sdt>
      <w:sdtPr>
        <w:rPr>
          <w:rFonts w:hint="eastAsia" w:ascii="仿宋" w:hAnsi="仿宋" w:eastAsia="仿宋" w:cs="仿宋"/>
          <w:b/>
          <w:bCs/>
          <w:color w:val="auto"/>
          <w:kern w:val="2"/>
          <w:sz w:val="44"/>
          <w:szCs w:val="44"/>
          <w:lang w:val="en-US" w:eastAsia="zh-CN" w:bidi="ar-SA"/>
        </w:rPr>
        <w:id w:val="147462029"/>
        <w15:color w:val="DBDBDB"/>
      </w:sdtPr>
      <w:sdtEndPr>
        <w:rPr>
          <w:rFonts w:hint="eastAsia" w:ascii="仿宋" w:hAnsi="仿宋" w:eastAsia="仿宋" w:cs="仿宋"/>
          <w:b/>
          <w:bCs/>
          <w:color w:val="auto"/>
          <w:spacing w:val="0"/>
          <w:kern w:val="2"/>
          <w:sz w:val="32"/>
          <w:szCs w:val="32"/>
          <w:lang w:val="en-US" w:eastAsia="zh-CN" w:bidi="ar-SA"/>
        </w:rPr>
      </w:sdtEndPr>
      <w:sdtContent>
        <w:sdt>
          <w:sdtPr>
            <w:rPr>
              <w:rFonts w:hint="eastAsia" w:ascii="仿宋" w:hAnsi="仿宋" w:eastAsia="仿宋" w:cs="仿宋"/>
              <w:b/>
              <w:bCs/>
              <w:color w:val="auto"/>
              <w:kern w:val="2"/>
              <w:sz w:val="44"/>
              <w:szCs w:val="44"/>
              <w:lang w:val="en-US" w:eastAsia="zh-CN" w:bidi="ar-SA"/>
            </w:rPr>
            <w:id w:val="147462029"/>
            <w15:color w:val="DBDBDB"/>
          </w:sdtPr>
          <w:sdtEndPr>
            <w:rPr>
              <w:rFonts w:hint="eastAsia" w:ascii="仿宋" w:hAnsi="仿宋" w:eastAsia="仿宋" w:cs="仿宋"/>
              <w:b/>
              <w:bCs/>
              <w:color w:val="auto"/>
              <w:spacing w:val="0"/>
              <w:kern w:val="2"/>
              <w:sz w:val="32"/>
              <w:szCs w:val="32"/>
              <w:lang w:val="en-US" w:eastAsia="zh-CN" w:bidi="ar-SA"/>
            </w:rPr>
          </w:sdtEndPr>
          <w:sdtContent>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目</w:t>
              </w:r>
              <w:r>
                <w:rPr>
                  <w:rFonts w:hint="eastAsia" w:ascii="宋体" w:hAnsi="宋体" w:eastAsia="宋体" w:cs="宋体"/>
                  <w:b/>
                  <w:bCs/>
                  <w:color w:val="auto"/>
                  <w:sz w:val="30"/>
                  <w:szCs w:val="30"/>
                  <w:highlight w:val="none"/>
                  <w:lang w:val="en-US" w:eastAsia="zh-CN"/>
                </w:rPr>
                <w:t xml:space="preserve"> </w:t>
              </w:r>
              <w:r>
                <w:rPr>
                  <w:rFonts w:hint="eastAsia" w:ascii="宋体" w:hAnsi="宋体" w:eastAsia="宋体" w:cs="宋体"/>
                  <w:b/>
                  <w:bCs/>
                  <w:color w:val="auto"/>
                  <w:sz w:val="30"/>
                  <w:szCs w:val="30"/>
                  <w:highlight w:val="none"/>
                </w:rPr>
                <w:t>录</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b/>
                  <w:bCs/>
                  <w:color w:val="auto"/>
                  <w:sz w:val="28"/>
                  <w:szCs w:val="28"/>
                  <w:highlight w:val="none"/>
                </w:rPr>
              </w:pP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color w:val="auto"/>
                  <w:sz w:val="28"/>
                  <w:szCs w:val="28"/>
                  <w:highlight w:val="none"/>
                </w:rPr>
              </w:pP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color w:val="auto"/>
                  <w:spacing w:val="0"/>
                  <w:kern w:val="2"/>
                  <w:sz w:val="28"/>
                  <w:szCs w:val="28"/>
                  <w:lang w:val="en-US" w:eastAsia="zh-CN" w:bidi="ar-SA"/>
                </w:rPr>
                <w:instrText xml:space="preserve">TOC \o "1-2" \h \u </w:instrText>
              </w:r>
              <w:r>
                <w:rPr>
                  <w:rFonts w:hint="eastAsia" w:ascii="宋体" w:hAnsi="宋体" w:eastAsia="宋体" w:cs="宋体"/>
                  <w:color w:val="auto"/>
                  <w:spacing w:val="0"/>
                  <w:kern w:val="2"/>
                  <w:sz w:val="28"/>
                  <w:szCs w:val="28"/>
                  <w:lang w:val="en-US" w:eastAsia="zh-CN" w:bidi="ar-SA"/>
                </w:rPr>
                <w:fldChar w:fldCharType="separate"/>
              </w: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_Toc16460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一、 基本情况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_Toc16460 \h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_Toc24069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（一）项目概况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_Toc24069 \h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_Toc21744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rPr>
                <w:t>（二）项目绩效目标</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_Toc21744 \h </w:instrText>
              </w:r>
              <w:r>
                <w:rPr>
                  <w:rFonts w:hint="eastAsia" w:ascii="宋体" w:hAnsi="宋体" w:eastAsia="宋体" w:cs="宋体"/>
                  <w:sz w:val="28"/>
                  <w:szCs w:val="28"/>
                </w:rPr>
                <w:fldChar w:fldCharType="separate"/>
              </w:r>
              <w:r>
                <w:rPr>
                  <w:rFonts w:hint="eastAsia" w:ascii="宋体" w:hAnsi="宋体" w:eastAsia="宋体" w:cs="宋体"/>
                  <w:sz w:val="28"/>
                  <w:szCs w:val="28"/>
                </w:rPr>
                <w:t>4</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_Toc30555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二、绩效评价工作情况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_Toc30555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_Toc21578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（一）绩效评价的目的、对象和范围</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_Toc21578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_Toc9180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（二）绩效评价原则、评价方法</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_Toc9180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_Toc10548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highlight w:val="none"/>
                  <w:lang w:val="en-US" w:eastAsia="zh-CN"/>
                </w:rPr>
                <w:t>（三）绩效目标评价体系</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_Toc10548 \h </w:instrText>
              </w:r>
              <w:r>
                <w:rPr>
                  <w:rFonts w:hint="eastAsia" w:ascii="宋体" w:hAnsi="宋体" w:eastAsia="宋体" w:cs="宋体"/>
                  <w:sz w:val="28"/>
                  <w:szCs w:val="28"/>
                </w:rPr>
                <w:fldChar w:fldCharType="separate"/>
              </w:r>
              <w:r>
                <w:rPr>
                  <w:rFonts w:hint="eastAsia"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_Toc1901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（四）绩效评价工作过程</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_Toc1901 \h </w:instrText>
              </w:r>
              <w:r>
                <w:rPr>
                  <w:rFonts w:hint="eastAsia" w:ascii="宋体" w:hAnsi="宋体" w:eastAsia="宋体" w:cs="宋体"/>
                  <w:sz w:val="28"/>
                  <w:szCs w:val="28"/>
                </w:rPr>
                <w:fldChar w:fldCharType="separate"/>
              </w:r>
              <w:r>
                <w:rPr>
                  <w:rFonts w:hint="eastAsia"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_Toc689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三、绩效评价情况及评价结论</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_Toc689 \h </w:instrText>
              </w:r>
              <w:r>
                <w:rPr>
                  <w:rFonts w:hint="eastAsia" w:ascii="宋体" w:hAnsi="宋体" w:eastAsia="宋体" w:cs="宋体"/>
                  <w:sz w:val="28"/>
                  <w:szCs w:val="28"/>
                </w:rPr>
                <w:fldChar w:fldCharType="separate"/>
              </w:r>
              <w:r>
                <w:rPr>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_Toc27912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 xml:space="preserve">四、 </w:t>
              </w:r>
              <w:r>
                <w:rPr>
                  <w:rFonts w:hint="eastAsia" w:ascii="宋体" w:hAnsi="宋体" w:eastAsia="宋体" w:cs="宋体"/>
                  <w:bCs/>
                  <w:sz w:val="28"/>
                  <w:szCs w:val="28"/>
                  <w:highlight w:val="none"/>
                  <w:lang w:val="en-US" w:eastAsia="zh-CN"/>
                </w:rPr>
                <w:t>绩效评价指标分析</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_Toc27912 \h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_Toc32712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（一）项目决策情况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_Toc32712 \h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_Toc24492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（二）项目过程指标情况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_Toc24492 \h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_Toc3914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highlight w:val="none"/>
                  <w:lang w:val="en-US" w:eastAsia="zh-CN"/>
                </w:rPr>
                <w:t>（三）项目产出情况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_Toc3914 \h </w:instrText>
              </w:r>
              <w:r>
                <w:rPr>
                  <w:rFonts w:hint="eastAsia" w:ascii="宋体" w:hAnsi="宋体" w:eastAsia="宋体" w:cs="宋体"/>
                  <w:sz w:val="28"/>
                  <w:szCs w:val="28"/>
                </w:rPr>
                <w:fldChar w:fldCharType="separate"/>
              </w:r>
              <w:r>
                <w:rPr>
                  <w:rFonts w:hint="eastAsia" w:ascii="宋体" w:hAnsi="宋体" w:eastAsia="宋体" w:cs="宋体"/>
                  <w:sz w:val="28"/>
                  <w:szCs w:val="28"/>
                </w:rPr>
                <w:t>11</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_Toc2948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（四）项目效益情况</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_Toc2948 \h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_Toc19146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eastAsia="zh-CN"/>
                </w:rPr>
                <w:t>五</w:t>
              </w:r>
              <w:r>
                <w:rPr>
                  <w:rFonts w:hint="eastAsia" w:ascii="宋体" w:hAnsi="宋体" w:eastAsia="宋体" w:cs="宋体"/>
                  <w:sz w:val="28"/>
                  <w:szCs w:val="28"/>
                </w:rPr>
                <w:t>、主要经验及做法、存在的问题</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_Toc19146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_Toc12680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highlight w:val="none"/>
                  <w:lang w:val="en-US" w:eastAsia="zh-CN"/>
                </w:rPr>
                <w:t>（一）项目决策</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_Toc12680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_Toc3663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（二）项目过程</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_Toc3663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_Toc2279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（三）项目效益</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_Toc2279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_Toc23171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sz w:val="28"/>
                  <w:szCs w:val="28"/>
                  <w:lang w:val="en-US" w:eastAsia="zh-CN"/>
                </w:rPr>
                <w:t>六、有关建议</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_Toc23171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_Toc1272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kern w:val="2"/>
                  <w:sz w:val="28"/>
                  <w:szCs w:val="28"/>
                  <w:lang w:val="en-US" w:eastAsia="zh-CN" w:bidi="ar-SA"/>
                </w:rPr>
                <w:t>（一）项目决策</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_Toc1272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_Toc15723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（二）项目过程</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_Toc15723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_Toc27530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sz w:val="28"/>
                  <w:szCs w:val="28"/>
                  <w:lang w:val="en-US" w:eastAsia="zh-CN"/>
                </w:rPr>
                <w:t>（三）项目效益</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_Toc27530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pStyle w:val="10"/>
                <w:keepNext w:val="0"/>
                <w:keepLines w:val="0"/>
                <w:pageBreakBefore w:val="0"/>
                <w:widowControl w:val="0"/>
                <w:tabs>
                  <w:tab w:val="right" w:leader="dot" w:pos="8306"/>
                </w:tabs>
                <w:kinsoku/>
                <w:wordWrap/>
                <w:overflowPunct/>
                <w:topLinePunct w:val="0"/>
                <w:autoSpaceDE/>
                <w:autoSpaceDN/>
                <w:bidi w:val="0"/>
                <w:adjustRightInd/>
                <w:snapToGrid/>
                <w:spacing w:line="500" w:lineRule="exact"/>
                <w:textAlignment w:val="auto"/>
                <w:rPr>
                  <w:rFonts w:hint="eastAsia" w:ascii="宋体" w:hAnsi="宋体" w:eastAsia="宋体" w:cs="宋体"/>
                  <w:sz w:val="28"/>
                  <w:szCs w:val="28"/>
                </w:rPr>
              </w:pPr>
              <w:r>
                <w:rPr>
                  <w:rFonts w:hint="eastAsia" w:ascii="宋体" w:hAnsi="宋体" w:eastAsia="宋体" w:cs="宋体"/>
                  <w:color w:val="auto"/>
                  <w:spacing w:val="0"/>
                  <w:kern w:val="2"/>
                  <w:sz w:val="28"/>
                  <w:szCs w:val="28"/>
                  <w:lang w:val="en-US" w:eastAsia="zh-CN" w:bidi="ar-SA"/>
                </w:rPr>
                <w:fldChar w:fldCharType="begin"/>
              </w:r>
              <w:r>
                <w:rPr>
                  <w:rFonts w:hint="eastAsia" w:ascii="宋体" w:hAnsi="宋体" w:eastAsia="宋体" w:cs="宋体"/>
                  <w:spacing w:val="0"/>
                  <w:kern w:val="2"/>
                  <w:sz w:val="28"/>
                  <w:szCs w:val="28"/>
                  <w:lang w:val="en-US" w:eastAsia="zh-CN" w:bidi="ar-SA"/>
                </w:rPr>
                <w:instrText xml:space="preserve"> HYPERLINK \l _Toc7671 </w:instrText>
              </w:r>
              <w:r>
                <w:rPr>
                  <w:rFonts w:hint="eastAsia" w:ascii="宋体" w:hAnsi="宋体" w:eastAsia="宋体" w:cs="宋体"/>
                  <w:spacing w:val="0"/>
                  <w:kern w:val="2"/>
                  <w:sz w:val="28"/>
                  <w:szCs w:val="28"/>
                  <w:lang w:val="en-US" w:eastAsia="zh-CN" w:bidi="ar-SA"/>
                </w:rPr>
                <w:fldChar w:fldCharType="separate"/>
              </w:r>
              <w:r>
                <w:rPr>
                  <w:rFonts w:hint="eastAsia" w:ascii="宋体" w:hAnsi="宋体" w:eastAsia="宋体" w:cs="宋体"/>
                  <w:bCs/>
                  <w:kern w:val="2"/>
                  <w:sz w:val="28"/>
                  <w:szCs w:val="28"/>
                  <w:lang w:val="en-US" w:eastAsia="zh-CN" w:bidi="ar-SA"/>
                </w:rPr>
                <w:t>七、其他需要说明的问题</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_Toc7671 \h </w:instrText>
              </w:r>
              <w:r>
                <w:rPr>
                  <w:rFonts w:hint="eastAsia" w:ascii="宋体" w:hAnsi="宋体" w:eastAsia="宋体" w:cs="宋体"/>
                  <w:sz w:val="28"/>
                  <w:szCs w:val="28"/>
                </w:rPr>
                <w:fldChar w:fldCharType="separate"/>
              </w:r>
              <w:r>
                <w:rPr>
                  <w:rFonts w:hint="eastAsia" w:ascii="宋体" w:hAnsi="宋体" w:eastAsia="宋体" w:cs="宋体"/>
                  <w:sz w:val="28"/>
                  <w:szCs w:val="28"/>
                </w:rPr>
                <w:t>14</w:t>
              </w:r>
              <w:r>
                <w:rPr>
                  <w:rFonts w:hint="eastAsia" w:ascii="宋体" w:hAnsi="宋体" w:eastAsia="宋体" w:cs="宋体"/>
                  <w:sz w:val="28"/>
                  <w:szCs w:val="28"/>
                </w:rPr>
                <w:fldChar w:fldCharType="end"/>
              </w:r>
              <w:r>
                <w:rPr>
                  <w:rFonts w:hint="eastAsia" w:ascii="宋体" w:hAnsi="宋体" w:eastAsia="宋体" w:cs="宋体"/>
                  <w:color w:val="auto"/>
                  <w:spacing w:val="0"/>
                  <w:kern w:val="2"/>
                  <w:sz w:val="28"/>
                  <w:szCs w:val="28"/>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left"/>
                <w:textAlignment w:val="auto"/>
                <w:rPr>
                  <w:rFonts w:hint="eastAsia" w:ascii="仿宋" w:hAnsi="仿宋" w:eastAsia="仿宋" w:cs="仿宋"/>
                  <w:color w:val="auto"/>
                  <w:spacing w:val="0"/>
                  <w:kern w:val="2"/>
                  <w:sz w:val="32"/>
                  <w:szCs w:val="32"/>
                  <w:lang w:val="en-US" w:eastAsia="zh-CN" w:bidi="ar-SA"/>
                </w:rPr>
              </w:pPr>
              <w:r>
                <w:rPr>
                  <w:rFonts w:hint="eastAsia" w:ascii="宋体" w:hAnsi="宋体" w:eastAsia="宋体" w:cs="宋体"/>
                  <w:color w:val="auto"/>
                  <w:spacing w:val="0"/>
                  <w:kern w:val="2"/>
                  <w:sz w:val="28"/>
                  <w:szCs w:val="28"/>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b/>
                  <w:bCs/>
                  <w:color w:val="auto"/>
                  <w:spacing w:val="0"/>
                  <w:kern w:val="2"/>
                  <w:sz w:val="32"/>
                  <w:szCs w:val="32"/>
                  <w:lang w:val="en-US" w:eastAsia="zh-CN" w:bidi="ar-SA"/>
                </w:rPr>
                <w:sectPr>
                  <w:footerReference r:id="rId4" w:type="default"/>
                  <w:pgSz w:w="11906" w:h="16838"/>
                  <w:pgMar w:top="1440" w:right="1800" w:bottom="1440" w:left="1800" w:header="851" w:footer="992" w:gutter="0"/>
                  <w:pgNumType w:fmt="decimal"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pPr>
            </w:p>
          </w:sdtContent>
        </w:sdt>
      </w:sdtContent>
    </w:sdt>
    <w:p>
      <w:pPr>
        <w:keepNext w:val="0"/>
        <w:keepLines w:val="0"/>
        <w:pageBreakBefore w:val="0"/>
        <w:widowControl w:val="0"/>
        <w:kinsoku/>
        <w:wordWrap/>
        <w:overflowPunct/>
        <w:topLinePunct w:val="0"/>
        <w:autoSpaceDE/>
        <w:autoSpaceDN/>
        <w:bidi w:val="0"/>
        <w:adjustRightInd/>
        <w:snapToGrid/>
        <w:spacing w:line="360" w:lineRule="auto"/>
        <w:ind w:firstLine="723" w:firstLineChars="200"/>
        <w:jc w:val="center"/>
        <w:textAlignment w:val="auto"/>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无极县教育局</w:t>
      </w:r>
    </w:p>
    <w:p>
      <w:pPr>
        <w:keepNext w:val="0"/>
        <w:keepLines w:val="0"/>
        <w:pageBreakBefore w:val="0"/>
        <w:widowControl w:val="0"/>
        <w:kinsoku/>
        <w:wordWrap/>
        <w:overflowPunct/>
        <w:topLinePunct w:val="0"/>
        <w:autoSpaceDE/>
        <w:autoSpaceDN/>
        <w:bidi w:val="0"/>
        <w:adjustRightInd/>
        <w:snapToGrid/>
        <w:spacing w:line="360" w:lineRule="auto"/>
        <w:ind w:firstLine="723" w:firstLineChars="200"/>
        <w:jc w:val="center"/>
        <w:textAlignment w:val="auto"/>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原民办代课教师教龄补助项目</w:t>
      </w:r>
    </w:p>
    <w:p>
      <w:pPr>
        <w:keepNext w:val="0"/>
        <w:keepLines w:val="0"/>
        <w:pageBreakBefore w:val="0"/>
        <w:widowControl w:val="0"/>
        <w:kinsoku/>
        <w:wordWrap/>
        <w:overflowPunct/>
        <w:topLinePunct w:val="0"/>
        <w:autoSpaceDE/>
        <w:autoSpaceDN/>
        <w:bidi w:val="0"/>
        <w:adjustRightInd/>
        <w:snapToGrid/>
        <w:spacing w:line="360" w:lineRule="auto"/>
        <w:ind w:firstLine="723" w:firstLineChars="200"/>
        <w:jc w:val="center"/>
        <w:textAlignment w:val="auto"/>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绩效评价报告</w:t>
      </w: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jc w:val="both"/>
        <w:textAlignment w:val="auto"/>
        <w:rPr>
          <w:rFonts w:hint="eastAsia" w:ascii="仿宋" w:hAnsi="仿宋" w:eastAsia="仿宋" w:cs="仿宋"/>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sz w:val="32"/>
          <w:szCs w:val="32"/>
        </w:rPr>
        <w:t>为提高财政支出管理水平，规范财政资金项目管理，检验</w:t>
      </w:r>
      <w:r>
        <w:rPr>
          <w:rFonts w:hint="eastAsia" w:ascii="仿宋" w:hAnsi="仿宋" w:eastAsia="仿宋" w:cs="仿宋"/>
          <w:sz w:val="32"/>
          <w:szCs w:val="32"/>
          <w:lang w:val="en-US" w:eastAsia="zh-CN"/>
        </w:rPr>
        <w:t>财政支出预期目标实现程度，考核财政支出绩效和综合效果，根据《无极县财政局财政监督和绩效评价通知》（〔2021〕第4号）及</w:t>
      </w:r>
      <w:r>
        <w:rPr>
          <w:rFonts w:hint="eastAsia" w:ascii="仿宋" w:hAnsi="仿宋" w:eastAsia="仿宋" w:cs="仿宋"/>
          <w:sz w:val="32"/>
          <w:szCs w:val="32"/>
          <w:highlight w:val="none"/>
          <w:lang w:val="en-US" w:eastAsia="zh-CN"/>
        </w:rPr>
        <w:t>《石家庄市市级预算绩效重点评价管理办法》（石财绩〔2020〕6号）文件要求，</w:t>
      </w:r>
      <w:r>
        <w:rPr>
          <w:rFonts w:hint="eastAsia" w:ascii="仿宋" w:hAnsi="仿宋" w:eastAsia="仿宋" w:cs="仿宋"/>
          <w:sz w:val="32"/>
          <w:szCs w:val="32"/>
          <w:lang w:val="en-US" w:eastAsia="zh-CN"/>
        </w:rPr>
        <w:t>对无极县教育局</w:t>
      </w:r>
      <w:r>
        <w:rPr>
          <w:rFonts w:hint="eastAsia" w:ascii="仿宋" w:hAnsi="仿宋" w:eastAsia="仿宋" w:cs="仿宋"/>
          <w:color w:val="auto"/>
          <w:sz w:val="32"/>
          <w:szCs w:val="32"/>
          <w:lang w:val="en-US" w:eastAsia="zh-CN"/>
        </w:rPr>
        <w:t>负责实施的</w:t>
      </w:r>
      <w:r>
        <w:rPr>
          <w:rFonts w:hint="eastAsia" w:ascii="仿宋" w:hAnsi="仿宋" w:eastAsia="仿宋" w:cs="仿宋"/>
          <w:color w:val="auto"/>
          <w:sz w:val="32"/>
          <w:szCs w:val="32"/>
        </w:rPr>
        <w:t>“</w:t>
      </w:r>
      <w:r>
        <w:rPr>
          <w:rFonts w:hint="eastAsia" w:ascii="仿宋" w:hAnsi="仿宋" w:eastAsia="仿宋" w:cs="仿宋"/>
          <w:color w:val="auto"/>
          <w:sz w:val="32"/>
          <w:szCs w:val="28"/>
        </w:rPr>
        <w:t>原民办代课教师教龄补助</w:t>
      </w:r>
      <w:r>
        <w:rPr>
          <w:rFonts w:hint="eastAsia" w:ascii="仿宋" w:hAnsi="仿宋" w:eastAsia="仿宋" w:cs="仿宋"/>
          <w:color w:val="auto"/>
          <w:sz w:val="32"/>
          <w:szCs w:val="28"/>
          <w:lang w:eastAsia="zh-CN"/>
        </w:rPr>
        <w:t>项目</w:t>
      </w:r>
      <w:r>
        <w:rPr>
          <w:rFonts w:hint="eastAsia" w:ascii="仿宋" w:hAnsi="仿宋" w:eastAsia="仿宋" w:cs="仿宋"/>
          <w:sz w:val="32"/>
          <w:szCs w:val="32"/>
        </w:rPr>
        <w:t>”（以下简称“</w:t>
      </w:r>
      <w:r>
        <w:rPr>
          <w:rFonts w:hint="eastAsia" w:ascii="仿宋" w:hAnsi="仿宋" w:eastAsia="仿宋" w:cs="仿宋"/>
          <w:sz w:val="32"/>
          <w:szCs w:val="32"/>
          <w:lang w:val="en-US" w:eastAsia="zh-CN"/>
        </w:rPr>
        <w:t>该</w:t>
      </w:r>
      <w:r>
        <w:rPr>
          <w:rFonts w:hint="eastAsia" w:ascii="仿宋" w:hAnsi="仿宋" w:eastAsia="仿宋" w:cs="仿宋"/>
          <w:sz w:val="32"/>
          <w:szCs w:val="32"/>
        </w:rPr>
        <w:t>项目”）进行评价，形成本绩效评价报告，</w:t>
      </w:r>
      <w:r>
        <w:rPr>
          <w:rFonts w:hint="eastAsia" w:ascii="仿宋" w:hAnsi="仿宋" w:eastAsia="仿宋" w:cs="仿宋"/>
          <w:sz w:val="32"/>
          <w:szCs w:val="32"/>
          <w:lang w:eastAsia="zh-CN"/>
        </w:rPr>
        <w:t>具体</w:t>
      </w:r>
      <w:r>
        <w:rPr>
          <w:rFonts w:hint="eastAsia" w:ascii="仿宋" w:hAnsi="仿宋" w:eastAsia="仿宋" w:cs="仿宋"/>
          <w:sz w:val="32"/>
          <w:szCs w:val="32"/>
        </w:rPr>
        <w:t>内容如下：</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0" w:name="_Toc23030"/>
      <w:bookmarkStart w:id="1" w:name="_Toc16460"/>
      <w:r>
        <w:rPr>
          <w:rFonts w:hint="eastAsia" w:ascii="仿宋" w:hAnsi="仿宋" w:eastAsia="仿宋" w:cs="仿宋"/>
          <w:b/>
          <w:bCs/>
          <w:color w:val="auto"/>
          <w:sz w:val="32"/>
          <w:szCs w:val="32"/>
          <w:lang w:val="en-US" w:eastAsia="zh-CN"/>
        </w:rPr>
        <w:t>基本情况</w:t>
      </w:r>
      <w:bookmarkEnd w:id="0"/>
      <w:bookmarkEnd w:id="1"/>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1"/>
        <w:rPr>
          <w:rFonts w:hint="eastAsia" w:ascii="仿宋" w:hAnsi="仿宋" w:eastAsia="仿宋" w:cs="仿宋"/>
          <w:b/>
          <w:bCs/>
          <w:color w:val="auto"/>
          <w:sz w:val="32"/>
          <w:szCs w:val="32"/>
          <w:lang w:val="en-US" w:eastAsia="zh-CN"/>
        </w:rPr>
      </w:pPr>
      <w:bookmarkStart w:id="2" w:name="_Toc24069"/>
      <w:r>
        <w:rPr>
          <w:rFonts w:hint="eastAsia" w:ascii="仿宋" w:hAnsi="仿宋" w:eastAsia="仿宋" w:cs="仿宋"/>
          <w:b/>
          <w:bCs/>
          <w:color w:val="auto"/>
          <w:sz w:val="32"/>
          <w:szCs w:val="32"/>
          <w:lang w:val="en-US" w:eastAsia="zh-CN"/>
        </w:rPr>
        <w:t>（一）项目概况</w:t>
      </w:r>
      <w:bookmarkEnd w:id="2"/>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lang w:val="en-US" w:eastAsia="zh-CN"/>
        </w:rPr>
      </w:pPr>
      <w:bookmarkStart w:id="3" w:name="_Toc3518"/>
      <w:r>
        <w:rPr>
          <w:rFonts w:hint="eastAsia" w:ascii="仿宋" w:hAnsi="仿宋" w:eastAsia="仿宋" w:cs="仿宋"/>
          <w:color w:val="auto"/>
          <w:sz w:val="32"/>
          <w:szCs w:val="32"/>
          <w:lang w:val="en-US" w:eastAsia="zh-CN"/>
        </w:rPr>
        <w:t>1、项目</w:t>
      </w:r>
      <w:bookmarkEnd w:id="3"/>
      <w:r>
        <w:rPr>
          <w:rFonts w:hint="eastAsia" w:ascii="仿宋" w:hAnsi="仿宋" w:eastAsia="仿宋" w:cs="仿宋"/>
          <w:color w:val="auto"/>
          <w:sz w:val="32"/>
          <w:szCs w:val="32"/>
          <w:lang w:val="en-US" w:eastAsia="zh-CN"/>
        </w:rPr>
        <w:t>背景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为贯彻落实教育部、人力资源和社会保障部、财政部和中央编办《关于妥善解决中小学代课教师问题的指导意见》</w:t>
      </w:r>
      <w:r>
        <w:rPr>
          <w:rFonts w:hint="eastAsia" w:ascii="仿宋" w:hAnsi="仿宋" w:eastAsia="仿宋" w:cs="仿宋"/>
          <w:sz w:val="32"/>
          <w:szCs w:val="32"/>
          <w:lang w:val="en-US" w:eastAsia="zh-CN"/>
        </w:rPr>
        <w:t>（教人〔2011〕8号）文件精神，解决原民办教师的历史遗留问题，积极改善民生，推进河北和谐社会的建设，根据河北省人民政府办公厅《河北省人民政府办公厅转发省教育厅省财政厅省人力资源和社会保障厅关于为农村原民办代课教师发放教龄补助实施方案的通知》（冀政办函〔2012〕37号）、《无极县人民政府办公室转发石家庄市人民政府办公厅转发市教育局市财政局市人力资源和社会保障局关于为农村原民办代课教师发放教龄补助工作实施方案</w:t>
      </w:r>
      <w:bookmarkStart w:id="61" w:name="_GoBack"/>
      <w:bookmarkEnd w:id="61"/>
      <w:r>
        <w:rPr>
          <w:rFonts w:hint="eastAsia" w:ascii="仿宋" w:hAnsi="仿宋" w:eastAsia="仿宋" w:cs="仿宋"/>
          <w:sz w:val="32"/>
          <w:szCs w:val="32"/>
          <w:lang w:val="en-US" w:eastAsia="zh-CN"/>
        </w:rPr>
        <w:t>的通知》（无政办函〔2012〕30号）文件要求设立了该项目</w:t>
      </w:r>
      <w:r>
        <w:rPr>
          <w:rFonts w:hint="eastAsia" w:ascii="仿宋" w:hAnsi="仿宋" w:eastAsia="仿宋" w:cs="仿宋"/>
          <w:color w:val="auto"/>
          <w:sz w:val="32"/>
          <w:szCs w:val="32"/>
          <w:highlight w:val="none"/>
          <w:lang w:val="en-US" w:eastAsia="zh-CN"/>
        </w:rPr>
        <w:t>。从2012年1月1日开始认证并执行为原民办教师发放教龄补助。</w:t>
      </w:r>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0000FF"/>
          <w:sz w:val="32"/>
          <w:szCs w:val="32"/>
          <w:lang w:eastAsia="zh-CN"/>
        </w:rPr>
      </w:pPr>
      <w:bookmarkStart w:id="4" w:name="_Toc23881"/>
      <w:r>
        <w:rPr>
          <w:rFonts w:hint="eastAsia" w:ascii="仿宋" w:hAnsi="仿宋" w:eastAsia="仿宋" w:cs="仿宋"/>
          <w:sz w:val="32"/>
          <w:szCs w:val="32"/>
          <w:lang w:val="en-US" w:eastAsia="zh-CN"/>
        </w:rPr>
        <w:t>2、</w:t>
      </w:r>
      <w:r>
        <w:rPr>
          <w:rFonts w:hint="eastAsia" w:ascii="仿宋" w:hAnsi="仿宋" w:eastAsia="仿宋" w:cs="仿宋"/>
          <w:color w:val="auto"/>
          <w:sz w:val="32"/>
          <w:szCs w:val="32"/>
          <w:lang w:eastAsia="zh-CN"/>
        </w:rPr>
        <w:t>主要内容及实施情况</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eastAsia="zh-CN"/>
        </w:rPr>
        <w:t>该</w:t>
      </w:r>
      <w:r>
        <w:rPr>
          <w:rFonts w:ascii="Times New Roman" w:hAnsi="Times New Roman" w:eastAsia="仿宋_GB2312" w:cs="Times New Roman"/>
          <w:color w:val="000000"/>
          <w:kern w:val="0"/>
          <w:sz w:val="32"/>
          <w:szCs w:val="32"/>
        </w:rPr>
        <w:t>项目实施主要工作内容</w:t>
      </w:r>
      <w:r>
        <w:rPr>
          <w:rFonts w:hint="eastAsia" w:ascii="Times New Roman" w:hAnsi="Times New Roman" w:eastAsia="仿宋_GB2312" w:cs="Times New Roman"/>
          <w:color w:val="000000"/>
          <w:kern w:val="0"/>
          <w:sz w:val="32"/>
          <w:szCs w:val="32"/>
          <w:lang w:eastAsia="zh-CN"/>
        </w:rPr>
        <w:t>是</w:t>
      </w:r>
      <w:r>
        <w:rPr>
          <w:rFonts w:ascii="Times New Roman" w:hAnsi="Times New Roman" w:eastAsia="仿宋_GB2312" w:cs="Times New Roman"/>
          <w:color w:val="000000"/>
          <w:kern w:val="0"/>
          <w:sz w:val="32"/>
          <w:szCs w:val="32"/>
        </w:rPr>
        <w:t>为</w:t>
      </w:r>
      <w:r>
        <w:rPr>
          <w:rFonts w:hint="eastAsia" w:ascii="Times New Roman" w:hAnsi="Times New Roman" w:eastAsia="仿宋_GB2312" w:cs="Times New Roman"/>
          <w:color w:val="000000"/>
          <w:kern w:val="0"/>
          <w:sz w:val="32"/>
          <w:szCs w:val="32"/>
          <w:lang w:eastAsia="zh-CN"/>
        </w:rPr>
        <w:t>已经认证的原民办教师继续发放</w:t>
      </w:r>
      <w:r>
        <w:rPr>
          <w:rFonts w:hint="eastAsia" w:ascii="Times New Roman" w:hAnsi="Times New Roman" w:eastAsia="仿宋_GB2312" w:cs="Times New Roman"/>
          <w:color w:val="000000"/>
          <w:kern w:val="0"/>
          <w:sz w:val="32"/>
          <w:szCs w:val="32"/>
          <w:lang w:val="en-US" w:eastAsia="zh-CN"/>
        </w:rPr>
        <w:t>2020年度教龄补助。在无极县政府部门的直接领导下，在县财政局、人力资源和社会保障局、邮政局共同合作下，无极县教育局严格按照政府有关政策及无极县民办教师教龄补助标准为2020年度的原民办教师发放教龄补助。</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资金投入和使用情况</w:t>
      </w:r>
      <w:bookmarkEnd w:id="4"/>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bookmarkStart w:id="5" w:name="_Toc22394"/>
      <w:bookmarkStart w:id="6" w:name="_Toc8340"/>
      <w:r>
        <w:rPr>
          <w:rFonts w:hint="eastAsia" w:ascii="仿宋" w:hAnsi="仿宋" w:eastAsia="仿宋" w:cs="仿宋"/>
          <w:color w:val="auto"/>
          <w:sz w:val="32"/>
          <w:szCs w:val="32"/>
          <w:highlight w:val="none"/>
          <w:lang w:val="en-US" w:eastAsia="zh-CN"/>
        </w:rPr>
        <w:t>2012年根据</w:t>
      </w:r>
      <w:r>
        <w:rPr>
          <w:rFonts w:hint="eastAsia" w:ascii="仿宋" w:hAnsi="仿宋" w:eastAsia="仿宋" w:cs="仿宋"/>
          <w:sz w:val="32"/>
          <w:szCs w:val="32"/>
          <w:lang w:val="en-US" w:eastAsia="zh-CN"/>
        </w:rPr>
        <w:t>冀政办函〔2012〕37号文件精神及</w:t>
      </w:r>
      <w:r>
        <w:rPr>
          <w:rFonts w:hint="eastAsia" w:ascii="仿宋" w:hAnsi="仿宋" w:eastAsia="仿宋" w:cs="仿宋"/>
          <w:color w:val="auto"/>
          <w:sz w:val="32"/>
          <w:szCs w:val="32"/>
          <w:highlight w:val="none"/>
          <w:lang w:val="en-US" w:eastAsia="zh-CN"/>
        </w:rPr>
        <w:t>《河北省财政厅、河北省教育厅关于提前下达2020年省级教师队伍建设专项资金（原民办代课教师教龄补助）预算的通知》（冀财教〔2019〕120号）文件批复，原教师教龄补助资金由河北省省级财政资金与无极县县级财政资金按照5:5的比例共同承担。</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2017年根据《石家庄市教育局、石家庄市财政局、石家庄市人力资源和社会保障局文件转发河北省教育厅河北省财政厅河北省人力资源和社会保障厅关于做好为农村原民办代课教师发放教龄补助有关工作的通知》（石教〔2017〕20号）文件要求，教龄补助由原来的20.00元提高到26.00元，自2017年1月1日起执行，提高部分由县财政资金解决。</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该</w:t>
      </w:r>
      <w:r>
        <w:rPr>
          <w:rFonts w:hint="eastAsia" w:ascii="仿宋" w:hAnsi="仿宋" w:eastAsia="仿宋" w:cs="仿宋"/>
          <w:sz w:val="32"/>
          <w:szCs w:val="32"/>
        </w:rPr>
        <w:t>项目</w:t>
      </w:r>
      <w:r>
        <w:rPr>
          <w:rFonts w:hint="eastAsia" w:ascii="仿宋" w:hAnsi="仿宋" w:eastAsia="仿宋" w:cs="仿宋"/>
          <w:color w:val="auto"/>
          <w:sz w:val="32"/>
          <w:szCs w:val="32"/>
          <w:highlight w:val="none"/>
          <w:lang w:val="en-US" w:eastAsia="zh-CN"/>
        </w:rPr>
        <w:t>2020年度</w:t>
      </w:r>
      <w:r>
        <w:rPr>
          <w:rFonts w:hint="eastAsia" w:ascii="仿宋" w:hAnsi="仿宋" w:eastAsia="仿宋" w:cs="仿宋"/>
          <w:color w:val="auto"/>
          <w:sz w:val="32"/>
          <w:szCs w:val="28"/>
          <w:lang w:val="en-US" w:eastAsia="zh-CN"/>
        </w:rPr>
        <w:t>用于</w:t>
      </w:r>
      <w:r>
        <w:rPr>
          <w:rFonts w:hint="eastAsia" w:ascii="仿宋" w:hAnsi="仿宋" w:eastAsia="仿宋" w:cs="仿宋"/>
          <w:color w:val="auto"/>
          <w:sz w:val="32"/>
          <w:szCs w:val="32"/>
          <w:highlight w:val="none"/>
          <w:lang w:val="en-US" w:eastAsia="zh-CN"/>
        </w:rPr>
        <w:t>原</w:t>
      </w:r>
      <w:r>
        <w:rPr>
          <w:rFonts w:hint="eastAsia" w:ascii="仿宋" w:hAnsi="仿宋" w:eastAsia="仿宋" w:cs="仿宋"/>
          <w:color w:val="auto"/>
          <w:sz w:val="32"/>
          <w:szCs w:val="28"/>
          <w:lang w:val="en-US" w:eastAsia="zh-CN"/>
        </w:rPr>
        <w:t>教师教龄补助</w:t>
      </w:r>
      <w:r>
        <w:rPr>
          <w:rFonts w:hint="eastAsia" w:ascii="仿宋" w:hAnsi="仿宋" w:eastAsia="仿宋" w:cs="仿宋"/>
          <w:sz w:val="32"/>
          <w:szCs w:val="32"/>
          <w:lang w:eastAsia="zh-CN"/>
        </w:rPr>
        <w:t>预算批复</w:t>
      </w:r>
      <w:r>
        <w:rPr>
          <w:rFonts w:hint="eastAsia" w:ascii="仿宋" w:hAnsi="仿宋" w:eastAsia="仿宋" w:cs="仿宋"/>
          <w:sz w:val="32"/>
          <w:szCs w:val="32"/>
        </w:rPr>
        <w:t>金</w:t>
      </w:r>
      <w:r>
        <w:rPr>
          <w:rFonts w:hint="eastAsia" w:ascii="仿宋" w:hAnsi="仿宋" w:eastAsia="仿宋" w:cs="仿宋"/>
          <w:sz w:val="32"/>
          <w:szCs w:val="32"/>
          <w:lang w:eastAsia="zh-CN"/>
        </w:rPr>
        <w:t>额</w:t>
      </w:r>
      <w:r>
        <w:rPr>
          <w:rFonts w:hint="eastAsia" w:ascii="仿宋" w:hAnsi="仿宋" w:eastAsia="仿宋" w:cs="仿宋"/>
          <w:sz w:val="32"/>
          <w:szCs w:val="32"/>
          <w:lang w:val="en-US" w:eastAsia="zh-CN"/>
        </w:rPr>
        <w:t>638.6146</w:t>
      </w:r>
      <w:r>
        <w:rPr>
          <w:rFonts w:hint="eastAsia" w:ascii="仿宋" w:hAnsi="仿宋" w:eastAsia="仿宋" w:cs="仿宋"/>
          <w:sz w:val="32"/>
          <w:szCs w:val="32"/>
        </w:rPr>
        <w:t>万元，</w:t>
      </w:r>
      <w:r>
        <w:rPr>
          <w:rFonts w:hint="eastAsia" w:ascii="仿宋" w:hAnsi="仿宋" w:eastAsia="仿宋" w:cs="仿宋"/>
          <w:sz w:val="32"/>
          <w:szCs w:val="32"/>
          <w:lang w:eastAsia="zh-CN"/>
        </w:rPr>
        <w:t>其中：河北省财政</w:t>
      </w:r>
      <w:r>
        <w:rPr>
          <w:rFonts w:hint="eastAsia" w:ascii="仿宋" w:hAnsi="仿宋" w:eastAsia="仿宋" w:cs="仿宋"/>
          <w:color w:val="auto"/>
          <w:sz w:val="32"/>
          <w:szCs w:val="28"/>
          <w:lang w:val="en-US" w:eastAsia="zh-CN"/>
        </w:rPr>
        <w:t>资金为</w:t>
      </w:r>
      <w:r>
        <w:rPr>
          <w:rFonts w:hint="eastAsia" w:ascii="仿宋" w:hAnsi="仿宋" w:eastAsia="仿宋" w:cs="仿宋"/>
          <w:color w:val="auto"/>
          <w:sz w:val="32"/>
          <w:szCs w:val="32"/>
          <w:highlight w:val="none"/>
          <w:lang w:val="en-US" w:eastAsia="zh-CN"/>
        </w:rPr>
        <w:t>243.00</w:t>
      </w:r>
      <w:r>
        <w:rPr>
          <w:rFonts w:hint="eastAsia" w:ascii="仿宋" w:hAnsi="仿宋" w:eastAsia="仿宋" w:cs="仿宋"/>
          <w:color w:val="auto"/>
          <w:sz w:val="32"/>
          <w:szCs w:val="28"/>
          <w:lang w:val="en-US" w:eastAsia="zh-CN"/>
        </w:rPr>
        <w:t>万元，无极</w:t>
      </w:r>
      <w:r>
        <w:rPr>
          <w:rFonts w:hint="eastAsia" w:ascii="仿宋" w:hAnsi="仿宋" w:eastAsia="仿宋" w:cs="仿宋"/>
          <w:color w:val="auto"/>
          <w:sz w:val="32"/>
          <w:szCs w:val="32"/>
          <w:highlight w:val="none"/>
          <w:lang w:val="en-US" w:eastAsia="zh-CN"/>
        </w:rPr>
        <w:t>县</w:t>
      </w:r>
      <w:r>
        <w:rPr>
          <w:rFonts w:hint="eastAsia" w:ascii="仿宋" w:hAnsi="仿宋" w:eastAsia="仿宋" w:cs="仿宋"/>
          <w:bCs/>
          <w:sz w:val="32"/>
          <w:szCs w:val="32"/>
          <w:lang w:eastAsia="zh-CN"/>
        </w:rPr>
        <w:t>财政局配套县级资金</w:t>
      </w:r>
      <w:r>
        <w:rPr>
          <w:rFonts w:hint="eastAsia" w:ascii="仿宋" w:hAnsi="仿宋" w:eastAsia="仿宋" w:cs="仿宋"/>
          <w:color w:val="auto"/>
          <w:sz w:val="32"/>
          <w:szCs w:val="28"/>
          <w:highlight w:val="none"/>
          <w:lang w:val="en-US" w:eastAsia="zh-CN"/>
        </w:rPr>
        <w:t>395.6146万元</w:t>
      </w:r>
      <w:r>
        <w:rPr>
          <w:rFonts w:hint="eastAsia" w:ascii="仿宋" w:hAnsi="仿宋" w:eastAsia="仿宋" w:cs="仿宋"/>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2020年度共发放教师教龄补助资金638.6146</w:t>
      </w:r>
      <w:r>
        <w:rPr>
          <w:rFonts w:hint="eastAsia" w:ascii="仿宋" w:hAnsi="仿宋" w:eastAsia="仿宋" w:cs="仿宋"/>
          <w:sz w:val="32"/>
          <w:szCs w:val="32"/>
        </w:rPr>
        <w:t>万元</w:t>
      </w:r>
      <w:r>
        <w:rPr>
          <w:rFonts w:hint="eastAsia" w:ascii="仿宋" w:hAnsi="仿宋" w:eastAsia="仿宋" w:cs="仿宋"/>
          <w:sz w:val="32"/>
          <w:szCs w:val="32"/>
          <w:lang w:eastAsia="zh-CN"/>
        </w:rPr>
        <w:t>，涉及</w:t>
      </w:r>
      <w:r>
        <w:rPr>
          <w:rFonts w:hint="eastAsia" w:ascii="仿宋" w:hAnsi="仿宋" w:eastAsia="仿宋" w:cs="仿宋"/>
          <w:sz w:val="32"/>
          <w:szCs w:val="32"/>
          <w:lang w:val="en-US" w:eastAsia="zh-CN"/>
        </w:rPr>
        <w:t>2000余人，发放人次达到24467人次。截至2020年12月底，资金支出进度为100.00%。</w:t>
      </w:r>
    </w:p>
    <w:bookmarkEnd w:id="5"/>
    <w:bookmarkEnd w:id="6"/>
    <w:p>
      <w:pPr>
        <w:pStyle w:val="3"/>
        <w:pageBreakBefore w:val="0"/>
        <w:widowControl w:val="0"/>
        <w:kinsoku/>
        <w:wordWrap/>
        <w:overflowPunct/>
        <w:topLinePunct w:val="0"/>
        <w:autoSpaceDE/>
        <w:autoSpaceDN/>
        <w:bidi w:val="0"/>
        <w:adjustRightInd/>
        <w:snapToGrid/>
        <w:jc w:val="both"/>
        <w:textAlignment w:val="auto"/>
        <w:rPr>
          <w:rFonts w:hint="eastAsia" w:ascii="仿宋" w:hAnsi="仿宋" w:eastAsia="仿宋" w:cs="仿宋"/>
        </w:rPr>
      </w:pPr>
      <w:bookmarkStart w:id="7" w:name="_Toc19112385"/>
      <w:bookmarkStart w:id="8" w:name="_Toc72248663"/>
      <w:bookmarkStart w:id="9" w:name="_Toc21744"/>
      <w:bookmarkStart w:id="10" w:name="_Toc8001"/>
      <w:r>
        <w:rPr>
          <w:rFonts w:hint="eastAsia" w:ascii="仿宋" w:hAnsi="仿宋" w:eastAsia="仿宋" w:cs="仿宋"/>
        </w:rPr>
        <w:t>（二）</w:t>
      </w:r>
      <w:bookmarkEnd w:id="7"/>
      <w:r>
        <w:rPr>
          <w:rFonts w:hint="eastAsia" w:ascii="仿宋" w:hAnsi="仿宋" w:eastAsia="仿宋" w:cs="仿宋"/>
        </w:rPr>
        <w:t>项目绩效目标</w:t>
      </w:r>
      <w:bookmarkEnd w:id="8"/>
      <w:bookmarkEnd w:id="9"/>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000000"/>
          <w:kern w:val="0"/>
          <w:sz w:val="32"/>
          <w:szCs w:val="32"/>
        </w:rPr>
      </w:pPr>
      <w:r>
        <w:rPr>
          <w:rFonts w:hint="eastAsia" w:ascii="仿宋" w:hAnsi="仿宋" w:eastAsia="仿宋" w:cs="仿宋"/>
          <w:bCs/>
          <w:sz w:val="32"/>
          <w:szCs w:val="32"/>
          <w:lang w:eastAsia="zh-CN"/>
        </w:rPr>
        <w:t>无极县教育局</w:t>
      </w:r>
      <w:r>
        <w:rPr>
          <w:rFonts w:hint="eastAsia" w:ascii="仿宋" w:hAnsi="仿宋" w:eastAsia="仿宋" w:cs="仿宋"/>
          <w:color w:val="000000"/>
          <w:kern w:val="0"/>
          <w:sz w:val="32"/>
          <w:szCs w:val="32"/>
        </w:rPr>
        <w:t>根据项目实际情况设定了项目整体绩效目标，并填报了绩效目标申报表。</w:t>
      </w:r>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项目整体绩效目标：</w:t>
      </w:r>
      <w:r>
        <w:rPr>
          <w:rFonts w:hint="eastAsia" w:ascii="仿宋" w:hAnsi="仿宋" w:eastAsia="仿宋" w:cs="仿宋"/>
          <w:bCs/>
          <w:sz w:val="32"/>
          <w:szCs w:val="32"/>
          <w:lang w:val="en-US" w:eastAsia="zh-CN"/>
        </w:rPr>
        <w:t>1.确保资金及时拨付到位；2.确保该项目正常开展。</w:t>
      </w:r>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eastAsia="zh-CN"/>
        </w:rPr>
        <w:t>具体指标设定如下表：</w:t>
      </w:r>
    </w:p>
    <w:p>
      <w:pPr>
        <w:spacing w:line="360" w:lineRule="auto"/>
        <w:jc w:val="center"/>
        <w:rPr>
          <w:rFonts w:hint="eastAsia" w:ascii="仿宋" w:hAnsi="仿宋" w:eastAsia="仿宋" w:cs="仿宋"/>
          <w:b/>
          <w:sz w:val="28"/>
          <w:szCs w:val="28"/>
        </w:rPr>
      </w:pPr>
      <w:r>
        <w:rPr>
          <w:rFonts w:hint="eastAsia" w:ascii="仿宋" w:hAnsi="仿宋" w:eastAsia="仿宋" w:cs="仿宋"/>
          <w:b/>
          <w:sz w:val="28"/>
          <w:szCs w:val="28"/>
          <w:lang w:val="en-US" w:eastAsia="zh-CN"/>
        </w:rPr>
        <w:t>原民办代课教师教龄补助项目</w:t>
      </w:r>
      <w:r>
        <w:rPr>
          <w:rFonts w:hint="eastAsia" w:ascii="仿宋" w:hAnsi="仿宋" w:eastAsia="仿宋" w:cs="仿宋"/>
          <w:b/>
          <w:sz w:val="28"/>
          <w:szCs w:val="28"/>
        </w:rPr>
        <w:t>绩效指标</w:t>
      </w:r>
    </w:p>
    <w:tbl>
      <w:tblPr>
        <w:tblStyle w:val="13"/>
        <w:tblW w:w="8469" w:type="dxa"/>
        <w:tblInd w:w="0"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1243"/>
        <w:gridCol w:w="1238"/>
        <w:gridCol w:w="2823"/>
        <w:gridCol w:w="316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615" w:hRule="atLeast"/>
          <w:tblHeader/>
        </w:trPr>
        <w:tc>
          <w:tcPr>
            <w:tcW w:w="1243" w:type="dxa"/>
            <w:vAlign w:val="center"/>
          </w:tcPr>
          <w:p>
            <w:pPr>
              <w:widowControl/>
              <w:spacing w:line="400" w:lineRule="exact"/>
              <w:rPr>
                <w:rFonts w:hint="eastAsia" w:ascii="仿宋" w:hAnsi="仿宋" w:eastAsia="仿宋" w:cs="仿宋"/>
                <w:b/>
                <w:bCs/>
                <w:color w:val="000000"/>
                <w:kern w:val="0"/>
                <w:sz w:val="24"/>
                <w:szCs w:val="24"/>
              </w:rPr>
            </w:pPr>
            <w:r>
              <w:rPr>
                <w:rFonts w:hint="eastAsia" w:ascii="仿宋" w:hAnsi="仿宋" w:eastAsia="仿宋" w:cs="仿宋"/>
                <w:b/>
                <w:bCs/>
                <w:color w:val="000000"/>
                <w:kern w:val="0"/>
                <w:sz w:val="24"/>
                <w:szCs w:val="24"/>
              </w:rPr>
              <w:t>一级指标</w:t>
            </w:r>
          </w:p>
        </w:tc>
        <w:tc>
          <w:tcPr>
            <w:tcW w:w="1238" w:type="dxa"/>
            <w:vAlign w:val="center"/>
          </w:tcPr>
          <w:p>
            <w:pPr>
              <w:widowControl/>
              <w:spacing w:line="400" w:lineRule="exact"/>
              <w:jc w:val="center"/>
              <w:rPr>
                <w:rFonts w:hint="eastAsia" w:ascii="仿宋" w:hAnsi="仿宋" w:eastAsia="仿宋" w:cs="仿宋"/>
                <w:b/>
                <w:bCs/>
                <w:color w:val="000000"/>
                <w:kern w:val="0"/>
                <w:sz w:val="24"/>
                <w:szCs w:val="24"/>
              </w:rPr>
            </w:pPr>
            <w:r>
              <w:rPr>
                <w:rFonts w:hint="eastAsia" w:ascii="仿宋" w:hAnsi="仿宋" w:eastAsia="仿宋" w:cs="仿宋"/>
                <w:b/>
                <w:bCs/>
                <w:color w:val="000000"/>
                <w:kern w:val="0"/>
                <w:sz w:val="24"/>
                <w:szCs w:val="24"/>
              </w:rPr>
              <w:t>二级指标</w:t>
            </w:r>
          </w:p>
        </w:tc>
        <w:tc>
          <w:tcPr>
            <w:tcW w:w="2823" w:type="dxa"/>
          </w:tcPr>
          <w:p>
            <w:pPr>
              <w:widowControl/>
              <w:tabs>
                <w:tab w:val="left" w:pos="210"/>
                <w:tab w:val="center" w:pos="884"/>
              </w:tabs>
              <w:spacing w:line="400" w:lineRule="exact"/>
              <w:jc w:val="left"/>
              <w:rPr>
                <w:rFonts w:hint="eastAsia" w:ascii="仿宋" w:hAnsi="仿宋" w:eastAsia="仿宋" w:cs="仿宋"/>
                <w:b/>
                <w:bCs/>
                <w:color w:val="000000"/>
                <w:kern w:val="0"/>
                <w:sz w:val="24"/>
                <w:szCs w:val="24"/>
              </w:rPr>
            </w:pPr>
            <w:r>
              <w:rPr>
                <w:rFonts w:hint="eastAsia" w:ascii="仿宋" w:hAnsi="仿宋" w:eastAsia="仿宋" w:cs="仿宋"/>
                <w:b/>
                <w:bCs/>
                <w:color w:val="000000"/>
                <w:kern w:val="0"/>
                <w:sz w:val="24"/>
                <w:szCs w:val="24"/>
              </w:rPr>
              <w:tab/>
            </w:r>
            <w:r>
              <w:rPr>
                <w:rFonts w:hint="eastAsia" w:ascii="仿宋" w:hAnsi="仿宋" w:eastAsia="仿宋" w:cs="仿宋"/>
                <w:b/>
                <w:bCs/>
                <w:color w:val="000000"/>
                <w:kern w:val="0"/>
                <w:sz w:val="24"/>
                <w:szCs w:val="24"/>
              </w:rPr>
              <w:tab/>
            </w:r>
            <w:r>
              <w:rPr>
                <w:rFonts w:hint="eastAsia" w:ascii="仿宋" w:hAnsi="仿宋" w:eastAsia="仿宋" w:cs="仿宋"/>
                <w:b/>
                <w:bCs/>
                <w:color w:val="000000"/>
                <w:kern w:val="0"/>
                <w:sz w:val="24"/>
                <w:szCs w:val="24"/>
              </w:rPr>
              <w:t>三级指标</w:t>
            </w:r>
          </w:p>
        </w:tc>
        <w:tc>
          <w:tcPr>
            <w:tcW w:w="3165" w:type="dxa"/>
            <w:vAlign w:val="center"/>
          </w:tcPr>
          <w:p>
            <w:pPr>
              <w:widowControl/>
              <w:spacing w:line="400" w:lineRule="exact"/>
              <w:jc w:val="center"/>
              <w:rPr>
                <w:rFonts w:hint="eastAsia" w:ascii="仿宋" w:hAnsi="仿宋" w:eastAsia="仿宋" w:cs="仿宋"/>
                <w:b/>
                <w:bCs/>
                <w:color w:val="000000"/>
                <w:kern w:val="0"/>
                <w:sz w:val="24"/>
                <w:szCs w:val="24"/>
              </w:rPr>
            </w:pPr>
            <w:r>
              <w:rPr>
                <w:rFonts w:hint="eastAsia" w:ascii="仿宋" w:hAnsi="仿宋" w:eastAsia="仿宋" w:cs="仿宋"/>
                <w:b/>
                <w:bCs/>
                <w:color w:val="000000"/>
                <w:kern w:val="0"/>
                <w:sz w:val="24"/>
                <w:szCs w:val="24"/>
              </w:rPr>
              <w:t>指标值</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95" w:hRule="atLeast"/>
        </w:trPr>
        <w:tc>
          <w:tcPr>
            <w:tcW w:w="1243" w:type="dxa"/>
            <w:vMerge w:val="restart"/>
            <w:vAlign w:val="center"/>
          </w:tcPr>
          <w:p>
            <w:pPr>
              <w:widowControl/>
              <w:spacing w:line="400" w:lineRule="exact"/>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产出指标</w:t>
            </w:r>
          </w:p>
        </w:tc>
        <w:tc>
          <w:tcPr>
            <w:tcW w:w="1238" w:type="dxa"/>
            <w:vAlign w:val="center"/>
          </w:tcPr>
          <w:p>
            <w:pPr>
              <w:widowControl/>
              <w:spacing w:line="400" w:lineRule="exac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数量指标</w:t>
            </w:r>
          </w:p>
        </w:tc>
        <w:tc>
          <w:tcPr>
            <w:tcW w:w="2823" w:type="dxa"/>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未设置</w:t>
            </w:r>
          </w:p>
        </w:tc>
        <w:tc>
          <w:tcPr>
            <w:tcW w:w="3165" w:type="dxa"/>
            <w:vAlign w:val="center"/>
          </w:tcPr>
          <w:p>
            <w:pPr>
              <w:widowControl/>
              <w:spacing w:line="400" w:lineRule="exact"/>
              <w:jc w:val="left"/>
              <w:rPr>
                <w:rFonts w:hint="eastAsia" w:ascii="仿宋" w:hAnsi="仿宋" w:eastAsia="仿宋" w:cs="仿宋"/>
                <w:sz w:val="24"/>
                <w:szCs w:val="24"/>
                <w:lang w:eastAsia="zh-CN"/>
              </w:rPr>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43" w:type="dxa"/>
            <w:vMerge w:val="continue"/>
            <w:vAlign w:val="center"/>
          </w:tcPr>
          <w:p>
            <w:pPr>
              <w:widowControl/>
              <w:spacing w:line="400" w:lineRule="exact"/>
              <w:ind w:firstLine="560"/>
              <w:rPr>
                <w:rFonts w:hint="eastAsia" w:ascii="仿宋" w:hAnsi="仿宋" w:eastAsia="仿宋" w:cs="仿宋"/>
                <w:color w:val="000000"/>
                <w:kern w:val="0"/>
                <w:sz w:val="24"/>
                <w:szCs w:val="24"/>
              </w:rPr>
            </w:pPr>
          </w:p>
        </w:tc>
        <w:tc>
          <w:tcPr>
            <w:tcW w:w="1238" w:type="dxa"/>
            <w:vAlign w:val="center"/>
          </w:tcPr>
          <w:p>
            <w:pPr>
              <w:widowControl/>
              <w:spacing w:line="4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2823" w:type="dxa"/>
            <w:vAlign w:val="center"/>
          </w:tcPr>
          <w:p>
            <w:pPr>
              <w:widowControl/>
              <w:spacing w:line="400" w:lineRule="exact"/>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补助覆盖率</w:t>
            </w:r>
          </w:p>
        </w:tc>
        <w:tc>
          <w:tcPr>
            <w:tcW w:w="3165"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已补助人数占应补助人群的比率</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0" w:hRule="atLeast"/>
        </w:trPr>
        <w:tc>
          <w:tcPr>
            <w:tcW w:w="1243" w:type="dxa"/>
            <w:vMerge w:val="continue"/>
            <w:vAlign w:val="center"/>
          </w:tcPr>
          <w:p>
            <w:pPr>
              <w:widowControl/>
              <w:spacing w:line="400" w:lineRule="exact"/>
              <w:ind w:firstLine="560"/>
              <w:jc w:val="left"/>
              <w:rPr>
                <w:rFonts w:hint="eastAsia" w:ascii="仿宋" w:hAnsi="仿宋" w:eastAsia="仿宋" w:cs="仿宋"/>
                <w:color w:val="000000"/>
                <w:kern w:val="0"/>
                <w:sz w:val="24"/>
                <w:szCs w:val="24"/>
              </w:rPr>
            </w:pPr>
          </w:p>
        </w:tc>
        <w:tc>
          <w:tcPr>
            <w:tcW w:w="1238" w:type="dxa"/>
            <w:vAlign w:val="center"/>
          </w:tcPr>
          <w:p>
            <w:pPr>
              <w:widowControl/>
              <w:spacing w:line="400" w:lineRule="exact"/>
              <w:jc w:val="left"/>
              <w:rPr>
                <w:rFonts w:hint="eastAsia" w:ascii="仿宋" w:hAnsi="仿宋" w:eastAsia="仿宋" w:cs="仿宋"/>
                <w:sz w:val="24"/>
                <w:szCs w:val="24"/>
              </w:rPr>
            </w:pPr>
            <w:r>
              <w:rPr>
                <w:rFonts w:hint="eastAsia" w:ascii="仿宋" w:hAnsi="仿宋" w:eastAsia="仿宋" w:cs="仿宋"/>
                <w:sz w:val="24"/>
                <w:szCs w:val="24"/>
              </w:rPr>
              <w:t>进度指标</w:t>
            </w:r>
          </w:p>
        </w:tc>
        <w:tc>
          <w:tcPr>
            <w:tcW w:w="2823" w:type="dxa"/>
            <w:vAlign w:val="center"/>
          </w:tcPr>
          <w:p>
            <w:pPr>
              <w:widowControl/>
              <w:spacing w:line="400" w:lineRule="exact"/>
              <w:jc w:val="left"/>
              <w:rPr>
                <w:rFonts w:hint="eastAsia" w:ascii="仿宋" w:hAnsi="仿宋" w:eastAsia="仿宋" w:cs="仿宋"/>
                <w:sz w:val="24"/>
                <w:szCs w:val="24"/>
                <w:lang w:eastAsia="zh-CN"/>
              </w:rPr>
            </w:pPr>
            <w:r>
              <w:rPr>
                <w:rFonts w:hint="eastAsia" w:ascii="仿宋" w:hAnsi="仿宋" w:eastAsia="仿宋" w:cs="仿宋"/>
                <w:sz w:val="24"/>
                <w:szCs w:val="24"/>
                <w:lang w:eastAsia="zh-CN"/>
              </w:rPr>
              <w:t>未设置</w:t>
            </w:r>
          </w:p>
        </w:tc>
        <w:tc>
          <w:tcPr>
            <w:tcW w:w="3165"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sz w:val="24"/>
                <w:szCs w:val="24"/>
              </w:rPr>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15" w:hRule="atLeast"/>
        </w:trPr>
        <w:tc>
          <w:tcPr>
            <w:tcW w:w="1243" w:type="dxa"/>
            <w:vMerge w:val="continue"/>
            <w:vAlign w:val="center"/>
          </w:tcPr>
          <w:p>
            <w:pPr>
              <w:widowControl/>
              <w:spacing w:line="400" w:lineRule="exact"/>
              <w:ind w:firstLine="560"/>
              <w:jc w:val="left"/>
              <w:rPr>
                <w:rFonts w:hint="eastAsia" w:ascii="仿宋" w:hAnsi="仿宋" w:eastAsia="仿宋" w:cs="仿宋"/>
                <w:color w:val="000000"/>
                <w:kern w:val="0"/>
                <w:sz w:val="24"/>
                <w:szCs w:val="24"/>
              </w:rPr>
            </w:pPr>
          </w:p>
        </w:tc>
        <w:tc>
          <w:tcPr>
            <w:tcW w:w="1238" w:type="dxa"/>
            <w:vAlign w:val="center"/>
          </w:tcPr>
          <w:p>
            <w:pPr>
              <w:widowControl/>
              <w:spacing w:line="400" w:lineRule="exact"/>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成本指标</w:t>
            </w:r>
          </w:p>
        </w:tc>
        <w:tc>
          <w:tcPr>
            <w:tcW w:w="2823" w:type="dxa"/>
            <w:vAlign w:val="center"/>
          </w:tcPr>
          <w:p>
            <w:pPr>
              <w:spacing w:line="400" w:lineRule="exact"/>
              <w:jc w:val="left"/>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eastAsia="zh-CN"/>
              </w:rPr>
              <w:t>未设置</w:t>
            </w:r>
          </w:p>
        </w:tc>
        <w:tc>
          <w:tcPr>
            <w:tcW w:w="3165" w:type="dxa"/>
            <w:vAlign w:val="center"/>
          </w:tcPr>
          <w:p>
            <w:pPr>
              <w:keepNext w:val="0"/>
              <w:keepLines w:val="0"/>
              <w:pageBreakBefore w:val="0"/>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rPr>
            </w:pP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950" w:hRule="atLeast"/>
        </w:trPr>
        <w:tc>
          <w:tcPr>
            <w:tcW w:w="1243"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rPr>
            </w:pP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效果指标</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lang w:eastAsia="zh-CN"/>
              </w:rPr>
            </w:pPr>
          </w:p>
        </w:tc>
        <w:tc>
          <w:tcPr>
            <w:tcW w:w="1238" w:type="dxa"/>
            <w:vAlign w:val="center"/>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eastAsia="zh-CN"/>
              </w:rPr>
              <w:t>社会</w:t>
            </w:r>
            <w:r>
              <w:rPr>
                <w:rFonts w:hint="eastAsia" w:ascii="仿宋" w:hAnsi="仿宋" w:eastAsia="仿宋" w:cs="仿宋"/>
                <w:color w:val="000000"/>
                <w:kern w:val="0"/>
                <w:sz w:val="24"/>
                <w:szCs w:val="24"/>
              </w:rPr>
              <w:t>效益</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指标</w:t>
            </w:r>
          </w:p>
        </w:tc>
        <w:tc>
          <w:tcPr>
            <w:tcW w:w="282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rPr>
            </w:pPr>
            <w:r>
              <w:rPr>
                <w:rFonts w:hint="eastAsia" w:ascii="仿宋" w:hAnsi="仿宋" w:eastAsia="仿宋" w:cs="仿宋"/>
                <w:sz w:val="24"/>
                <w:szCs w:val="24"/>
                <w:lang w:val="en-US" w:eastAsia="zh-CN"/>
              </w:rPr>
              <w:t>补助资金发放到位率</w:t>
            </w:r>
          </w:p>
        </w:tc>
        <w:tc>
          <w:tcPr>
            <w:tcW w:w="3165"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eastAsia="zh-CN"/>
              </w:rPr>
              <w:t>实际发放人数占应发放人数的比例</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43" w:type="dxa"/>
            <w:vAlign w:val="center"/>
          </w:tcPr>
          <w:p>
            <w:pPr>
              <w:widowControl/>
              <w:spacing w:line="400" w:lineRule="exact"/>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eastAsia="zh-CN"/>
              </w:rPr>
              <w:t>满意度指标</w:t>
            </w:r>
          </w:p>
        </w:tc>
        <w:tc>
          <w:tcPr>
            <w:tcW w:w="1238" w:type="dxa"/>
            <w:vAlign w:val="center"/>
          </w:tcPr>
          <w:p>
            <w:pPr>
              <w:widowControl/>
              <w:spacing w:line="400" w:lineRule="exact"/>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服务对象满意度指标</w:t>
            </w:r>
          </w:p>
        </w:tc>
        <w:tc>
          <w:tcPr>
            <w:tcW w:w="2823" w:type="dxa"/>
            <w:vAlign w:val="center"/>
          </w:tcPr>
          <w:p>
            <w:pPr>
              <w:spacing w:line="400" w:lineRule="exact"/>
              <w:jc w:val="left"/>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eastAsia="zh-CN"/>
              </w:rPr>
              <w:t>补助人群生活改善情况</w:t>
            </w:r>
          </w:p>
        </w:tc>
        <w:tc>
          <w:tcPr>
            <w:tcW w:w="3165" w:type="dxa"/>
            <w:vAlign w:val="center"/>
          </w:tcPr>
          <w:p>
            <w:pPr>
              <w:spacing w:line="400" w:lineRule="exact"/>
              <w:jc w:val="left"/>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eastAsia="zh-CN"/>
              </w:rPr>
              <w:t>改善全部原民办代课教师的生活质量</w:t>
            </w:r>
          </w:p>
        </w:tc>
      </w:tr>
      <w:bookmarkEnd w:id="10"/>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11" w:name="_Toc30555"/>
      <w:bookmarkStart w:id="12" w:name="_Toc1729"/>
      <w:r>
        <w:rPr>
          <w:rFonts w:hint="eastAsia" w:ascii="仿宋" w:hAnsi="仿宋" w:eastAsia="仿宋" w:cs="仿宋"/>
          <w:b/>
          <w:bCs/>
          <w:color w:val="auto"/>
          <w:sz w:val="32"/>
          <w:szCs w:val="32"/>
          <w:lang w:val="en-US" w:eastAsia="zh-CN"/>
        </w:rPr>
        <w:t>二、绩效评价工作情况</w:t>
      </w:r>
      <w:bookmarkEnd w:id="11"/>
      <w:bookmarkEnd w:id="12"/>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13" w:name="_Toc11803"/>
      <w:bookmarkStart w:id="14" w:name="_Toc21578"/>
      <w:r>
        <w:rPr>
          <w:rFonts w:hint="eastAsia" w:ascii="仿宋" w:hAnsi="仿宋" w:eastAsia="仿宋" w:cs="仿宋"/>
          <w:color w:val="auto"/>
          <w:sz w:val="32"/>
          <w:szCs w:val="32"/>
          <w:lang w:val="en-US" w:eastAsia="zh-CN"/>
        </w:rPr>
        <w:t>（一）绩效评价的目的</w:t>
      </w:r>
      <w:bookmarkEnd w:id="13"/>
      <w:r>
        <w:rPr>
          <w:rFonts w:hint="eastAsia" w:ascii="仿宋" w:hAnsi="仿宋" w:eastAsia="仿宋" w:cs="仿宋"/>
          <w:color w:val="auto"/>
          <w:sz w:val="32"/>
          <w:szCs w:val="32"/>
          <w:lang w:val="en-US" w:eastAsia="zh-CN"/>
        </w:rPr>
        <w:t>、对象和范围</w:t>
      </w:r>
      <w:bookmarkEnd w:id="14"/>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1、评价目的</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通过绩效评价，衡量和考核</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原民办代课教师教龄补助”</w:t>
      </w:r>
      <w:r>
        <w:rPr>
          <w:rFonts w:hint="eastAsia" w:ascii="仿宋" w:hAnsi="仿宋" w:eastAsia="仿宋" w:cs="仿宋"/>
          <w:color w:val="000000"/>
          <w:sz w:val="32"/>
          <w:szCs w:val="32"/>
        </w:rPr>
        <w:t>项目从项目申报、预算执行及项目验收等全过程的管理和绩效情况。包括对项目资金决策过程的合理性、管理体系的规范性、绩效目标实现程度进行综合评价，梳理项目决策、管理过程及绩效实现情况中存在的问题，加强项目预算绩效管理，提高财政资金使用效益。</w:t>
      </w:r>
    </w:p>
    <w:p>
      <w:pPr>
        <w:keepNext w:val="0"/>
        <w:keepLines w:val="0"/>
        <w:pageBreakBefore w:val="0"/>
        <w:numPr>
          <w:ilvl w:val="0"/>
          <w:numId w:val="0"/>
        </w:numPr>
        <w:kinsoku/>
        <w:wordWrap/>
        <w:overflowPunct/>
        <w:topLinePunct w:val="0"/>
        <w:autoSpaceDE/>
        <w:autoSpaceDN/>
        <w:bidi w:val="0"/>
        <w:adjustRightInd/>
        <w:snapToGrid/>
        <w:spacing w:line="360" w:lineRule="auto"/>
        <w:ind w:leftChars="200"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2、评价对象和范围</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640" w:firstLineChars="200"/>
        <w:jc w:val="both"/>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rPr>
        <w:t>本次评价对象</w:t>
      </w:r>
      <w:r>
        <w:rPr>
          <w:rFonts w:hint="eastAsia" w:ascii="仿宋" w:hAnsi="仿宋" w:eastAsia="仿宋" w:cs="仿宋"/>
          <w:color w:val="000000"/>
          <w:sz w:val="32"/>
          <w:szCs w:val="32"/>
          <w:lang w:eastAsia="zh-CN"/>
        </w:rPr>
        <w:t>为无极县教育局“</w:t>
      </w:r>
      <w:r>
        <w:rPr>
          <w:rFonts w:hint="eastAsia" w:ascii="仿宋" w:hAnsi="仿宋" w:eastAsia="仿宋" w:cs="仿宋"/>
          <w:color w:val="000000"/>
          <w:sz w:val="32"/>
          <w:szCs w:val="32"/>
          <w:lang w:val="en-US" w:eastAsia="zh-CN"/>
        </w:rPr>
        <w:t>原民办代课教师教龄补助”</w:t>
      </w:r>
      <w:r>
        <w:rPr>
          <w:rFonts w:hint="eastAsia" w:ascii="仿宋" w:hAnsi="仿宋" w:eastAsia="仿宋" w:cs="仿宋"/>
          <w:color w:val="000000"/>
          <w:sz w:val="32"/>
          <w:szCs w:val="32"/>
        </w:rPr>
        <w:t>项目；评价范围为</w:t>
      </w:r>
      <w:r>
        <w:rPr>
          <w:rFonts w:hint="eastAsia" w:ascii="仿宋" w:hAnsi="仿宋" w:eastAsia="仿宋" w:cs="仿宋"/>
          <w:color w:val="000000"/>
          <w:sz w:val="32"/>
          <w:szCs w:val="32"/>
          <w:lang w:eastAsia="zh-CN"/>
        </w:rPr>
        <w:t>该项目</w:t>
      </w:r>
      <w:r>
        <w:rPr>
          <w:rFonts w:hint="eastAsia" w:ascii="仿宋" w:hAnsi="仿宋" w:eastAsia="仿宋" w:cs="仿宋"/>
          <w:color w:val="000000"/>
          <w:sz w:val="32"/>
          <w:szCs w:val="32"/>
          <w:lang w:val="en-US" w:eastAsia="zh-CN"/>
        </w:rPr>
        <w:t>638.6146</w:t>
      </w:r>
      <w:r>
        <w:rPr>
          <w:rFonts w:hint="eastAsia" w:ascii="仿宋" w:hAnsi="仿宋" w:eastAsia="仿宋" w:cs="仿宋"/>
          <w:color w:val="000000"/>
          <w:sz w:val="32"/>
          <w:szCs w:val="32"/>
        </w:rPr>
        <w:t>万项目资金的申报及使用情况，包括项目决策、项目过程、项目产出、项目效益等。</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15" w:name="_Toc9180"/>
      <w:r>
        <w:rPr>
          <w:rFonts w:hint="eastAsia" w:ascii="仿宋" w:hAnsi="仿宋" w:eastAsia="仿宋" w:cs="仿宋"/>
          <w:color w:val="auto"/>
          <w:sz w:val="32"/>
          <w:szCs w:val="32"/>
          <w:lang w:val="en-US" w:eastAsia="zh-CN"/>
        </w:rPr>
        <w:t>（二）绩效评价原则、评价方法</w:t>
      </w:r>
      <w:bookmarkEnd w:id="15"/>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评价工作组本着科学规范、公开公正、绩效相关的原则，根据所承担的评价项目特点，采用全面评价和重点评价相结合的方式，运用最低成本法、比较法等分析方法，对项目决策、项目过程、项目产出、项目效益、服务对象满意度等开展绩效评价工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bookmarkStart w:id="16" w:name="_Toc10548"/>
      <w:r>
        <w:rPr>
          <w:rFonts w:hint="eastAsia" w:ascii="仿宋" w:hAnsi="仿宋" w:eastAsia="仿宋" w:cs="仿宋"/>
          <w:color w:val="auto"/>
          <w:sz w:val="32"/>
          <w:szCs w:val="32"/>
          <w:highlight w:val="none"/>
          <w:lang w:val="en-US" w:eastAsia="zh-CN"/>
        </w:rPr>
        <w:t>（三）绩效目标评价体系</w:t>
      </w:r>
      <w:bookmarkEnd w:id="16"/>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项目评价指标体系设置为一级指标、二级指标、三级指标，同时设定指标分值、指标解释说明及评分依据。</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一级指标包括项目决策、项目过程、项目产出、项目效益、满意度指标。</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二级指标包括项目立项、绩效目标、</w:t>
      </w:r>
      <w:r>
        <w:rPr>
          <w:rFonts w:hint="eastAsia" w:ascii="仿宋" w:hAnsi="仿宋" w:eastAsia="仿宋" w:cs="仿宋"/>
          <w:color w:val="auto"/>
          <w:spacing w:val="0"/>
          <w:kern w:val="2"/>
          <w:sz w:val="32"/>
          <w:szCs w:val="32"/>
          <w:highlight w:val="none"/>
          <w:lang w:val="en-US" w:eastAsia="zh-CN" w:bidi="ar-SA"/>
        </w:rPr>
        <w:t>资金管理</w:t>
      </w:r>
      <w:r>
        <w:rPr>
          <w:rFonts w:hint="eastAsia" w:ascii="仿宋" w:hAnsi="仿宋" w:eastAsia="仿宋" w:cs="仿宋"/>
          <w:color w:val="auto"/>
          <w:sz w:val="32"/>
          <w:szCs w:val="32"/>
          <w:highlight w:val="none"/>
          <w:lang w:val="en-US" w:eastAsia="zh-CN"/>
        </w:rPr>
        <w:t>、组织实施、产出数量、产出质量、产出时效、产出成本、项目效益、服务对象满意度指标。</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val="en-US" w:eastAsia="zh-CN"/>
        </w:rPr>
        <w:t>三级指标包括立项程序规范性、绩效目标合理性、绩效指标明确性、预算执行率、资金使用合规性、管理制度健全性、制度执行有效性、数量指标、质量指标、完成时效、成本控制、社会效益、生态效益、可持续发展效益、受益对象满意度。</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17" w:name="_Toc1901"/>
      <w:r>
        <w:rPr>
          <w:rFonts w:hint="eastAsia" w:ascii="仿宋" w:hAnsi="仿宋" w:eastAsia="仿宋" w:cs="仿宋"/>
          <w:color w:val="auto"/>
          <w:sz w:val="32"/>
          <w:szCs w:val="32"/>
          <w:lang w:val="en-US" w:eastAsia="zh-CN"/>
        </w:rPr>
        <w:t>（四）绩效评价工作过程</w:t>
      </w:r>
      <w:bookmarkEnd w:id="17"/>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1、前期准备</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为了高质量地完成本次绩效评价</w:t>
      </w:r>
      <w:r>
        <w:rPr>
          <w:rFonts w:hint="eastAsia" w:ascii="仿宋" w:hAnsi="仿宋" w:eastAsia="仿宋" w:cs="仿宋"/>
          <w:color w:val="auto"/>
          <w:sz w:val="32"/>
          <w:szCs w:val="32"/>
          <w:highlight w:val="none"/>
          <w:lang w:val="en-US" w:eastAsia="zh-CN"/>
        </w:rPr>
        <w:t>工作，无极县财政局、无极县教育局及</w:t>
      </w:r>
      <w:r>
        <w:rPr>
          <w:rFonts w:hint="eastAsia" w:ascii="仿宋" w:hAnsi="仿宋" w:eastAsia="仿宋" w:cs="仿宋"/>
          <w:color w:val="auto"/>
          <w:sz w:val="32"/>
          <w:szCs w:val="32"/>
          <w:lang w:val="en-US" w:eastAsia="zh-CN"/>
        </w:rPr>
        <w:t>参与评价的中介机构共同组成评价工作组，</w:t>
      </w:r>
      <w:r>
        <w:rPr>
          <w:rFonts w:hint="eastAsia" w:ascii="仿宋" w:hAnsi="仿宋" w:eastAsia="仿宋" w:cs="仿宋"/>
          <w:color w:val="auto"/>
          <w:spacing w:val="0"/>
          <w:kern w:val="2"/>
          <w:sz w:val="32"/>
          <w:szCs w:val="32"/>
          <w:lang w:val="en-US" w:eastAsia="zh-CN" w:bidi="ar-SA"/>
        </w:rPr>
        <w:t>确定了绩效评价</w:t>
      </w:r>
      <w:r>
        <w:rPr>
          <w:rFonts w:hint="eastAsia" w:ascii="仿宋" w:hAnsi="仿宋" w:eastAsia="仿宋" w:cs="仿宋"/>
          <w:color w:val="auto"/>
          <w:spacing w:val="0"/>
          <w:kern w:val="2"/>
          <w:sz w:val="32"/>
          <w:szCs w:val="32"/>
          <w:highlight w:val="none"/>
          <w:lang w:val="en-US" w:eastAsia="zh-CN" w:bidi="ar-SA"/>
        </w:rPr>
        <w:t>小组成员。</w:t>
      </w:r>
      <w:r>
        <w:rPr>
          <w:rFonts w:hint="eastAsia" w:ascii="仿宋" w:hAnsi="仿宋" w:eastAsia="仿宋" w:cs="仿宋"/>
          <w:color w:val="auto"/>
          <w:sz w:val="32"/>
          <w:szCs w:val="32"/>
          <w:lang w:val="en-US" w:eastAsia="zh-CN"/>
        </w:rPr>
        <w:t>收集</w:t>
      </w:r>
      <w:r>
        <w:rPr>
          <w:rFonts w:hint="eastAsia" w:ascii="仿宋" w:hAnsi="仿宋" w:eastAsia="仿宋" w:cs="仿宋"/>
          <w:color w:val="auto"/>
          <w:spacing w:val="0"/>
          <w:kern w:val="2"/>
          <w:sz w:val="32"/>
          <w:szCs w:val="32"/>
          <w:lang w:val="en-US" w:eastAsia="zh-CN" w:bidi="ar-SA"/>
        </w:rPr>
        <w:t>关于该项目</w:t>
      </w:r>
      <w:r>
        <w:rPr>
          <w:rFonts w:hint="eastAsia" w:ascii="仿宋" w:hAnsi="仿宋" w:eastAsia="仿宋" w:cs="仿宋"/>
          <w:color w:val="auto"/>
          <w:sz w:val="32"/>
          <w:szCs w:val="32"/>
          <w:lang w:val="en-US" w:eastAsia="zh-CN"/>
        </w:rPr>
        <w:t>的相关文件，对该项目从政策上全面了解，</w:t>
      </w:r>
      <w:r>
        <w:rPr>
          <w:rFonts w:hint="eastAsia" w:ascii="仿宋" w:hAnsi="仿宋" w:eastAsia="仿宋" w:cs="仿宋"/>
          <w:color w:val="auto"/>
          <w:sz w:val="32"/>
          <w:szCs w:val="32"/>
          <w:highlight w:val="none"/>
          <w:lang w:val="en-US" w:eastAsia="zh-CN"/>
        </w:rPr>
        <w:t>然后取得有关财务资料，充分了解</w:t>
      </w:r>
      <w:r>
        <w:rPr>
          <w:rFonts w:hint="eastAsia" w:ascii="仿宋" w:hAnsi="仿宋" w:eastAsia="仿宋" w:cs="仿宋"/>
          <w:color w:val="auto"/>
          <w:spacing w:val="0"/>
          <w:kern w:val="2"/>
          <w:sz w:val="32"/>
          <w:szCs w:val="32"/>
          <w:highlight w:val="none"/>
          <w:lang w:val="en-US" w:eastAsia="zh-CN" w:bidi="ar-SA"/>
        </w:rPr>
        <w:t>该项目资金的收支及管理情况</w:t>
      </w:r>
      <w:r>
        <w:rPr>
          <w:rFonts w:hint="eastAsia" w:ascii="仿宋" w:hAnsi="仿宋" w:eastAsia="仿宋" w:cs="仿宋"/>
          <w:color w:val="auto"/>
          <w:spacing w:val="0"/>
          <w:kern w:val="2"/>
          <w:sz w:val="32"/>
          <w:szCs w:val="32"/>
          <w:lang w:val="en-US" w:eastAsia="zh-CN" w:bidi="ar-SA"/>
        </w:rPr>
        <w:t>，</w:t>
      </w:r>
      <w:r>
        <w:rPr>
          <w:rFonts w:hint="eastAsia" w:ascii="仿宋" w:hAnsi="仿宋" w:eastAsia="仿宋" w:cs="仿宋"/>
          <w:color w:val="auto"/>
          <w:sz w:val="32"/>
          <w:szCs w:val="32"/>
          <w:highlight w:val="none"/>
          <w:lang w:val="en-US" w:eastAsia="zh-CN"/>
        </w:rPr>
        <w:t>对绩效评价指标进行了分析确认，同时编制了</w:t>
      </w:r>
      <w:r>
        <w:rPr>
          <w:rFonts w:hint="eastAsia" w:ascii="仿宋" w:hAnsi="仿宋" w:eastAsia="仿宋" w:cs="仿宋"/>
          <w:color w:val="auto"/>
          <w:spacing w:val="0"/>
          <w:kern w:val="2"/>
          <w:sz w:val="32"/>
          <w:szCs w:val="32"/>
          <w:highlight w:val="none"/>
          <w:lang w:val="en-US" w:eastAsia="zh-CN" w:bidi="ar-SA"/>
        </w:rPr>
        <w:t>该项目绩效评价方案。明确现场应收集的资料及注意事项</w:t>
      </w:r>
      <w:r>
        <w:rPr>
          <w:rFonts w:hint="eastAsia" w:ascii="仿宋" w:hAnsi="仿宋" w:eastAsia="仿宋" w:cs="仿宋"/>
          <w:color w:val="auto"/>
          <w:sz w:val="32"/>
          <w:szCs w:val="32"/>
          <w:highlight w:val="none"/>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2、组织实施</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z w:val="32"/>
          <w:szCs w:val="32"/>
          <w:lang w:val="en-US" w:eastAsia="zh-CN"/>
        </w:rPr>
        <w:t>首先，绩效评价工作小组通过搜集相应资料，了解</w:t>
      </w:r>
      <w:r>
        <w:rPr>
          <w:rFonts w:hint="eastAsia" w:ascii="仿宋" w:hAnsi="仿宋" w:eastAsia="仿宋" w:cs="仿宋"/>
          <w:color w:val="auto"/>
          <w:spacing w:val="0"/>
          <w:kern w:val="2"/>
          <w:sz w:val="32"/>
          <w:szCs w:val="32"/>
          <w:lang w:val="en-US" w:eastAsia="zh-CN" w:bidi="ar-SA"/>
        </w:rPr>
        <w:t>该项目相关的政策、管理制度、具体实施过程和项目的实际完成情况。同时</w:t>
      </w:r>
      <w:r>
        <w:rPr>
          <w:rFonts w:hint="eastAsia" w:ascii="仿宋" w:hAnsi="仿宋" w:eastAsia="仿宋" w:cs="仿宋"/>
          <w:sz w:val="32"/>
          <w:szCs w:val="32"/>
        </w:rPr>
        <w:t>在与</w:t>
      </w:r>
      <w:r>
        <w:rPr>
          <w:rFonts w:hint="eastAsia" w:ascii="仿宋" w:hAnsi="仿宋" w:eastAsia="仿宋" w:cs="仿宋"/>
          <w:sz w:val="32"/>
          <w:szCs w:val="32"/>
          <w:lang w:eastAsia="zh-CN"/>
        </w:rPr>
        <w:t>项目单位</w:t>
      </w:r>
      <w:r>
        <w:rPr>
          <w:rFonts w:hint="eastAsia" w:ascii="仿宋" w:hAnsi="仿宋" w:eastAsia="仿宋" w:cs="仿宋"/>
          <w:sz w:val="32"/>
          <w:szCs w:val="32"/>
        </w:rPr>
        <w:t>充分沟通的基础上进行项目资料收集、整理和分析工作</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0000FF"/>
          <w:sz w:val="32"/>
          <w:szCs w:val="28"/>
          <w:highlight w:val="none"/>
          <w:lang w:eastAsia="zh-CN"/>
        </w:rPr>
      </w:pPr>
      <w:r>
        <w:rPr>
          <w:rFonts w:hint="eastAsia" w:ascii="仿宋" w:hAnsi="仿宋" w:eastAsia="仿宋" w:cs="仿宋"/>
          <w:bCs/>
          <w:sz w:val="32"/>
          <w:szCs w:val="32"/>
        </w:rPr>
        <w:t>评价工作组在调研的基础上，汇总整理项目资料，对项目资料进行逐一核实，并按照指标体系内容和评价重点，对</w:t>
      </w:r>
      <w:r>
        <w:rPr>
          <w:rFonts w:hint="eastAsia" w:ascii="仿宋" w:hAnsi="仿宋" w:eastAsia="仿宋" w:cs="仿宋"/>
          <w:bCs/>
          <w:sz w:val="32"/>
          <w:szCs w:val="32"/>
          <w:lang w:eastAsia="zh-CN"/>
        </w:rPr>
        <w:t>项目</w:t>
      </w:r>
      <w:r>
        <w:rPr>
          <w:rFonts w:hint="eastAsia" w:ascii="仿宋" w:hAnsi="仿宋" w:eastAsia="仿宋" w:cs="仿宋"/>
          <w:bCs/>
          <w:sz w:val="32"/>
          <w:szCs w:val="32"/>
        </w:rPr>
        <w:t>资料按照决策、管理和绩效三大类进行分类整理</w:t>
      </w:r>
      <w:r>
        <w:rPr>
          <w:rFonts w:hint="eastAsia" w:ascii="仿宋" w:hAnsi="仿宋" w:eastAsia="仿宋" w:cs="仿宋"/>
          <w:bCs/>
          <w:sz w:val="32"/>
          <w:szCs w:val="32"/>
          <w:lang w:eastAsia="zh-CN"/>
        </w:rPr>
        <w:t>。</w:t>
      </w:r>
      <w:r>
        <w:rPr>
          <w:rFonts w:hint="eastAsia" w:ascii="仿宋" w:hAnsi="仿宋" w:eastAsia="仿宋" w:cs="仿宋"/>
          <w:sz w:val="32"/>
          <w:szCs w:val="28"/>
        </w:rPr>
        <w:t>根据收集</w:t>
      </w:r>
      <w:r>
        <w:rPr>
          <w:rFonts w:hint="eastAsia" w:ascii="仿宋" w:hAnsi="仿宋" w:eastAsia="仿宋" w:cs="仿宋"/>
          <w:sz w:val="32"/>
          <w:szCs w:val="28"/>
          <w:lang w:eastAsia="zh-CN"/>
        </w:rPr>
        <w:t>的</w:t>
      </w:r>
      <w:r>
        <w:rPr>
          <w:rFonts w:hint="eastAsia" w:ascii="仿宋" w:hAnsi="仿宋" w:eastAsia="仿宋" w:cs="仿宋"/>
          <w:sz w:val="32"/>
          <w:szCs w:val="28"/>
        </w:rPr>
        <w:t>项</w:t>
      </w:r>
      <w:r>
        <w:rPr>
          <w:rFonts w:hint="eastAsia" w:ascii="仿宋" w:hAnsi="仿宋" w:eastAsia="仿宋" w:cs="仿宋"/>
          <w:sz w:val="32"/>
          <w:szCs w:val="28"/>
          <w:highlight w:val="none"/>
        </w:rPr>
        <w:t>目</w:t>
      </w:r>
      <w:r>
        <w:rPr>
          <w:rFonts w:hint="eastAsia" w:ascii="仿宋" w:hAnsi="仿宋" w:eastAsia="仿宋" w:cs="仿宋"/>
          <w:sz w:val="32"/>
          <w:szCs w:val="28"/>
          <w:highlight w:val="none"/>
          <w:lang w:eastAsia="zh-CN"/>
        </w:rPr>
        <w:t>资料</w:t>
      </w:r>
      <w:r>
        <w:rPr>
          <w:rFonts w:hint="eastAsia" w:ascii="仿宋" w:hAnsi="仿宋" w:eastAsia="仿宋" w:cs="仿宋"/>
          <w:sz w:val="32"/>
          <w:szCs w:val="28"/>
          <w:highlight w:val="none"/>
        </w:rPr>
        <w:t>，</w:t>
      </w:r>
      <w:r>
        <w:rPr>
          <w:rFonts w:hint="eastAsia" w:ascii="仿宋" w:hAnsi="仿宋" w:eastAsia="仿宋" w:cs="仿宋"/>
          <w:sz w:val="32"/>
          <w:szCs w:val="28"/>
        </w:rPr>
        <w:t>对数据进行了比较分析，确定了关键指标</w:t>
      </w:r>
      <w:r>
        <w:rPr>
          <w:rFonts w:hint="eastAsia" w:ascii="仿宋" w:hAnsi="仿宋" w:eastAsia="仿宋" w:cs="仿宋"/>
          <w:sz w:val="32"/>
          <w:szCs w:val="28"/>
          <w:lang w:eastAsia="zh-CN"/>
        </w:rPr>
        <w:t>。</w:t>
      </w:r>
    </w:p>
    <w:p>
      <w:pPr>
        <w:keepNext w:val="0"/>
        <w:keepLines w:val="0"/>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sz w:val="32"/>
          <w:szCs w:val="28"/>
        </w:rPr>
        <w:t>最后，评价工作组对该项目的完成情况进行现场核实</w:t>
      </w:r>
      <w:r>
        <w:rPr>
          <w:rFonts w:hint="eastAsia" w:ascii="仿宋" w:hAnsi="仿宋" w:eastAsia="仿宋" w:cs="仿宋"/>
          <w:sz w:val="32"/>
          <w:szCs w:val="32"/>
        </w:rPr>
        <w:t>，</w:t>
      </w:r>
      <w:r>
        <w:rPr>
          <w:rFonts w:hint="eastAsia" w:ascii="仿宋" w:hAnsi="仿宋" w:eastAsia="仿宋" w:cs="仿宋"/>
          <w:sz w:val="32"/>
          <w:szCs w:val="28"/>
        </w:rPr>
        <w:t>对项目决策、过程、产出、效益情况进行综合分析。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pacing w:val="0"/>
          <w:kern w:val="2"/>
          <w:sz w:val="32"/>
          <w:szCs w:val="32"/>
          <w:lang w:val="en-US" w:eastAsia="zh-CN" w:bidi="ar-SA"/>
        </w:rPr>
        <w:t>3、分析评价</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现场工作结束后，对考核项目的得失分情况、有关表格数据及其存在的问题进行梳理、分析、汇总，得出综合评价</w:t>
      </w:r>
      <w:r>
        <w:rPr>
          <w:rFonts w:hint="eastAsia" w:ascii="仿宋" w:hAnsi="仿宋" w:eastAsia="仿宋" w:cs="仿宋"/>
          <w:color w:val="auto"/>
          <w:sz w:val="32"/>
          <w:szCs w:val="32"/>
          <w:highlight w:val="none"/>
          <w:lang w:val="en-US" w:eastAsia="zh-CN"/>
        </w:rPr>
        <w:t>结果，撰写绩效评价报告。</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18" w:name="_Toc17711"/>
      <w:bookmarkStart w:id="19" w:name="_Toc3905"/>
      <w:bookmarkStart w:id="20" w:name="_Toc689"/>
      <w:r>
        <w:rPr>
          <w:rFonts w:hint="eastAsia" w:ascii="仿宋" w:hAnsi="仿宋" w:eastAsia="仿宋" w:cs="仿宋"/>
          <w:b/>
          <w:bCs/>
          <w:color w:val="auto"/>
          <w:sz w:val="32"/>
          <w:szCs w:val="32"/>
          <w:lang w:val="en-US" w:eastAsia="zh-CN"/>
        </w:rPr>
        <w:t>三、绩效评价情况</w:t>
      </w:r>
      <w:bookmarkEnd w:id="18"/>
      <w:bookmarkEnd w:id="19"/>
      <w:r>
        <w:rPr>
          <w:rFonts w:hint="eastAsia" w:ascii="仿宋" w:hAnsi="仿宋" w:eastAsia="仿宋" w:cs="仿宋"/>
          <w:b/>
          <w:bCs/>
          <w:color w:val="auto"/>
          <w:sz w:val="32"/>
          <w:szCs w:val="32"/>
          <w:lang w:val="en-US" w:eastAsia="zh-CN"/>
        </w:rPr>
        <w:t>及评价结论</w:t>
      </w:r>
      <w:bookmarkEnd w:id="20"/>
    </w:p>
    <w:p>
      <w:pPr>
        <w:keepNext w:val="0"/>
        <w:keepLines w:val="0"/>
        <w:pageBreakBefore w:val="0"/>
        <w:widowControl/>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rPr>
      </w:pPr>
      <w:r>
        <w:rPr>
          <w:rFonts w:hint="eastAsia" w:ascii="仿宋" w:hAnsi="仿宋" w:eastAsia="仿宋" w:cs="仿宋"/>
          <w:bCs/>
          <w:sz w:val="32"/>
          <w:szCs w:val="32"/>
        </w:rPr>
        <w:t>该项目的实施，符合</w:t>
      </w:r>
      <w:r>
        <w:rPr>
          <w:rFonts w:hint="eastAsia" w:ascii="仿宋" w:hAnsi="仿宋" w:eastAsia="仿宋" w:cs="仿宋"/>
          <w:bCs/>
          <w:sz w:val="32"/>
          <w:szCs w:val="32"/>
          <w:lang w:eastAsia="zh-CN"/>
        </w:rPr>
        <w:t>无极县教育局</w:t>
      </w:r>
      <w:r>
        <w:rPr>
          <w:rFonts w:hint="eastAsia" w:ascii="仿宋" w:hAnsi="仿宋" w:eastAsia="仿宋" w:cs="仿宋"/>
          <w:bCs/>
          <w:sz w:val="32"/>
          <w:szCs w:val="32"/>
        </w:rPr>
        <w:t>关于</w:t>
      </w:r>
      <w:r>
        <w:rPr>
          <w:rFonts w:hint="eastAsia" w:ascii="仿宋" w:hAnsi="仿宋" w:eastAsia="仿宋" w:cs="仿宋"/>
          <w:bCs/>
          <w:sz w:val="32"/>
          <w:szCs w:val="32"/>
          <w:lang w:eastAsia="zh-CN"/>
        </w:rPr>
        <w:t>原民办代课教师教龄补助项目</w:t>
      </w:r>
      <w:r>
        <w:rPr>
          <w:rFonts w:hint="eastAsia" w:ascii="仿宋" w:hAnsi="仿宋" w:eastAsia="仿宋" w:cs="仿宋"/>
          <w:bCs/>
          <w:sz w:val="32"/>
          <w:szCs w:val="32"/>
        </w:rPr>
        <w:t>的相关要求，</w:t>
      </w:r>
      <w:r>
        <w:rPr>
          <w:rFonts w:hint="eastAsia" w:ascii="仿宋" w:hAnsi="仿宋" w:eastAsia="仿宋" w:cs="仿宋"/>
          <w:bCs/>
          <w:sz w:val="32"/>
          <w:szCs w:val="32"/>
          <w:lang w:eastAsia="zh-CN"/>
        </w:rPr>
        <w:t>达到了项目资金及时到位，项目正常开展，为原民办教师全部发放教龄补助的目标</w:t>
      </w:r>
      <w:r>
        <w:rPr>
          <w:rFonts w:hint="eastAsia" w:ascii="仿宋" w:hAnsi="仿宋" w:eastAsia="仿宋" w:cs="仿宋"/>
          <w:color w:val="auto"/>
          <w:sz w:val="32"/>
          <w:szCs w:val="32"/>
          <w:highlight w:val="none"/>
          <w:lang w:val="en-US" w:eastAsia="zh-CN"/>
        </w:rPr>
        <w:t>。</w:t>
      </w:r>
      <w:r>
        <w:rPr>
          <w:rFonts w:hint="eastAsia" w:ascii="仿宋" w:hAnsi="仿宋" w:eastAsia="仿宋" w:cs="仿宋"/>
          <w:bCs/>
          <w:sz w:val="32"/>
          <w:szCs w:val="32"/>
        </w:rPr>
        <w:t>但是该项目的绩效目标</w:t>
      </w:r>
      <w:r>
        <w:rPr>
          <w:rFonts w:hint="eastAsia" w:ascii="仿宋" w:hAnsi="仿宋" w:eastAsia="仿宋" w:cs="仿宋"/>
          <w:bCs/>
          <w:sz w:val="32"/>
          <w:szCs w:val="32"/>
          <w:lang w:eastAsia="zh-CN"/>
        </w:rPr>
        <w:t>设置合理性一般，绩效指标产出指标及效果指标设置不完整、不准确，</w:t>
      </w:r>
      <w:r>
        <w:rPr>
          <w:rFonts w:hint="eastAsia" w:ascii="仿宋" w:hAnsi="仿宋" w:eastAsia="仿宋" w:cs="仿宋"/>
          <w:bCs/>
          <w:sz w:val="32"/>
          <w:szCs w:val="32"/>
        </w:rPr>
        <w:t>需进一步</w:t>
      </w:r>
      <w:r>
        <w:rPr>
          <w:rFonts w:hint="eastAsia" w:ascii="仿宋" w:hAnsi="仿宋" w:eastAsia="仿宋" w:cs="仿宋"/>
          <w:bCs/>
          <w:sz w:val="32"/>
          <w:szCs w:val="32"/>
          <w:lang w:eastAsia="zh-CN"/>
        </w:rPr>
        <w:t>细化</w:t>
      </w:r>
      <w:r>
        <w:rPr>
          <w:rFonts w:hint="eastAsia" w:ascii="仿宋" w:hAnsi="仿宋" w:eastAsia="仿宋" w:cs="仿宋"/>
          <w:bCs/>
          <w:sz w:val="32"/>
          <w:szCs w:val="32"/>
        </w:rPr>
        <w:t>、</w:t>
      </w:r>
      <w:r>
        <w:rPr>
          <w:rFonts w:hint="eastAsia" w:ascii="仿宋" w:hAnsi="仿宋" w:eastAsia="仿宋" w:cs="仿宋"/>
          <w:bCs/>
          <w:sz w:val="32"/>
          <w:szCs w:val="32"/>
          <w:lang w:eastAsia="zh-CN"/>
        </w:rPr>
        <w:t>量化</w:t>
      </w:r>
      <w:r>
        <w:rPr>
          <w:rFonts w:hint="eastAsia" w:ascii="仿宋" w:hAnsi="仿宋" w:eastAsia="仿宋" w:cs="仿宋"/>
          <w:bCs/>
          <w:sz w:val="32"/>
          <w:szCs w:val="32"/>
        </w:rPr>
        <w:t>，</w:t>
      </w:r>
      <w:r>
        <w:rPr>
          <w:rFonts w:hint="eastAsia" w:ascii="仿宋" w:hAnsi="仿宋" w:eastAsia="仿宋" w:cs="仿宋"/>
          <w:bCs/>
          <w:sz w:val="32"/>
          <w:szCs w:val="32"/>
          <w:lang w:eastAsia="zh-CN"/>
        </w:rPr>
        <w:t>绩效指标设定工作</w:t>
      </w:r>
      <w:r>
        <w:rPr>
          <w:rFonts w:hint="eastAsia" w:ascii="仿宋" w:hAnsi="仿宋" w:eastAsia="仿宋" w:cs="仿宋"/>
          <w:bCs/>
          <w:sz w:val="32"/>
          <w:szCs w:val="32"/>
        </w:rPr>
        <w:t>有</w:t>
      </w:r>
      <w:r>
        <w:rPr>
          <w:rFonts w:hint="eastAsia" w:ascii="仿宋" w:hAnsi="仿宋" w:eastAsia="仿宋" w:cs="仿宋"/>
          <w:bCs/>
          <w:sz w:val="32"/>
          <w:szCs w:val="32"/>
          <w:lang w:eastAsia="zh-CN"/>
        </w:rPr>
        <w:t>待进</w:t>
      </w:r>
      <w:r>
        <w:rPr>
          <w:rFonts w:hint="eastAsia" w:ascii="仿宋" w:hAnsi="仿宋" w:eastAsia="仿宋" w:cs="仿宋"/>
          <w:bCs/>
          <w:sz w:val="32"/>
          <w:szCs w:val="32"/>
        </w:rPr>
        <w:t>一步规范</w:t>
      </w:r>
      <w:r>
        <w:rPr>
          <w:rFonts w:hint="eastAsia" w:ascii="仿宋" w:hAnsi="仿宋" w:eastAsia="仿宋" w:cs="仿宋"/>
          <w:bCs/>
          <w:sz w:val="32"/>
          <w:szCs w:val="32"/>
          <w:lang w:eastAsia="zh-CN"/>
        </w:rPr>
        <w:t>和</w:t>
      </w:r>
      <w:r>
        <w:rPr>
          <w:rFonts w:hint="eastAsia" w:ascii="仿宋" w:hAnsi="仿宋" w:eastAsia="仿宋" w:cs="仿宋"/>
          <w:bCs/>
          <w:sz w:val="32"/>
          <w:szCs w:val="32"/>
        </w:rPr>
        <w:t>完善。</w:t>
      </w:r>
    </w:p>
    <w:p>
      <w:pPr>
        <w:keepNext w:val="0"/>
        <w:keepLines w:val="0"/>
        <w:pageBreakBefore w:val="0"/>
        <w:widowControl/>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000000"/>
          <w:kern w:val="0"/>
          <w:sz w:val="28"/>
          <w:szCs w:val="28"/>
        </w:rPr>
      </w:pPr>
      <w:r>
        <w:rPr>
          <w:rFonts w:hint="eastAsia" w:ascii="仿宋" w:hAnsi="仿宋" w:eastAsia="仿宋" w:cs="仿宋"/>
          <w:bCs/>
          <w:sz w:val="32"/>
          <w:szCs w:val="32"/>
          <w:lang w:eastAsia="zh-CN"/>
        </w:rPr>
        <w:t>无极县教育局“原民办代课教师教龄补助”</w:t>
      </w:r>
      <w:r>
        <w:rPr>
          <w:rFonts w:hint="eastAsia" w:ascii="仿宋" w:hAnsi="仿宋" w:eastAsia="仿宋" w:cs="仿宋"/>
          <w:bCs/>
          <w:sz w:val="32"/>
          <w:szCs w:val="32"/>
        </w:rPr>
        <w:t>项目综合评价得分</w:t>
      </w:r>
      <w:r>
        <w:rPr>
          <w:rFonts w:hint="eastAsia" w:ascii="仿宋" w:hAnsi="仿宋" w:eastAsia="仿宋" w:cs="仿宋"/>
          <w:bCs/>
          <w:sz w:val="32"/>
          <w:szCs w:val="32"/>
          <w:highlight w:val="none"/>
          <w:lang w:val="en-US" w:eastAsia="zh-CN"/>
        </w:rPr>
        <w:t>82.00</w:t>
      </w:r>
      <w:r>
        <w:rPr>
          <w:rFonts w:hint="eastAsia" w:ascii="仿宋" w:hAnsi="仿宋" w:eastAsia="仿宋" w:cs="仿宋"/>
          <w:bCs/>
          <w:sz w:val="32"/>
          <w:szCs w:val="32"/>
          <w:highlight w:val="none"/>
        </w:rPr>
        <w:t>分</w:t>
      </w:r>
      <w:r>
        <w:rPr>
          <w:rFonts w:hint="eastAsia" w:ascii="仿宋" w:hAnsi="仿宋" w:eastAsia="仿宋" w:cs="仿宋"/>
          <w:bCs/>
          <w:sz w:val="32"/>
          <w:szCs w:val="32"/>
        </w:rPr>
        <w:t>，</w:t>
      </w:r>
      <w:r>
        <w:rPr>
          <w:rFonts w:hint="eastAsia" w:ascii="仿宋" w:hAnsi="仿宋" w:eastAsia="仿宋" w:cs="仿宋"/>
          <w:color w:val="000000"/>
          <w:kern w:val="0"/>
          <w:sz w:val="32"/>
          <w:szCs w:val="32"/>
        </w:rPr>
        <w:t>绩效级别评定为“</w:t>
      </w:r>
      <w:r>
        <w:rPr>
          <w:rFonts w:hint="eastAsia" w:ascii="仿宋" w:hAnsi="仿宋" w:eastAsia="仿宋" w:cs="仿宋"/>
          <w:color w:val="000000"/>
          <w:kern w:val="0"/>
          <w:sz w:val="32"/>
          <w:szCs w:val="32"/>
          <w:lang w:eastAsia="zh-CN"/>
        </w:rPr>
        <w:t>良</w:t>
      </w:r>
      <w:r>
        <w:rPr>
          <w:rFonts w:hint="eastAsia" w:ascii="仿宋" w:hAnsi="仿宋" w:eastAsia="仿宋" w:cs="仿宋"/>
          <w:color w:val="000000"/>
          <w:kern w:val="0"/>
          <w:sz w:val="32"/>
          <w:szCs w:val="32"/>
        </w:rPr>
        <w:t>”。具体评分情况</w:t>
      </w:r>
      <w:r>
        <w:rPr>
          <w:rFonts w:hint="eastAsia" w:ascii="仿宋" w:hAnsi="仿宋" w:eastAsia="仿宋" w:cs="仿宋"/>
          <w:color w:val="000000"/>
          <w:kern w:val="0"/>
          <w:sz w:val="32"/>
          <w:szCs w:val="32"/>
          <w:lang w:eastAsia="zh-CN"/>
        </w:rPr>
        <w:t>如下</w:t>
      </w:r>
      <w:r>
        <w:rPr>
          <w:rFonts w:hint="eastAsia" w:ascii="仿宋" w:hAnsi="仿宋" w:eastAsia="仿宋" w:cs="仿宋"/>
          <w:color w:val="000000"/>
          <w:kern w:val="0"/>
          <w:sz w:val="32"/>
          <w:szCs w:val="32"/>
        </w:rPr>
        <w:t>表。</w:t>
      </w:r>
    </w:p>
    <w:p>
      <w:pPr>
        <w:widowControl/>
        <w:spacing w:after="156" w:afterLines="50" w:line="500" w:lineRule="exact"/>
        <w:jc w:val="center"/>
        <w:rPr>
          <w:rFonts w:hint="eastAsia" w:ascii="仿宋" w:hAnsi="仿宋" w:eastAsia="仿宋" w:cs="仿宋"/>
          <w:b/>
          <w:kern w:val="0"/>
          <w:sz w:val="28"/>
          <w:szCs w:val="28"/>
        </w:rPr>
      </w:pPr>
      <w:r>
        <w:rPr>
          <w:rFonts w:hint="eastAsia" w:ascii="仿宋" w:hAnsi="仿宋" w:eastAsia="仿宋" w:cs="仿宋"/>
          <w:b/>
          <w:kern w:val="0"/>
          <w:sz w:val="28"/>
          <w:szCs w:val="28"/>
        </w:rPr>
        <w:t>项目整体绩效评价结论一览表</w:t>
      </w:r>
    </w:p>
    <w:tbl>
      <w:tblPr>
        <w:tblStyle w:val="13"/>
        <w:tblW w:w="88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3008"/>
        <w:gridCol w:w="2870"/>
        <w:gridCol w:w="3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6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评价内容</w:t>
            </w:r>
          </w:p>
        </w:tc>
        <w:tc>
          <w:tcPr>
            <w:tcW w:w="2870" w:type="dxa"/>
            <w:shd w:val="clear" w:color="auto" w:fill="auto"/>
            <w:vAlign w:val="center"/>
          </w:tcPr>
          <w:p>
            <w:pPr>
              <w:adjustRightInd w:val="0"/>
              <w:snapToGrid w:val="0"/>
              <w:spacing w:before="120" w:after="60"/>
              <w:jc w:val="center"/>
              <w:rPr>
                <w:rFonts w:hint="eastAsia" w:ascii="仿宋" w:hAnsi="仿宋" w:eastAsia="仿宋" w:cs="仿宋"/>
                <w:b/>
                <w:sz w:val="28"/>
                <w:szCs w:val="28"/>
              </w:rPr>
            </w:pPr>
            <w:r>
              <w:rPr>
                <w:rFonts w:hint="eastAsia" w:ascii="仿宋" w:hAnsi="仿宋" w:eastAsia="仿宋" w:cs="仿宋"/>
                <w:b/>
                <w:sz w:val="28"/>
                <w:szCs w:val="28"/>
              </w:rPr>
              <w:t>分值</w:t>
            </w:r>
          </w:p>
        </w:tc>
        <w:tc>
          <w:tcPr>
            <w:tcW w:w="3007" w:type="dxa"/>
            <w:shd w:val="clear" w:color="auto" w:fill="auto"/>
            <w:vAlign w:val="center"/>
          </w:tcPr>
          <w:p>
            <w:pPr>
              <w:widowControl/>
              <w:adjustRightInd w:val="0"/>
              <w:snapToGrid w:val="0"/>
              <w:spacing w:before="120" w:after="60" w:line="276" w:lineRule="auto"/>
              <w:ind w:right="-57" w:rightChars="-27"/>
              <w:jc w:val="center"/>
              <w:rPr>
                <w:rFonts w:hint="eastAsia" w:ascii="仿宋" w:hAnsi="仿宋" w:eastAsia="仿宋" w:cs="仿宋"/>
                <w:b/>
                <w:sz w:val="28"/>
                <w:szCs w:val="28"/>
              </w:rPr>
            </w:pPr>
            <w:r>
              <w:rPr>
                <w:rFonts w:hint="eastAsia" w:ascii="仿宋" w:hAnsi="仿宋" w:eastAsia="仿宋" w:cs="仿宋"/>
                <w:b/>
                <w:sz w:val="28"/>
                <w:szCs w:val="28"/>
              </w:rPr>
              <w:t>评价得分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74"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项目决策</w:t>
            </w:r>
          </w:p>
        </w:tc>
        <w:tc>
          <w:tcPr>
            <w:tcW w:w="2870" w:type="dxa"/>
            <w:shd w:val="clear" w:color="auto" w:fill="auto"/>
            <w:vAlign w:val="center"/>
          </w:tcPr>
          <w:p>
            <w:pPr>
              <w:adjustRightInd w:val="0"/>
              <w:snapToGrid w:val="0"/>
              <w:spacing w:before="120" w:after="60"/>
              <w:jc w:val="center"/>
              <w:rPr>
                <w:rFonts w:hint="eastAsia" w:ascii="仿宋" w:hAnsi="仿宋" w:eastAsia="仿宋" w:cs="仿宋"/>
                <w:b/>
                <w:sz w:val="28"/>
                <w:szCs w:val="28"/>
              </w:rPr>
            </w:pPr>
            <w:r>
              <w:rPr>
                <w:rFonts w:hint="eastAsia" w:ascii="仿宋" w:hAnsi="仿宋" w:eastAsia="仿宋" w:cs="仿宋"/>
                <w:b/>
                <w:sz w:val="28"/>
                <w:szCs w:val="28"/>
              </w:rPr>
              <w:t>10</w:t>
            </w:r>
          </w:p>
        </w:tc>
        <w:tc>
          <w:tcPr>
            <w:tcW w:w="3007" w:type="dxa"/>
            <w:shd w:val="clear" w:color="auto" w:fill="auto"/>
            <w:vAlign w:val="center"/>
          </w:tcPr>
          <w:p>
            <w:pPr>
              <w:adjustRightInd w:val="0"/>
              <w:snapToGrid w:val="0"/>
              <w:spacing w:before="120" w:after="60" w:line="276" w:lineRule="auto"/>
              <w:ind w:right="-57" w:rightChars="-27"/>
              <w:jc w:val="center"/>
              <w:rPr>
                <w:rFonts w:hint="eastAsia" w:ascii="仿宋" w:hAnsi="仿宋" w:eastAsia="仿宋" w:cs="仿宋"/>
                <w:b/>
                <w:bCs/>
                <w:sz w:val="28"/>
                <w:szCs w:val="28"/>
                <w:highlight w:val="yellow"/>
                <w:lang w:val="en-US" w:eastAsia="zh-CN"/>
              </w:rPr>
            </w:pPr>
            <w:r>
              <w:rPr>
                <w:rFonts w:hint="eastAsia" w:ascii="仿宋" w:hAnsi="仿宋" w:eastAsia="仿宋" w:cs="仿宋"/>
                <w:b/>
                <w:bCs/>
                <w:sz w:val="28"/>
                <w:szCs w:val="28"/>
                <w:highlight w:val="no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3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项目过程</w:t>
            </w:r>
          </w:p>
        </w:tc>
        <w:tc>
          <w:tcPr>
            <w:tcW w:w="2870" w:type="dxa"/>
            <w:shd w:val="clear" w:color="auto" w:fill="auto"/>
            <w:vAlign w:val="center"/>
          </w:tcPr>
          <w:p>
            <w:pPr>
              <w:adjustRightInd w:val="0"/>
              <w:snapToGrid w:val="0"/>
              <w:spacing w:before="120" w:after="60"/>
              <w:jc w:val="center"/>
              <w:rPr>
                <w:rFonts w:hint="eastAsia" w:ascii="仿宋" w:hAnsi="仿宋" w:eastAsia="仿宋" w:cs="仿宋"/>
                <w:b/>
                <w:sz w:val="28"/>
                <w:szCs w:val="28"/>
              </w:rPr>
            </w:pPr>
            <w:r>
              <w:rPr>
                <w:rFonts w:hint="eastAsia" w:ascii="仿宋" w:hAnsi="仿宋" w:eastAsia="仿宋" w:cs="仿宋"/>
                <w:b/>
                <w:sz w:val="28"/>
                <w:szCs w:val="28"/>
              </w:rPr>
              <w:t>20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 w:hAnsi="仿宋" w:eastAsia="仿宋" w:cs="仿宋"/>
                <w:b/>
                <w:bCs/>
                <w:sz w:val="28"/>
                <w:szCs w:val="28"/>
                <w:highlight w:val="yellow"/>
                <w:lang w:val="en-US" w:eastAsia="zh-CN"/>
              </w:rPr>
            </w:pPr>
            <w:r>
              <w:rPr>
                <w:rFonts w:hint="eastAsia" w:ascii="仿宋" w:hAnsi="仿宋" w:eastAsia="仿宋" w:cs="仿宋"/>
                <w:b/>
                <w:bCs/>
                <w:sz w:val="28"/>
                <w:szCs w:val="28"/>
                <w:highlight w:val="none"/>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1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项目产出</w:t>
            </w:r>
          </w:p>
        </w:tc>
        <w:tc>
          <w:tcPr>
            <w:tcW w:w="2870" w:type="dxa"/>
            <w:shd w:val="clear" w:color="auto" w:fill="auto"/>
            <w:vAlign w:val="center"/>
          </w:tcPr>
          <w:p>
            <w:pPr>
              <w:adjustRightInd w:val="0"/>
              <w:snapToGrid w:val="0"/>
              <w:spacing w:before="120" w:after="60"/>
              <w:jc w:val="center"/>
              <w:rPr>
                <w:rFonts w:hint="eastAsia" w:ascii="仿宋" w:hAnsi="仿宋" w:eastAsia="仿宋" w:cs="仿宋"/>
                <w:b/>
                <w:sz w:val="28"/>
                <w:szCs w:val="28"/>
              </w:rPr>
            </w:pPr>
            <w:r>
              <w:rPr>
                <w:rFonts w:hint="eastAsia" w:ascii="仿宋" w:hAnsi="仿宋" w:eastAsia="仿宋" w:cs="仿宋"/>
                <w:b/>
                <w:sz w:val="28"/>
                <w:szCs w:val="28"/>
              </w:rPr>
              <w:t>40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 w:hAnsi="仿宋" w:eastAsia="仿宋" w:cs="仿宋"/>
                <w:b/>
                <w:bCs/>
                <w:sz w:val="28"/>
                <w:szCs w:val="28"/>
                <w:highlight w:val="yellow"/>
                <w:lang w:val="en-US" w:eastAsia="zh-CN"/>
              </w:rPr>
            </w:pPr>
            <w:r>
              <w:rPr>
                <w:rFonts w:hint="eastAsia" w:ascii="仿宋" w:hAnsi="仿宋" w:eastAsia="仿宋" w:cs="仿宋"/>
                <w:b/>
                <w:bCs/>
                <w:sz w:val="28"/>
                <w:szCs w:val="28"/>
                <w:highlight w:val="none"/>
                <w:lang w:val="en-US" w:eastAsia="zh-CN"/>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1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lang w:eastAsia="zh-CN"/>
              </w:rPr>
            </w:pPr>
            <w:r>
              <w:rPr>
                <w:rFonts w:hint="eastAsia" w:ascii="仿宋" w:hAnsi="仿宋" w:eastAsia="仿宋" w:cs="仿宋"/>
                <w:b/>
                <w:kern w:val="0"/>
                <w:sz w:val="28"/>
                <w:szCs w:val="28"/>
              </w:rPr>
              <w:t>项目效益</w:t>
            </w:r>
            <w:r>
              <w:rPr>
                <w:rFonts w:hint="eastAsia" w:ascii="仿宋" w:hAnsi="仿宋" w:eastAsia="仿宋" w:cs="仿宋"/>
                <w:b/>
                <w:kern w:val="0"/>
                <w:sz w:val="28"/>
                <w:szCs w:val="28"/>
                <w:lang w:eastAsia="zh-CN"/>
              </w:rPr>
              <w:t>及满意度</w:t>
            </w:r>
          </w:p>
        </w:tc>
        <w:tc>
          <w:tcPr>
            <w:tcW w:w="2870" w:type="dxa"/>
            <w:shd w:val="clear" w:color="auto" w:fill="auto"/>
            <w:vAlign w:val="center"/>
          </w:tcPr>
          <w:p>
            <w:pPr>
              <w:adjustRightInd w:val="0"/>
              <w:snapToGrid w:val="0"/>
              <w:spacing w:before="120" w:after="60"/>
              <w:jc w:val="center"/>
              <w:rPr>
                <w:rFonts w:hint="eastAsia" w:ascii="仿宋" w:hAnsi="仿宋" w:eastAsia="仿宋" w:cs="仿宋"/>
                <w:b/>
                <w:sz w:val="28"/>
                <w:szCs w:val="28"/>
              </w:rPr>
            </w:pPr>
            <w:r>
              <w:rPr>
                <w:rFonts w:hint="eastAsia" w:ascii="仿宋" w:hAnsi="仿宋" w:eastAsia="仿宋" w:cs="仿宋"/>
                <w:b/>
                <w:sz w:val="28"/>
                <w:szCs w:val="28"/>
              </w:rPr>
              <w:t>30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 w:hAnsi="仿宋" w:eastAsia="仿宋" w:cs="仿宋"/>
                <w:b/>
                <w:bCs/>
                <w:sz w:val="28"/>
                <w:szCs w:val="28"/>
                <w:highlight w:val="yellow"/>
                <w:lang w:val="en-US" w:eastAsia="zh-CN"/>
              </w:rPr>
            </w:pPr>
            <w:r>
              <w:rPr>
                <w:rFonts w:hint="eastAsia" w:ascii="仿宋" w:hAnsi="仿宋" w:eastAsia="仿宋" w:cs="仿宋"/>
                <w:b/>
                <w:bCs/>
                <w:sz w:val="28"/>
                <w:szCs w:val="28"/>
                <w:highlight w:val="none"/>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5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综合得分</w:t>
            </w:r>
          </w:p>
        </w:tc>
        <w:tc>
          <w:tcPr>
            <w:tcW w:w="2870" w:type="dxa"/>
            <w:shd w:val="clear" w:color="auto" w:fill="auto"/>
            <w:vAlign w:val="center"/>
          </w:tcPr>
          <w:p>
            <w:pPr>
              <w:widowControl/>
              <w:adjustRightInd w:val="0"/>
              <w:snapToGrid w:val="0"/>
              <w:spacing w:before="120" w:after="60" w:line="276" w:lineRule="auto"/>
              <w:ind w:right="-57" w:rightChars="-27" w:firstLine="1124" w:firstLineChars="400"/>
              <w:jc w:val="both"/>
              <w:rPr>
                <w:rFonts w:hint="eastAsia" w:ascii="仿宋" w:hAnsi="仿宋" w:eastAsia="仿宋" w:cs="仿宋"/>
                <w:b/>
                <w:kern w:val="0"/>
                <w:sz w:val="28"/>
                <w:szCs w:val="28"/>
              </w:rPr>
            </w:pPr>
            <w:r>
              <w:rPr>
                <w:rFonts w:hint="eastAsia" w:ascii="仿宋" w:hAnsi="仿宋" w:eastAsia="仿宋" w:cs="仿宋"/>
                <w:b/>
                <w:kern w:val="0"/>
                <w:sz w:val="28"/>
                <w:szCs w:val="28"/>
              </w:rPr>
              <w:t>100</w:t>
            </w:r>
          </w:p>
        </w:tc>
        <w:tc>
          <w:tcPr>
            <w:tcW w:w="3007" w:type="dxa"/>
            <w:shd w:val="clear" w:color="auto" w:fill="auto"/>
            <w:vAlign w:val="center"/>
          </w:tcPr>
          <w:p>
            <w:pPr>
              <w:widowControl/>
              <w:adjustRightInd w:val="0"/>
              <w:snapToGrid w:val="0"/>
              <w:spacing w:before="120" w:after="60" w:line="276" w:lineRule="auto"/>
              <w:ind w:right="-57" w:rightChars="-27" w:firstLine="1313" w:firstLineChars="467"/>
              <w:jc w:val="both"/>
              <w:rPr>
                <w:rFonts w:hint="default" w:ascii="仿宋" w:hAnsi="仿宋" w:eastAsia="仿宋" w:cs="仿宋"/>
                <w:b/>
                <w:kern w:val="0"/>
                <w:sz w:val="28"/>
                <w:szCs w:val="28"/>
                <w:highlight w:val="yellow"/>
                <w:lang w:val="en-US" w:eastAsia="zh-CN"/>
              </w:rPr>
            </w:pPr>
            <w:r>
              <w:rPr>
                <w:rFonts w:hint="eastAsia" w:ascii="仿宋" w:hAnsi="仿宋" w:eastAsia="仿宋" w:cs="仿宋"/>
                <w:b/>
                <w:kern w:val="0"/>
                <w:sz w:val="28"/>
                <w:szCs w:val="28"/>
                <w:highlight w:val="none"/>
                <w:lang w:val="en-US" w:eastAsia="zh-CN"/>
              </w:rPr>
              <w:t>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31"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 w:hAnsi="仿宋" w:eastAsia="仿宋" w:cs="仿宋"/>
                <w:b/>
                <w:kern w:val="0"/>
                <w:sz w:val="28"/>
                <w:szCs w:val="28"/>
              </w:rPr>
            </w:pPr>
            <w:r>
              <w:rPr>
                <w:rFonts w:hint="eastAsia" w:ascii="仿宋" w:hAnsi="仿宋" w:eastAsia="仿宋" w:cs="仿宋"/>
                <w:b/>
                <w:kern w:val="0"/>
                <w:sz w:val="28"/>
                <w:szCs w:val="28"/>
              </w:rPr>
              <w:t>绩效评定级别</w:t>
            </w:r>
          </w:p>
        </w:tc>
        <w:tc>
          <w:tcPr>
            <w:tcW w:w="5877" w:type="dxa"/>
            <w:gridSpan w:val="2"/>
            <w:shd w:val="clear" w:color="auto" w:fill="auto"/>
            <w:vAlign w:val="center"/>
          </w:tcPr>
          <w:p>
            <w:pPr>
              <w:widowControl/>
              <w:adjustRightInd w:val="0"/>
              <w:snapToGrid w:val="0"/>
              <w:spacing w:before="120" w:after="60" w:line="276" w:lineRule="auto"/>
              <w:ind w:right="-57" w:rightChars="-27" w:firstLine="2718" w:firstLineChars="967"/>
              <w:rPr>
                <w:rFonts w:hint="eastAsia" w:ascii="仿宋" w:hAnsi="仿宋" w:eastAsia="仿宋" w:cs="仿宋"/>
                <w:b/>
                <w:kern w:val="0"/>
                <w:sz w:val="28"/>
                <w:szCs w:val="28"/>
              </w:rPr>
            </w:pPr>
            <w:r>
              <w:rPr>
                <w:rFonts w:hint="eastAsia" w:ascii="仿宋" w:hAnsi="仿宋" w:eastAsia="仿宋" w:cs="仿宋"/>
                <w:b/>
                <w:kern w:val="0"/>
                <w:sz w:val="28"/>
                <w:szCs w:val="28"/>
              </w:rPr>
              <w:t>优秀</w:t>
            </w:r>
          </w:p>
        </w:tc>
      </w:tr>
    </w:tbl>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highlight w:val="none"/>
          <w:lang w:val="en-US" w:eastAsia="zh-CN"/>
        </w:rPr>
      </w:pPr>
      <w:bookmarkStart w:id="21" w:name="_Toc27912"/>
      <w:bookmarkStart w:id="22" w:name="_Toc27040"/>
      <w:bookmarkStart w:id="23" w:name="_Toc9340"/>
      <w:r>
        <w:rPr>
          <w:rFonts w:hint="eastAsia" w:ascii="仿宋" w:hAnsi="仿宋" w:eastAsia="仿宋" w:cs="仿宋"/>
          <w:b/>
          <w:bCs/>
          <w:color w:val="auto"/>
          <w:sz w:val="32"/>
          <w:szCs w:val="32"/>
          <w:highlight w:val="none"/>
          <w:lang w:val="en-US" w:eastAsia="zh-CN"/>
        </w:rPr>
        <w:t>绩效评价指标分析</w:t>
      </w:r>
      <w:bookmarkEnd w:id="21"/>
    </w:p>
    <w:p>
      <w:pPr>
        <w:keepNext w:val="0"/>
        <w:keepLines w:val="0"/>
        <w:pageBreakBefore w:val="0"/>
        <w:numPr>
          <w:ilvl w:val="0"/>
          <w:numId w:val="4"/>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24" w:name="_Toc32712"/>
      <w:r>
        <w:rPr>
          <w:rFonts w:hint="eastAsia" w:ascii="仿宋" w:hAnsi="仿宋" w:eastAsia="仿宋" w:cs="仿宋"/>
          <w:color w:val="auto"/>
          <w:sz w:val="32"/>
          <w:szCs w:val="32"/>
          <w:lang w:val="en-US" w:eastAsia="zh-CN"/>
        </w:rPr>
        <w:t>项目决策情况</w:t>
      </w:r>
      <w:bookmarkEnd w:id="22"/>
      <w:bookmarkEnd w:id="23"/>
      <w:bookmarkEnd w:id="24"/>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lang w:val="en-US" w:eastAsia="zh-CN"/>
        </w:rPr>
      </w:pPr>
      <w:bookmarkStart w:id="25" w:name="_Toc11808"/>
      <w:r>
        <w:rPr>
          <w:rFonts w:hint="eastAsia" w:ascii="仿宋" w:hAnsi="仿宋" w:eastAsia="仿宋" w:cs="仿宋"/>
          <w:color w:val="auto"/>
          <w:sz w:val="32"/>
          <w:szCs w:val="32"/>
          <w:lang w:val="en-US" w:eastAsia="zh-CN"/>
        </w:rPr>
        <w:t>1、项目立项</w:t>
      </w:r>
      <w:bookmarkEnd w:id="25"/>
      <w:r>
        <w:rPr>
          <w:rFonts w:hint="eastAsia" w:ascii="仿宋" w:hAnsi="仿宋" w:eastAsia="仿宋" w:cs="仿宋"/>
          <w:color w:val="auto"/>
          <w:sz w:val="32"/>
          <w:szCs w:val="32"/>
          <w:lang w:val="en-US" w:eastAsia="zh-CN"/>
        </w:rPr>
        <w:t>分析</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highlight w:val="none"/>
        </w:rPr>
      </w:pPr>
      <w:bookmarkStart w:id="26" w:name="_Toc25035"/>
      <w:r>
        <w:rPr>
          <w:rFonts w:hint="eastAsia" w:ascii="仿宋" w:hAnsi="仿宋" w:eastAsia="仿宋" w:cs="仿宋"/>
          <w:color w:val="auto"/>
          <w:spacing w:val="0"/>
          <w:kern w:val="2"/>
          <w:sz w:val="32"/>
          <w:szCs w:val="32"/>
          <w:lang w:val="en-US" w:eastAsia="zh-CN" w:bidi="ar-SA"/>
        </w:rPr>
        <w:t>该项目依据</w:t>
      </w:r>
      <w:r>
        <w:rPr>
          <w:rFonts w:hint="eastAsia" w:ascii="仿宋" w:hAnsi="仿宋" w:eastAsia="仿宋" w:cs="仿宋"/>
          <w:sz w:val="32"/>
          <w:szCs w:val="32"/>
          <w:lang w:val="en-US" w:eastAsia="zh-CN"/>
        </w:rPr>
        <w:t>《河北省人民政府办公厅转发省教育厅省财政厅省人力资源和社会保障厅关于为农村原民办代课教师发放教龄补助实施方案的通知》（冀政办函〔2012〕37号）、</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无极县人民政府办公室转发石家庄市人民政府办公厅转发市教育局市财政局市人力资源和社会保障局关于为农村原民办代课教师发放教龄补助工作实施方案的通知</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（无政办函〔2012〕30号）等</w:t>
      </w:r>
      <w:r>
        <w:rPr>
          <w:rFonts w:hint="eastAsia" w:ascii="仿宋" w:hAnsi="仿宋" w:eastAsia="仿宋" w:cs="仿宋"/>
          <w:color w:val="auto"/>
          <w:spacing w:val="0"/>
          <w:kern w:val="2"/>
          <w:sz w:val="32"/>
          <w:szCs w:val="32"/>
          <w:highlight w:val="none"/>
          <w:lang w:val="en-US" w:eastAsia="zh-CN" w:bidi="ar-SA"/>
        </w:rPr>
        <w:t>文件要求进行立项</w:t>
      </w:r>
      <w:r>
        <w:rPr>
          <w:rFonts w:hint="eastAsia" w:ascii="仿宋" w:hAnsi="仿宋" w:eastAsia="仿宋" w:cs="仿宋"/>
          <w:sz w:val="32"/>
          <w:szCs w:val="32"/>
          <w:highlight w:val="none"/>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pacing w:val="0"/>
          <w:kern w:val="2"/>
          <w:sz w:val="32"/>
          <w:szCs w:val="32"/>
          <w:lang w:val="en-US" w:eastAsia="zh-CN" w:bidi="ar-SA"/>
        </w:rPr>
        <w:t>评价认为，该项目立项依据充分，符合法律法规和相关政策，项目申请、设立过程符合相关规定。</w:t>
      </w:r>
      <w:bookmarkEnd w:id="26"/>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color w:val="auto"/>
          <w:spacing w:val="0"/>
          <w:kern w:val="2"/>
          <w:sz w:val="32"/>
          <w:szCs w:val="32"/>
          <w:highlight w:val="none"/>
          <w:lang w:val="en-US" w:eastAsia="zh-CN" w:bidi="ar-SA"/>
        </w:rPr>
        <w:t>2、绩效目标分析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无极县教育</w:t>
      </w:r>
      <w:r>
        <w:rPr>
          <w:rFonts w:hint="eastAsia" w:ascii="仿宋" w:hAnsi="仿宋" w:eastAsia="仿宋" w:cs="仿宋"/>
          <w:bCs/>
          <w:sz w:val="32"/>
          <w:szCs w:val="32"/>
        </w:rPr>
        <w:t>局根据项目实际情况设定了项目整体绩效目标，并填报了绩效目标申报表。</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bCs/>
          <w:sz w:val="32"/>
          <w:szCs w:val="32"/>
        </w:rPr>
        <w:t>评价认为，该项目绩效目标设置合理</w:t>
      </w:r>
      <w:r>
        <w:rPr>
          <w:rFonts w:hint="eastAsia" w:ascii="仿宋" w:hAnsi="仿宋" w:eastAsia="仿宋" w:cs="仿宋"/>
          <w:bCs/>
          <w:sz w:val="32"/>
          <w:szCs w:val="32"/>
          <w:lang w:eastAsia="zh-CN"/>
        </w:rPr>
        <w:t>性一般</w:t>
      </w:r>
      <w:r>
        <w:rPr>
          <w:rFonts w:hint="eastAsia" w:ascii="仿宋" w:hAnsi="仿宋" w:eastAsia="仿宋" w:cs="仿宋"/>
          <w:bCs/>
          <w:sz w:val="32"/>
          <w:szCs w:val="32"/>
        </w:rPr>
        <w:t>，</w:t>
      </w:r>
      <w:r>
        <w:rPr>
          <w:rFonts w:hint="eastAsia" w:ascii="仿宋" w:hAnsi="仿宋" w:eastAsia="仿宋" w:cs="仿宋"/>
          <w:bCs/>
          <w:sz w:val="32"/>
          <w:szCs w:val="32"/>
          <w:lang w:eastAsia="zh-CN"/>
        </w:rPr>
        <w:t>绩效指标设置细化完整度较差，需</w:t>
      </w:r>
      <w:r>
        <w:rPr>
          <w:rFonts w:hint="eastAsia" w:ascii="仿宋" w:hAnsi="仿宋" w:eastAsia="仿宋" w:cs="仿宋"/>
          <w:bCs/>
          <w:sz w:val="32"/>
          <w:szCs w:val="32"/>
        </w:rPr>
        <w:t>进一步加强项目绩效目标管理，结合项目实施情况内容，科学合理的设定绩效目标且进一步细化绩效指标，强化指标与项目内容和资金预算的匹配度及可考量性。</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color w:val="auto"/>
          <w:spacing w:val="0"/>
          <w:kern w:val="2"/>
          <w:sz w:val="32"/>
          <w:szCs w:val="32"/>
          <w:highlight w:val="none"/>
          <w:lang w:val="en-US" w:eastAsia="zh-CN" w:bidi="ar-SA"/>
        </w:rPr>
        <w:t>3、</w:t>
      </w:r>
      <w:r>
        <w:rPr>
          <w:rFonts w:hint="eastAsia" w:ascii="仿宋" w:hAnsi="仿宋" w:eastAsia="仿宋" w:cs="仿宋"/>
          <w:sz w:val="32"/>
          <w:szCs w:val="32"/>
        </w:rPr>
        <w:t>资金投入分析</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bookmarkStart w:id="27" w:name="_Toc29993"/>
      <w:bookmarkStart w:id="28" w:name="_Toc20196"/>
      <w:r>
        <w:rPr>
          <w:rFonts w:hint="eastAsia" w:ascii="仿宋" w:hAnsi="仿宋" w:eastAsia="仿宋" w:cs="仿宋"/>
          <w:sz w:val="32"/>
          <w:szCs w:val="32"/>
        </w:rPr>
        <w:t>项目</w:t>
      </w:r>
      <w:r>
        <w:rPr>
          <w:rFonts w:hint="eastAsia" w:ascii="仿宋" w:hAnsi="仿宋" w:eastAsia="仿宋" w:cs="仿宋"/>
          <w:sz w:val="32"/>
          <w:szCs w:val="32"/>
          <w:lang w:eastAsia="zh-CN"/>
        </w:rPr>
        <w:t>资金</w:t>
      </w:r>
      <w:r>
        <w:rPr>
          <w:rFonts w:hint="eastAsia" w:ascii="仿宋" w:hAnsi="仿宋" w:eastAsia="仿宋" w:cs="仿宋"/>
          <w:sz w:val="32"/>
          <w:szCs w:val="32"/>
        </w:rPr>
        <w:t>由</w:t>
      </w:r>
      <w:r>
        <w:rPr>
          <w:rFonts w:hint="eastAsia" w:ascii="仿宋" w:hAnsi="仿宋" w:eastAsia="仿宋" w:cs="仿宋"/>
          <w:sz w:val="32"/>
          <w:szCs w:val="32"/>
          <w:lang w:eastAsia="zh-CN"/>
        </w:rPr>
        <w:t>河北省财</w:t>
      </w:r>
      <w:r>
        <w:rPr>
          <w:rFonts w:hint="eastAsia" w:ascii="仿宋" w:hAnsi="仿宋" w:eastAsia="仿宋" w:cs="仿宋"/>
          <w:sz w:val="32"/>
          <w:szCs w:val="32"/>
          <w:highlight w:val="none"/>
          <w:lang w:eastAsia="zh-CN"/>
        </w:rPr>
        <w:t>政资金和无极县财政资金共同组成，其中省级财政资金</w:t>
      </w:r>
      <w:r>
        <w:rPr>
          <w:rFonts w:hint="eastAsia" w:ascii="仿宋" w:hAnsi="仿宋" w:eastAsia="仿宋" w:cs="仿宋"/>
          <w:sz w:val="32"/>
          <w:szCs w:val="32"/>
          <w:highlight w:val="none"/>
          <w:lang w:val="en-US" w:eastAsia="zh-CN"/>
        </w:rPr>
        <w:t>243.00万元，县级财政资金</w:t>
      </w:r>
      <w:r>
        <w:rPr>
          <w:rFonts w:hint="eastAsia" w:ascii="仿宋" w:hAnsi="仿宋" w:eastAsia="仿宋" w:cs="仿宋"/>
          <w:color w:val="auto"/>
          <w:sz w:val="32"/>
          <w:szCs w:val="28"/>
          <w:highlight w:val="none"/>
          <w:lang w:val="en-US" w:eastAsia="zh-CN"/>
        </w:rPr>
        <w:t>395.6146万元。</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sz w:val="32"/>
          <w:szCs w:val="32"/>
          <w:highlight w:val="none"/>
          <w:lang w:val="en-US" w:eastAsia="zh-CN"/>
        </w:rPr>
        <w:t>评价认为，该</w:t>
      </w:r>
      <w:r>
        <w:rPr>
          <w:rFonts w:hint="eastAsia" w:ascii="仿宋" w:hAnsi="仿宋" w:eastAsia="仿宋" w:cs="仿宋"/>
          <w:sz w:val="32"/>
          <w:szCs w:val="32"/>
          <w:highlight w:val="none"/>
        </w:rPr>
        <w:t>项目符合</w:t>
      </w:r>
      <w:r>
        <w:rPr>
          <w:rFonts w:hint="eastAsia" w:ascii="仿宋" w:hAnsi="仿宋" w:eastAsia="仿宋" w:cs="仿宋"/>
          <w:sz w:val="32"/>
          <w:szCs w:val="32"/>
          <w:highlight w:val="none"/>
          <w:lang w:eastAsia="zh-CN"/>
        </w:rPr>
        <w:t>河北省和无极县</w:t>
      </w:r>
      <w:r>
        <w:rPr>
          <w:rFonts w:hint="eastAsia" w:ascii="仿宋" w:hAnsi="仿宋" w:eastAsia="仿宋" w:cs="仿宋"/>
          <w:sz w:val="32"/>
          <w:szCs w:val="32"/>
          <w:highlight w:val="none"/>
        </w:rPr>
        <w:t>相关</w:t>
      </w:r>
      <w:r>
        <w:rPr>
          <w:rFonts w:hint="eastAsia" w:ascii="仿宋" w:hAnsi="仿宋" w:eastAsia="仿宋" w:cs="仿宋"/>
          <w:sz w:val="32"/>
          <w:szCs w:val="32"/>
          <w:highlight w:val="none"/>
          <w:lang w:eastAsia="zh-CN"/>
        </w:rPr>
        <w:t>政策</w:t>
      </w:r>
      <w:r>
        <w:rPr>
          <w:rFonts w:hint="eastAsia" w:ascii="仿宋" w:hAnsi="仿宋" w:eastAsia="仿宋" w:cs="仿宋"/>
          <w:sz w:val="32"/>
          <w:szCs w:val="32"/>
          <w:highlight w:val="none"/>
        </w:rPr>
        <w:t>标准，资金额度与年度目标相适应，</w:t>
      </w:r>
      <w:r>
        <w:rPr>
          <w:rFonts w:hint="eastAsia" w:ascii="仿宋" w:hAnsi="仿宋" w:eastAsia="仿宋" w:cs="仿宋"/>
          <w:sz w:val="32"/>
          <w:szCs w:val="32"/>
          <w:highlight w:val="none"/>
          <w:lang w:eastAsia="zh-CN"/>
        </w:rPr>
        <w:t>资金使用</w:t>
      </w:r>
      <w:r>
        <w:rPr>
          <w:rFonts w:hint="eastAsia" w:ascii="仿宋" w:hAnsi="仿宋" w:eastAsia="仿宋" w:cs="仿宋"/>
          <w:sz w:val="32"/>
          <w:szCs w:val="32"/>
          <w:highlight w:val="none"/>
        </w:rPr>
        <w:t>较科学、合理。</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29" w:name="_Toc24492"/>
      <w:r>
        <w:rPr>
          <w:rFonts w:hint="eastAsia" w:ascii="仿宋" w:hAnsi="仿宋" w:eastAsia="仿宋" w:cs="仿宋"/>
          <w:color w:val="auto"/>
          <w:sz w:val="32"/>
          <w:szCs w:val="32"/>
          <w:lang w:val="en-US" w:eastAsia="zh-CN"/>
        </w:rPr>
        <w:t>（二）项目过程指标情况</w:t>
      </w:r>
      <w:bookmarkEnd w:id="27"/>
      <w:bookmarkEnd w:id="28"/>
      <w:bookmarkEnd w:id="29"/>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1、资金管理情况</w:t>
      </w:r>
    </w:p>
    <w:p>
      <w:pPr>
        <w:pStyle w:val="22"/>
        <w:keepNext w:val="0"/>
        <w:keepLines w:val="0"/>
        <w:pageBreakBefore w:val="0"/>
        <w:widowControl w:val="0"/>
        <w:kinsoku/>
        <w:wordWrap/>
        <w:overflowPunct/>
        <w:topLinePunct w:val="0"/>
        <w:autoSpaceDE/>
        <w:autoSpaceDN/>
        <w:bidi w:val="0"/>
        <w:adjustRightInd/>
        <w:snapToGrid/>
        <w:spacing w:line="240" w:lineRule="auto"/>
        <w:ind w:firstLine="640"/>
        <w:contextualSpacing/>
        <w:textAlignment w:val="auto"/>
        <w:rPr>
          <w:rFonts w:hint="eastAsia" w:ascii="仿宋" w:hAnsi="仿宋" w:eastAsia="仿宋" w:cs="仿宋"/>
          <w:color w:val="auto"/>
          <w:sz w:val="32"/>
          <w:szCs w:val="32"/>
        </w:rPr>
      </w:pPr>
      <w:r>
        <w:rPr>
          <w:rFonts w:hint="eastAsia" w:ascii="仿宋" w:hAnsi="仿宋" w:eastAsia="仿宋" w:cs="仿宋"/>
          <w:sz w:val="32"/>
          <w:szCs w:val="32"/>
          <w:lang w:eastAsia="zh-CN"/>
        </w:rPr>
        <w:t>原民办代课教师教龄补助</w:t>
      </w:r>
      <w:r>
        <w:rPr>
          <w:rFonts w:hint="eastAsia" w:ascii="仿宋" w:hAnsi="仿宋" w:eastAsia="仿宋" w:cs="仿宋"/>
          <w:color w:val="auto"/>
          <w:sz w:val="32"/>
          <w:szCs w:val="32"/>
        </w:rPr>
        <w:t>项目</w:t>
      </w:r>
      <w:r>
        <w:rPr>
          <w:rFonts w:hint="eastAsia" w:ascii="仿宋" w:hAnsi="仿宋" w:eastAsia="仿宋" w:cs="仿宋"/>
          <w:color w:val="auto"/>
          <w:sz w:val="32"/>
          <w:szCs w:val="32"/>
          <w:lang w:eastAsia="zh-CN"/>
        </w:rPr>
        <w:t>共申请</w:t>
      </w:r>
      <w:r>
        <w:rPr>
          <w:rFonts w:hint="eastAsia" w:ascii="仿宋" w:hAnsi="仿宋" w:eastAsia="仿宋" w:cs="仿宋"/>
          <w:color w:val="auto"/>
          <w:sz w:val="32"/>
          <w:szCs w:val="32"/>
        </w:rPr>
        <w:t>财政资金</w:t>
      </w:r>
      <w:r>
        <w:rPr>
          <w:rFonts w:hint="eastAsia" w:ascii="仿宋" w:hAnsi="仿宋" w:eastAsia="仿宋" w:cs="仿宋"/>
          <w:color w:val="auto"/>
          <w:sz w:val="32"/>
          <w:szCs w:val="32"/>
          <w:lang w:val="en-US" w:eastAsia="zh-CN"/>
        </w:rPr>
        <w:t>638.6146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根据</w:t>
      </w:r>
      <w:r>
        <w:rPr>
          <w:rFonts w:hint="eastAsia" w:ascii="仿宋" w:hAnsi="仿宋" w:eastAsia="仿宋" w:cs="仿宋"/>
          <w:color w:val="auto"/>
          <w:sz w:val="32"/>
          <w:szCs w:val="32"/>
        </w:rPr>
        <w:t>河北省财政厅、河北省教育厅关于提前下达2020年省级教师队伍建设专项资金（原民办代课教师教龄补助）预算的通知（冀财教〔2019〕120号）</w:t>
      </w:r>
      <w:r>
        <w:rPr>
          <w:rFonts w:hint="eastAsia" w:ascii="仿宋" w:hAnsi="仿宋" w:eastAsia="仿宋" w:cs="仿宋"/>
          <w:color w:val="auto"/>
          <w:sz w:val="32"/>
          <w:szCs w:val="32"/>
          <w:lang w:eastAsia="zh-CN"/>
        </w:rPr>
        <w:t>相关要求，河北省财政资金</w:t>
      </w:r>
      <w:r>
        <w:rPr>
          <w:rFonts w:hint="eastAsia" w:ascii="仿宋" w:hAnsi="仿宋" w:eastAsia="仿宋" w:cs="仿宋"/>
          <w:color w:val="auto"/>
          <w:sz w:val="32"/>
          <w:szCs w:val="32"/>
        </w:rPr>
        <w:t>2020年初已</w:t>
      </w:r>
      <w:r>
        <w:rPr>
          <w:rFonts w:hint="eastAsia" w:ascii="仿宋" w:hAnsi="仿宋" w:eastAsia="仿宋" w:cs="仿宋"/>
          <w:color w:val="auto"/>
          <w:sz w:val="32"/>
          <w:szCs w:val="32"/>
          <w:lang w:eastAsia="zh-CN"/>
        </w:rPr>
        <w:t>经</w:t>
      </w:r>
      <w:r>
        <w:rPr>
          <w:rFonts w:hint="eastAsia" w:ascii="仿宋" w:hAnsi="仿宋" w:eastAsia="仿宋" w:cs="仿宋"/>
          <w:color w:val="auto"/>
          <w:sz w:val="32"/>
          <w:szCs w:val="32"/>
        </w:rPr>
        <w:t>到位，</w:t>
      </w:r>
      <w:r>
        <w:rPr>
          <w:rFonts w:hint="eastAsia" w:ascii="仿宋" w:hAnsi="仿宋" w:eastAsia="仿宋" w:cs="仿宋"/>
          <w:color w:val="auto"/>
          <w:sz w:val="32"/>
          <w:szCs w:val="32"/>
          <w:lang w:eastAsia="zh-CN"/>
        </w:rPr>
        <w:t>无极县教育局严格按照财务管理制度，规范使用资金，每月补助资金的拨付有完整的审批程序和手续。</w:t>
      </w:r>
      <w:r>
        <w:rPr>
          <w:rFonts w:hint="eastAsia" w:ascii="仿宋" w:hAnsi="仿宋" w:eastAsia="仿宋" w:cs="仿宋"/>
          <w:color w:val="auto"/>
          <w:sz w:val="32"/>
          <w:szCs w:val="32"/>
        </w:rPr>
        <w:t>截至</w:t>
      </w:r>
      <w:r>
        <w:rPr>
          <w:rFonts w:hint="eastAsia" w:ascii="仿宋" w:hAnsi="仿宋" w:eastAsia="仿宋" w:cs="仿宋"/>
          <w:color w:val="auto"/>
          <w:sz w:val="32"/>
          <w:szCs w:val="32"/>
          <w:lang w:val="en-US" w:eastAsia="zh-CN"/>
        </w:rPr>
        <w:t>2020年12月底</w:t>
      </w:r>
      <w:r>
        <w:rPr>
          <w:rFonts w:hint="eastAsia" w:ascii="仿宋" w:hAnsi="仿宋" w:eastAsia="仿宋" w:cs="仿宋"/>
          <w:color w:val="auto"/>
          <w:sz w:val="32"/>
          <w:szCs w:val="32"/>
        </w:rPr>
        <w:t>，实际支出</w:t>
      </w:r>
      <w:r>
        <w:rPr>
          <w:rFonts w:hint="eastAsia" w:ascii="仿宋" w:hAnsi="仿宋" w:eastAsia="仿宋" w:cs="仿宋"/>
          <w:color w:val="auto"/>
          <w:sz w:val="32"/>
          <w:szCs w:val="32"/>
          <w:lang w:val="en-US" w:eastAsia="zh-CN"/>
        </w:rPr>
        <w:t>638.6146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资金支出进度为</w:t>
      </w:r>
      <w:r>
        <w:rPr>
          <w:rFonts w:hint="eastAsia" w:ascii="仿宋" w:hAnsi="仿宋" w:eastAsia="仿宋" w:cs="仿宋"/>
          <w:color w:val="auto"/>
          <w:sz w:val="32"/>
          <w:szCs w:val="32"/>
          <w:lang w:val="en-US" w:eastAsia="zh-CN"/>
        </w:rPr>
        <w:t>100.00</w:t>
      </w:r>
      <w:r>
        <w:rPr>
          <w:rFonts w:hint="eastAsia" w:ascii="仿宋" w:hAnsi="仿宋" w:eastAsia="仿宋" w:cs="仿宋"/>
          <w:color w:val="auto"/>
          <w:sz w:val="32"/>
          <w:szCs w:val="32"/>
        </w:rPr>
        <w:t>%。</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eastAsia="zh-CN"/>
        </w:rPr>
        <w:t>评价认为，</w:t>
      </w:r>
      <w:r>
        <w:rPr>
          <w:rFonts w:hint="eastAsia" w:ascii="仿宋" w:hAnsi="仿宋" w:eastAsia="仿宋" w:cs="仿宋"/>
          <w:bCs/>
          <w:sz w:val="32"/>
          <w:szCs w:val="32"/>
          <w:highlight w:val="none"/>
        </w:rPr>
        <w:t>该项目资金使用制度健全</w:t>
      </w:r>
      <w:r>
        <w:rPr>
          <w:rFonts w:hint="eastAsia" w:ascii="仿宋" w:hAnsi="仿宋" w:eastAsia="仿宋" w:cs="仿宋"/>
          <w:bCs/>
          <w:sz w:val="32"/>
          <w:szCs w:val="32"/>
          <w:highlight w:val="none"/>
          <w:lang w:eastAsia="zh-CN"/>
        </w:rPr>
        <w:t>，资金管理情况较好，</w:t>
      </w:r>
      <w:r>
        <w:rPr>
          <w:rFonts w:hint="eastAsia" w:ascii="仿宋" w:hAnsi="仿宋" w:eastAsia="仿宋" w:cs="仿宋"/>
          <w:bCs/>
          <w:sz w:val="32"/>
          <w:szCs w:val="32"/>
          <w:highlight w:val="none"/>
        </w:rPr>
        <w:t>不存在截留、挤占、挪用、虚列支出等情况。</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firstLine="640" w:firstLineChars="200"/>
        <w:jc w:val="both"/>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2、项目组织实施分析</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bCs/>
          <w:sz w:val="32"/>
          <w:szCs w:val="32"/>
          <w:lang w:eastAsia="zh-CN"/>
        </w:rPr>
      </w:pPr>
      <w:r>
        <w:rPr>
          <w:rFonts w:hint="eastAsia" w:ascii="仿宋" w:hAnsi="仿宋" w:eastAsia="仿宋" w:cs="仿宋"/>
          <w:color w:val="auto"/>
          <w:sz w:val="32"/>
          <w:szCs w:val="32"/>
          <w:highlight w:val="none"/>
          <w:lang w:val="en-US" w:eastAsia="zh-CN"/>
        </w:rPr>
        <w:t>无极县教育局</w:t>
      </w:r>
      <w:bookmarkStart w:id="30" w:name="_Toc480969074"/>
      <w:bookmarkStart w:id="31" w:name="_Toc14351489"/>
      <w:bookmarkStart w:id="32" w:name="_Toc19112427"/>
      <w:r>
        <w:rPr>
          <w:rFonts w:hint="eastAsia" w:ascii="仿宋" w:hAnsi="仿宋" w:eastAsia="仿宋" w:cs="仿宋"/>
          <w:color w:val="auto"/>
          <w:sz w:val="32"/>
          <w:szCs w:val="32"/>
          <w:highlight w:val="none"/>
          <w:lang w:val="en-US" w:eastAsia="zh-CN"/>
        </w:rPr>
        <w:t>严格按照《</w:t>
      </w:r>
      <w:r>
        <w:rPr>
          <w:rFonts w:hint="eastAsia" w:ascii="仿宋" w:hAnsi="仿宋" w:eastAsia="仿宋" w:cs="仿宋"/>
          <w:bCs/>
          <w:sz w:val="32"/>
          <w:szCs w:val="32"/>
        </w:rPr>
        <w:t>石家庄市教育局、石家庄市财政局、石家庄市人力资源和社会保障局转发河北省教育厅河北省财政厅河北省人力资源和社会保障厅关于做好为农村原民办代课教师发放教龄补助有关工作的通知</w:t>
      </w:r>
      <w:r>
        <w:rPr>
          <w:rFonts w:hint="eastAsia" w:ascii="仿宋" w:hAnsi="仿宋" w:eastAsia="仿宋" w:cs="仿宋"/>
          <w:color w:val="auto"/>
          <w:sz w:val="32"/>
          <w:szCs w:val="32"/>
          <w:highlight w:val="none"/>
          <w:lang w:val="en-US" w:eastAsia="zh-CN"/>
        </w:rPr>
        <w:t>》</w:t>
      </w:r>
      <w:r>
        <w:rPr>
          <w:rFonts w:hint="eastAsia" w:ascii="仿宋" w:hAnsi="仿宋" w:eastAsia="仿宋" w:cs="仿宋"/>
          <w:bCs/>
          <w:sz w:val="32"/>
          <w:szCs w:val="32"/>
        </w:rPr>
        <w:t>（石教〔2017〕20号）</w:t>
      </w:r>
      <w:r>
        <w:rPr>
          <w:rFonts w:hint="eastAsia" w:ascii="仿宋" w:hAnsi="仿宋" w:eastAsia="仿宋" w:cs="仿宋"/>
          <w:bCs/>
          <w:sz w:val="32"/>
          <w:szCs w:val="32"/>
          <w:lang w:eastAsia="zh-CN"/>
        </w:rPr>
        <w:t>文件及关于石家庄市农村原民办代课教师教龄补助工作实施方案执行。为有序开展工作，成立了发放工作领导小组，由局长任组长，加强指导，明确人员责任分工，各职能部门分别建立了部门职责、相关制度与工作方案，对项目资金实施“独立核算，专款专用”。</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bCs/>
          <w:sz w:val="32"/>
          <w:szCs w:val="32"/>
          <w:lang w:eastAsia="zh-CN"/>
        </w:rPr>
      </w:pPr>
      <w:r>
        <w:rPr>
          <w:rFonts w:hint="eastAsia" w:ascii="仿宋" w:hAnsi="仿宋" w:eastAsia="仿宋" w:cs="仿宋"/>
          <w:bCs/>
          <w:sz w:val="32"/>
          <w:szCs w:val="32"/>
          <w:lang w:eastAsia="zh-CN"/>
        </w:rPr>
        <w:t>无极县教育局为随时掌握领取民办教师教龄补助的人员情况，确保财政资金发放准确无漏洞，每年不定期组织工作人员对领取补助人员进行抽查认证工作，及时汇总新增及去世人员的名单和数量，但仍有人员去世后继续领取教龄补助的现象，无法保障财政资金的使用安全。</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bCs/>
          <w:sz w:val="32"/>
          <w:szCs w:val="32"/>
        </w:rPr>
      </w:pPr>
      <w:r>
        <w:rPr>
          <w:rFonts w:hint="eastAsia" w:ascii="仿宋" w:hAnsi="仿宋" w:eastAsia="仿宋" w:cs="仿宋"/>
          <w:bCs/>
          <w:sz w:val="32"/>
          <w:szCs w:val="32"/>
        </w:rPr>
        <w:t>评价认为，</w:t>
      </w:r>
      <w:r>
        <w:rPr>
          <w:rFonts w:hint="eastAsia" w:ascii="仿宋" w:hAnsi="仿宋" w:eastAsia="仿宋" w:cs="仿宋"/>
          <w:bCs/>
          <w:sz w:val="32"/>
          <w:szCs w:val="32"/>
          <w:lang w:eastAsia="zh-CN"/>
        </w:rPr>
        <w:t>该</w:t>
      </w:r>
      <w:r>
        <w:rPr>
          <w:rFonts w:hint="eastAsia" w:ascii="仿宋" w:hAnsi="仿宋" w:eastAsia="仿宋" w:cs="仿宋"/>
          <w:bCs/>
          <w:sz w:val="32"/>
          <w:szCs w:val="32"/>
        </w:rPr>
        <w:t>项目按照</w:t>
      </w:r>
      <w:r>
        <w:rPr>
          <w:rFonts w:hint="eastAsia" w:ascii="仿宋" w:hAnsi="仿宋" w:eastAsia="仿宋" w:cs="仿宋"/>
          <w:bCs/>
          <w:sz w:val="32"/>
          <w:szCs w:val="32"/>
          <w:lang w:eastAsia="zh-CN"/>
        </w:rPr>
        <w:t>相关</w:t>
      </w:r>
      <w:r>
        <w:rPr>
          <w:rFonts w:hint="eastAsia" w:ascii="仿宋" w:hAnsi="仿宋" w:eastAsia="仿宋" w:cs="仿宋"/>
          <w:bCs/>
          <w:sz w:val="32"/>
          <w:szCs w:val="32"/>
        </w:rPr>
        <w:t>政</w:t>
      </w:r>
      <w:r>
        <w:rPr>
          <w:rFonts w:hint="eastAsia" w:ascii="仿宋" w:hAnsi="仿宋" w:eastAsia="仿宋" w:cs="仿宋"/>
          <w:bCs/>
          <w:sz w:val="32"/>
          <w:szCs w:val="32"/>
          <w:lang w:eastAsia="zh-CN"/>
        </w:rPr>
        <w:t>策要求进行教师教龄补助的拨付工作</w:t>
      </w:r>
      <w:r>
        <w:rPr>
          <w:rFonts w:hint="eastAsia" w:ascii="仿宋" w:hAnsi="仿宋" w:eastAsia="仿宋" w:cs="仿宋"/>
          <w:bCs/>
          <w:sz w:val="32"/>
          <w:szCs w:val="32"/>
        </w:rPr>
        <w:t>，符合</w:t>
      </w:r>
      <w:r>
        <w:rPr>
          <w:rFonts w:hint="eastAsia" w:ascii="仿宋" w:hAnsi="仿宋" w:eastAsia="仿宋" w:cs="仿宋"/>
          <w:bCs/>
          <w:sz w:val="32"/>
          <w:szCs w:val="32"/>
          <w:lang w:eastAsia="zh-CN"/>
        </w:rPr>
        <w:t>财政资金支付</w:t>
      </w:r>
      <w:r>
        <w:rPr>
          <w:rFonts w:hint="eastAsia" w:ascii="仿宋" w:hAnsi="仿宋" w:eastAsia="仿宋" w:cs="仿宋"/>
          <w:bCs/>
          <w:sz w:val="32"/>
          <w:szCs w:val="32"/>
        </w:rPr>
        <w:t>的相关</w:t>
      </w:r>
      <w:bookmarkEnd w:id="30"/>
      <w:r>
        <w:rPr>
          <w:rFonts w:hint="eastAsia" w:ascii="仿宋" w:hAnsi="仿宋" w:eastAsia="仿宋" w:cs="仿宋"/>
          <w:bCs/>
          <w:sz w:val="32"/>
          <w:szCs w:val="32"/>
        </w:rPr>
        <w:t>要求</w:t>
      </w:r>
      <w:r>
        <w:rPr>
          <w:rFonts w:hint="eastAsia" w:ascii="仿宋" w:hAnsi="仿宋" w:eastAsia="仿宋" w:cs="仿宋"/>
          <w:bCs/>
          <w:sz w:val="32"/>
          <w:szCs w:val="32"/>
          <w:lang w:eastAsia="zh-CN"/>
        </w:rPr>
        <w:t>，但</w:t>
      </w:r>
      <w:r>
        <w:rPr>
          <w:rFonts w:hint="eastAsia" w:ascii="仿宋" w:hAnsi="仿宋" w:eastAsia="仿宋" w:cs="仿宋"/>
          <w:bCs/>
          <w:sz w:val="32"/>
          <w:szCs w:val="32"/>
        </w:rPr>
        <w:t>项目</w:t>
      </w:r>
      <w:r>
        <w:rPr>
          <w:rFonts w:hint="eastAsia" w:ascii="仿宋" w:hAnsi="仿宋" w:eastAsia="仿宋" w:cs="仿宋"/>
          <w:bCs/>
          <w:sz w:val="32"/>
          <w:szCs w:val="32"/>
          <w:lang w:eastAsia="zh-CN"/>
        </w:rPr>
        <w:t>实施过程中补助领取人员的认证监管力度不足，制度执行不到位，应进一步加强监管和执行力度，确保制度和相关要求落实到位</w:t>
      </w:r>
      <w:r>
        <w:rPr>
          <w:rFonts w:hint="eastAsia" w:ascii="仿宋" w:hAnsi="仿宋" w:eastAsia="仿宋" w:cs="仿宋"/>
          <w:bCs/>
          <w:sz w:val="32"/>
          <w:szCs w:val="32"/>
        </w:rPr>
        <w:t>。</w:t>
      </w:r>
      <w:bookmarkEnd w:id="31"/>
      <w:bookmarkEnd w:id="32"/>
      <w:bookmarkStart w:id="33" w:name="_Toc25301"/>
      <w:bookmarkStart w:id="34" w:name="_Toc17900"/>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bookmarkStart w:id="35" w:name="_Toc3914"/>
      <w:r>
        <w:rPr>
          <w:rFonts w:hint="eastAsia" w:ascii="仿宋" w:hAnsi="仿宋" w:eastAsia="仿宋" w:cs="仿宋"/>
          <w:color w:val="auto"/>
          <w:sz w:val="32"/>
          <w:szCs w:val="32"/>
          <w:highlight w:val="none"/>
          <w:lang w:val="en-US" w:eastAsia="zh-CN"/>
        </w:rPr>
        <w:t>（三）项目产出情况</w:t>
      </w:r>
      <w:bookmarkEnd w:id="33"/>
      <w:bookmarkEnd w:id="34"/>
      <w:bookmarkEnd w:id="35"/>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1、项目产出数量分析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sz w:val="32"/>
          <w:szCs w:val="32"/>
          <w:lang w:val="en-US" w:eastAsia="zh-CN"/>
        </w:rPr>
        <w:t>2020年度发放教师教龄补助</w:t>
      </w:r>
      <w:r>
        <w:rPr>
          <w:rFonts w:hint="eastAsia" w:ascii="仿宋" w:hAnsi="仿宋" w:eastAsia="仿宋" w:cs="仿宋"/>
          <w:sz w:val="32"/>
          <w:szCs w:val="32"/>
          <w:lang w:eastAsia="zh-CN"/>
        </w:rPr>
        <w:t>涉及</w:t>
      </w:r>
      <w:r>
        <w:rPr>
          <w:rFonts w:hint="eastAsia" w:ascii="仿宋" w:hAnsi="仿宋" w:eastAsia="仿宋" w:cs="仿宋"/>
          <w:sz w:val="32"/>
          <w:szCs w:val="32"/>
          <w:lang w:val="en-US" w:eastAsia="zh-CN"/>
        </w:rPr>
        <w:t>2000余人，发放人次达到24467人次</w:t>
      </w:r>
      <w:r>
        <w:rPr>
          <w:rFonts w:hint="eastAsia" w:ascii="仿宋" w:hAnsi="仿宋" w:eastAsia="仿宋" w:cs="仿宋"/>
          <w:color w:val="auto"/>
          <w:sz w:val="32"/>
          <w:szCs w:val="32"/>
          <w:highlight w:val="none"/>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评价认为，该项目虽已完成2020年度的整体绩效目标，但未对项目内容设置数量指标，在指标设定上不能体现预算、项目内容和指标“三位一体”的高度契合性。</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2、项目产出质量分析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无极县教育局按照本部门相关内控管理制度的要求，截止2020年底补助发放工作已全部完成，发放率达到100.00%。并在发放过程中不定期组织工作人员对领取教龄补助的教师进行认证，为防止出现人员漏报、瞒报，深入各村走访，保留现场图片、视频资料等，掌握真实的一手信息。该项目完成质量较好。</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评价认为，该项目产出质量较好，实现了年初设定的质量指标。</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3、项目产出时效分析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rPr>
      </w:pPr>
      <w:r>
        <w:rPr>
          <w:rFonts w:hint="eastAsia" w:ascii="仿宋" w:hAnsi="仿宋" w:eastAsia="仿宋" w:cs="仿宋"/>
          <w:sz w:val="32"/>
          <w:szCs w:val="32"/>
        </w:rPr>
        <w:t>该项目</w:t>
      </w:r>
      <w:r>
        <w:rPr>
          <w:rFonts w:hint="eastAsia" w:ascii="仿宋" w:hAnsi="仿宋" w:eastAsia="仿宋" w:cs="仿宋"/>
          <w:color w:val="auto"/>
          <w:spacing w:val="0"/>
          <w:kern w:val="2"/>
          <w:sz w:val="32"/>
          <w:szCs w:val="32"/>
          <w:lang w:val="en-US" w:eastAsia="zh-CN" w:bidi="ar-SA"/>
        </w:rPr>
        <w:t>严格按照政府有关政策，每月月底编制发放计划，发放上月补助，做到按时足额发放。</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bCs/>
          <w:sz w:val="32"/>
          <w:szCs w:val="32"/>
        </w:rPr>
        <w:t>评价认为，项目实施进度</w:t>
      </w:r>
      <w:r>
        <w:rPr>
          <w:rFonts w:hint="eastAsia" w:ascii="仿宋" w:hAnsi="仿宋" w:eastAsia="仿宋" w:cs="仿宋"/>
          <w:bCs/>
          <w:sz w:val="32"/>
          <w:szCs w:val="32"/>
          <w:lang w:eastAsia="zh-CN"/>
        </w:rPr>
        <w:t>完成情况较好，但未设置时效指标，</w:t>
      </w:r>
      <w:r>
        <w:rPr>
          <w:rFonts w:hint="eastAsia" w:ascii="仿宋" w:hAnsi="仿宋" w:eastAsia="仿宋" w:cs="仿宋"/>
          <w:color w:val="auto"/>
          <w:sz w:val="32"/>
          <w:szCs w:val="32"/>
          <w:highlight w:val="none"/>
          <w:lang w:val="en-US" w:eastAsia="zh-CN"/>
        </w:rPr>
        <w:t>绩效成果指标设定有待进一步提高</w:t>
      </w:r>
      <w:r>
        <w:rPr>
          <w:rFonts w:hint="eastAsia" w:ascii="仿宋" w:hAnsi="仿宋" w:eastAsia="仿宋" w:cs="仿宋"/>
          <w:color w:val="auto"/>
          <w:spacing w:val="0"/>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4、项目产出成本分析</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rPr>
      </w:pPr>
      <w:bookmarkStart w:id="36" w:name="_Toc19112432"/>
      <w:bookmarkStart w:id="37" w:name="_Toc14351494"/>
      <w:r>
        <w:rPr>
          <w:rFonts w:hint="eastAsia" w:ascii="仿宋" w:hAnsi="仿宋" w:eastAsia="仿宋" w:cs="仿宋"/>
          <w:color w:val="000000"/>
          <w:kern w:val="0"/>
          <w:sz w:val="32"/>
          <w:szCs w:val="32"/>
          <w:lang w:val="en-US" w:eastAsia="zh-CN"/>
        </w:rPr>
        <w:t>无极县教育局严</w:t>
      </w:r>
      <w:r>
        <w:rPr>
          <w:rFonts w:hint="eastAsia" w:ascii="仿宋" w:hAnsi="仿宋" w:eastAsia="仿宋" w:cs="仿宋"/>
          <w:color w:val="000000"/>
          <w:kern w:val="0"/>
          <w:sz w:val="32"/>
          <w:szCs w:val="32"/>
          <w:highlight w:val="none"/>
          <w:lang w:val="en-US" w:eastAsia="zh-CN"/>
        </w:rPr>
        <w:t>格按照</w:t>
      </w:r>
      <w:r>
        <w:rPr>
          <w:rFonts w:hint="eastAsia" w:ascii="仿宋" w:hAnsi="仿宋" w:eastAsia="仿宋" w:cs="仿宋"/>
          <w:color w:val="auto"/>
          <w:sz w:val="32"/>
          <w:szCs w:val="32"/>
          <w:highlight w:val="none"/>
          <w:lang w:val="en-US" w:eastAsia="zh-CN"/>
        </w:rPr>
        <w:t>《河北省财政厅、河北省教育厅关于提前下达2020年省级教师队伍建设专项资金（原民办代课教师教龄补助）预算的通知》（冀财教〔2019〕120号）文件</w:t>
      </w:r>
      <w:r>
        <w:rPr>
          <w:rFonts w:hint="eastAsia" w:ascii="仿宋" w:hAnsi="仿宋" w:eastAsia="仿宋" w:cs="仿宋"/>
          <w:color w:val="000000"/>
          <w:kern w:val="0"/>
          <w:sz w:val="32"/>
          <w:szCs w:val="32"/>
          <w:lang w:val="en-US" w:eastAsia="zh-CN"/>
        </w:rPr>
        <w:t>及</w:t>
      </w:r>
      <w:r>
        <w:rPr>
          <w:rFonts w:hint="eastAsia" w:ascii="仿宋" w:hAnsi="仿宋" w:eastAsia="仿宋" w:cs="仿宋"/>
          <w:color w:val="000000"/>
          <w:kern w:val="0"/>
          <w:sz w:val="32"/>
          <w:szCs w:val="32"/>
          <w:highlight w:val="none"/>
          <w:lang w:val="en-US" w:eastAsia="zh-CN"/>
        </w:rPr>
        <w:t>无极县民办教师教龄补助标准为</w:t>
      </w:r>
      <w:r>
        <w:rPr>
          <w:rFonts w:hint="eastAsia" w:ascii="仿宋" w:hAnsi="仿宋" w:eastAsia="仿宋" w:cs="仿宋"/>
          <w:color w:val="000000"/>
          <w:kern w:val="0"/>
          <w:sz w:val="32"/>
          <w:szCs w:val="32"/>
          <w:lang w:val="en-US" w:eastAsia="zh-CN"/>
        </w:rPr>
        <w:t>2020年度的原民办教师发放教龄补助。</w:t>
      </w:r>
    </w:p>
    <w:bookmarkEnd w:id="36"/>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rPr>
        <w:t>评价认为，项目成本控制措施</w:t>
      </w:r>
      <w:r>
        <w:rPr>
          <w:rFonts w:hint="eastAsia" w:ascii="仿宋" w:hAnsi="仿宋" w:eastAsia="仿宋" w:cs="仿宋"/>
          <w:sz w:val="32"/>
          <w:szCs w:val="32"/>
          <w:lang w:eastAsia="zh-CN"/>
        </w:rPr>
        <w:t>较好</w:t>
      </w:r>
      <w:r>
        <w:rPr>
          <w:rFonts w:hint="eastAsia" w:ascii="仿宋" w:hAnsi="仿宋" w:eastAsia="仿宋" w:cs="仿宋"/>
          <w:sz w:val="32"/>
          <w:szCs w:val="32"/>
        </w:rPr>
        <w:t>，一定程度上控制、节约了项目成本</w:t>
      </w:r>
      <w:bookmarkEnd w:id="37"/>
      <w:r>
        <w:rPr>
          <w:rFonts w:hint="eastAsia" w:ascii="仿宋" w:hAnsi="仿宋" w:eastAsia="仿宋" w:cs="仿宋"/>
          <w:sz w:val="32"/>
          <w:szCs w:val="32"/>
          <w:lang w:eastAsia="zh-CN"/>
        </w:rPr>
        <w:t>，</w:t>
      </w:r>
      <w:bookmarkStart w:id="38" w:name="_Toc14437"/>
      <w:bookmarkStart w:id="39" w:name="_Toc20108"/>
      <w:r>
        <w:rPr>
          <w:rFonts w:hint="eastAsia" w:ascii="仿宋" w:hAnsi="仿宋" w:eastAsia="仿宋" w:cs="仿宋"/>
          <w:bCs/>
          <w:sz w:val="32"/>
          <w:szCs w:val="32"/>
          <w:lang w:eastAsia="zh-CN"/>
        </w:rPr>
        <w:t>但未设置成本指标，</w:t>
      </w:r>
      <w:r>
        <w:rPr>
          <w:rFonts w:hint="eastAsia" w:ascii="仿宋" w:hAnsi="仿宋" w:eastAsia="仿宋" w:cs="仿宋"/>
          <w:color w:val="auto"/>
          <w:sz w:val="32"/>
          <w:szCs w:val="32"/>
          <w:highlight w:val="none"/>
          <w:lang w:val="en-US" w:eastAsia="zh-CN"/>
        </w:rPr>
        <w:t>绩效成果指标无法体现</w:t>
      </w:r>
      <w:r>
        <w:rPr>
          <w:rFonts w:hint="eastAsia" w:ascii="仿宋" w:hAnsi="仿宋" w:eastAsia="仿宋" w:cs="仿宋"/>
          <w:color w:val="auto"/>
          <w:spacing w:val="0"/>
          <w:kern w:val="2"/>
          <w:sz w:val="32"/>
          <w:szCs w:val="32"/>
          <w:lang w:val="en-US" w:eastAsia="zh-CN" w:bidi="ar-SA"/>
        </w:rPr>
        <w:t>。</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40" w:name="_Toc2948"/>
      <w:r>
        <w:rPr>
          <w:rFonts w:hint="eastAsia" w:ascii="仿宋" w:hAnsi="仿宋" w:eastAsia="仿宋" w:cs="仿宋"/>
          <w:color w:val="auto"/>
          <w:sz w:val="32"/>
          <w:szCs w:val="32"/>
          <w:lang w:val="en-US" w:eastAsia="zh-CN"/>
        </w:rPr>
        <w:t>（四）项目效益情况</w:t>
      </w:r>
      <w:bookmarkEnd w:id="38"/>
      <w:bookmarkEnd w:id="39"/>
      <w:bookmarkEnd w:id="40"/>
    </w:p>
    <w:p>
      <w:pPr>
        <w:pageBreakBefore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仿宋"/>
          <w:color w:val="auto"/>
          <w:sz w:val="32"/>
          <w:szCs w:val="32"/>
          <w:highlight w:val="none"/>
          <w:lang w:val="en-US" w:eastAsia="zh-CN"/>
        </w:rPr>
      </w:pPr>
      <w:bookmarkStart w:id="41" w:name="_Toc25318"/>
      <w:r>
        <w:rPr>
          <w:rFonts w:hint="eastAsia" w:ascii="仿宋" w:hAnsi="仿宋" w:eastAsia="仿宋" w:cs="仿宋"/>
          <w:color w:val="auto"/>
          <w:sz w:val="32"/>
          <w:szCs w:val="32"/>
          <w:highlight w:val="none"/>
          <w:lang w:val="en-US" w:eastAsia="zh-CN"/>
        </w:rPr>
        <w:t>1、项目实施的效益情况</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yellow"/>
          <w:lang w:val="en-US" w:eastAsia="zh-CN"/>
        </w:rPr>
      </w:pPr>
      <w:bookmarkStart w:id="42" w:name="_Toc14351504"/>
      <w:bookmarkStart w:id="43" w:name="_Toc19112456"/>
      <w:r>
        <w:rPr>
          <w:rFonts w:hint="eastAsia" w:ascii="仿宋" w:hAnsi="仿宋" w:eastAsia="仿宋" w:cs="仿宋"/>
          <w:sz w:val="32"/>
          <w:szCs w:val="32"/>
        </w:rPr>
        <w:t>该</w:t>
      </w:r>
      <w:bookmarkEnd w:id="42"/>
      <w:r>
        <w:rPr>
          <w:rFonts w:hint="eastAsia" w:ascii="仿宋" w:hAnsi="仿宋" w:eastAsia="仿宋" w:cs="仿宋"/>
          <w:sz w:val="32"/>
          <w:szCs w:val="32"/>
        </w:rPr>
        <w:t>项目</w:t>
      </w:r>
      <w:bookmarkEnd w:id="43"/>
      <w:r>
        <w:rPr>
          <w:rFonts w:hint="eastAsia" w:ascii="仿宋" w:hAnsi="仿宋" w:eastAsia="仿宋" w:cs="仿宋"/>
          <w:sz w:val="32"/>
          <w:szCs w:val="32"/>
          <w:lang w:eastAsia="zh-CN"/>
        </w:rPr>
        <w:t>的实施，妥善解决了农村原民办代课教师的养老问题，对维护社会稳定，构建和谐社会，保障和改善社会民生，深入贯彻落实科学发展观具有重要意义。</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bookmarkStart w:id="44" w:name="_Toc12658"/>
      <w:r>
        <w:rPr>
          <w:rFonts w:hint="eastAsia" w:ascii="仿宋" w:hAnsi="仿宋" w:eastAsia="仿宋" w:cs="仿宋"/>
          <w:b w:val="0"/>
          <w:bCs w:val="0"/>
          <w:color w:val="auto"/>
          <w:sz w:val="32"/>
          <w:szCs w:val="32"/>
          <w:lang w:val="en-US" w:eastAsia="zh-CN"/>
        </w:rPr>
        <w:t>2、服务对象满意度</w:t>
      </w:r>
      <w:bookmarkEnd w:id="41"/>
      <w:bookmarkEnd w:id="44"/>
    </w:p>
    <w:p>
      <w:pPr>
        <w:pageBreakBefore w:val="0"/>
        <w:numPr>
          <w:ilvl w:val="0"/>
          <w:numId w:val="0"/>
        </w:numPr>
        <w:kinsoku/>
        <w:wordWrap/>
        <w:overflowPunct/>
        <w:topLinePunct w:val="0"/>
        <w:autoSpaceDE/>
        <w:autoSpaceDN/>
        <w:bidi w:val="0"/>
        <w:adjustRightInd/>
        <w:snapToGrid/>
        <w:ind w:left="0" w:leftChars="0"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sz w:val="32"/>
          <w:szCs w:val="32"/>
        </w:rPr>
        <w:t>项目实施过程中，项目单位</w:t>
      </w:r>
      <w:r>
        <w:rPr>
          <w:rFonts w:hint="eastAsia" w:ascii="仿宋" w:hAnsi="仿宋" w:eastAsia="仿宋" w:cs="仿宋"/>
          <w:sz w:val="32"/>
          <w:szCs w:val="32"/>
          <w:lang w:eastAsia="zh-CN"/>
        </w:rPr>
        <w:t>虽然开展了对原民办代课教师</w:t>
      </w:r>
      <w:r>
        <w:rPr>
          <w:rFonts w:hint="eastAsia" w:ascii="仿宋" w:hAnsi="仿宋" w:eastAsia="仿宋" w:cs="仿宋"/>
          <w:sz w:val="32"/>
          <w:szCs w:val="32"/>
        </w:rPr>
        <w:t>满意度调查</w:t>
      </w:r>
      <w:r>
        <w:rPr>
          <w:rFonts w:hint="eastAsia" w:ascii="仿宋" w:hAnsi="仿宋" w:eastAsia="仿宋" w:cs="仿宋"/>
          <w:sz w:val="32"/>
          <w:szCs w:val="32"/>
          <w:lang w:eastAsia="zh-CN"/>
        </w:rPr>
        <w:t>的</w:t>
      </w:r>
      <w:r>
        <w:rPr>
          <w:rFonts w:hint="eastAsia" w:ascii="仿宋" w:hAnsi="仿宋" w:eastAsia="仿宋" w:cs="仿宋"/>
          <w:sz w:val="32"/>
          <w:szCs w:val="32"/>
        </w:rPr>
        <w:t>相关工作，</w:t>
      </w:r>
      <w:r>
        <w:rPr>
          <w:rFonts w:hint="eastAsia" w:ascii="仿宋" w:hAnsi="仿宋" w:eastAsia="仿宋" w:cs="仿宋"/>
          <w:sz w:val="32"/>
          <w:szCs w:val="32"/>
          <w:lang w:eastAsia="zh-CN"/>
        </w:rPr>
        <w:t>但</w:t>
      </w:r>
      <w:r>
        <w:rPr>
          <w:rFonts w:hint="eastAsia" w:ascii="仿宋" w:hAnsi="仿宋" w:eastAsia="仿宋" w:cs="仿宋"/>
          <w:sz w:val="32"/>
          <w:szCs w:val="32"/>
        </w:rPr>
        <w:t>缺少服务对象及时、有效的反馈，</w:t>
      </w:r>
      <w:r>
        <w:rPr>
          <w:rFonts w:hint="eastAsia" w:ascii="仿宋" w:hAnsi="仿宋" w:eastAsia="仿宋" w:cs="仿宋"/>
          <w:sz w:val="32"/>
          <w:szCs w:val="32"/>
          <w:lang w:eastAsia="zh-CN"/>
        </w:rPr>
        <w:t>未留存相关资料，</w:t>
      </w:r>
      <w:r>
        <w:rPr>
          <w:rFonts w:hint="eastAsia" w:ascii="仿宋" w:hAnsi="仿宋" w:eastAsia="仿宋" w:cs="仿宋"/>
          <w:sz w:val="32"/>
          <w:szCs w:val="32"/>
        </w:rPr>
        <w:t>不利于项目的后续改进，服务对象满意度相关工作有待进一步完善</w:t>
      </w:r>
      <w:r>
        <w:rPr>
          <w:rFonts w:hint="eastAsia" w:ascii="仿宋" w:hAnsi="仿宋" w:eastAsia="仿宋" w:cs="仿宋"/>
          <w:color w:val="auto"/>
          <w:sz w:val="32"/>
          <w:szCs w:val="32"/>
          <w:highlight w:val="none"/>
          <w:lang w:val="en-US" w:eastAsia="zh-CN"/>
        </w:rPr>
        <w:t>。</w:t>
      </w:r>
    </w:p>
    <w:p>
      <w:pPr>
        <w:pStyle w:val="2"/>
        <w:pageBreakBefore w:val="0"/>
        <w:kinsoku/>
        <w:wordWrap/>
        <w:overflowPunct/>
        <w:topLinePunct w:val="0"/>
        <w:autoSpaceDE/>
        <w:autoSpaceDN/>
        <w:bidi w:val="0"/>
        <w:adjustRightInd/>
        <w:snapToGrid/>
        <w:spacing w:line="360" w:lineRule="auto"/>
        <w:ind w:firstLine="643" w:firstLineChars="200"/>
        <w:jc w:val="both"/>
        <w:textAlignment w:val="auto"/>
        <w:rPr>
          <w:rFonts w:hint="eastAsia" w:ascii="仿宋" w:hAnsi="仿宋" w:eastAsia="仿宋" w:cs="仿宋"/>
          <w:b/>
          <w:bCs/>
          <w:color w:val="auto"/>
          <w:sz w:val="32"/>
          <w:szCs w:val="32"/>
          <w:lang w:val="en-US" w:eastAsia="zh-CN"/>
        </w:rPr>
      </w:pPr>
      <w:bookmarkStart w:id="45" w:name="_Toc19146"/>
      <w:r>
        <w:rPr>
          <w:rFonts w:hint="eastAsia" w:ascii="仿宋" w:hAnsi="仿宋" w:eastAsia="仿宋" w:cs="仿宋"/>
          <w:sz w:val="32"/>
          <w:szCs w:val="32"/>
          <w:lang w:eastAsia="zh-CN"/>
        </w:rPr>
        <w:t>五</w:t>
      </w:r>
      <w:r>
        <w:rPr>
          <w:rFonts w:hint="eastAsia" w:ascii="仿宋" w:hAnsi="仿宋" w:eastAsia="仿宋" w:cs="仿宋"/>
          <w:sz w:val="32"/>
          <w:szCs w:val="32"/>
        </w:rPr>
        <w:t>、主要经验及做法、存在的问题</w:t>
      </w:r>
      <w:bookmarkEnd w:id="45"/>
    </w:p>
    <w:p>
      <w:pPr>
        <w:pageBreakBefore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仿宋"/>
          <w:color w:val="auto"/>
          <w:sz w:val="32"/>
          <w:szCs w:val="32"/>
          <w:highlight w:val="none"/>
          <w:lang w:val="en-US" w:eastAsia="zh-CN"/>
        </w:rPr>
      </w:pPr>
      <w:bookmarkStart w:id="46" w:name="_Toc8428"/>
      <w:bookmarkStart w:id="47" w:name="_Toc20554"/>
      <w:r>
        <w:rPr>
          <w:rFonts w:hint="eastAsia" w:ascii="仿宋" w:hAnsi="仿宋" w:eastAsia="仿宋" w:cs="仿宋"/>
          <w:sz w:val="32"/>
          <w:szCs w:val="32"/>
        </w:rPr>
        <w:t>民办教师是特定历史上的一个特殊群体，他们为当时的教育事业做出了贡献。通过</w:t>
      </w:r>
      <w:r>
        <w:rPr>
          <w:rFonts w:hint="eastAsia" w:ascii="仿宋" w:hAnsi="仿宋" w:eastAsia="仿宋" w:cs="仿宋"/>
          <w:sz w:val="32"/>
          <w:szCs w:val="32"/>
          <w:lang w:eastAsia="zh-CN"/>
        </w:rPr>
        <w:t>该</w:t>
      </w:r>
      <w:r>
        <w:rPr>
          <w:rFonts w:hint="eastAsia" w:ascii="仿宋" w:hAnsi="仿宋" w:eastAsia="仿宋" w:cs="仿宋"/>
          <w:sz w:val="32"/>
          <w:szCs w:val="32"/>
        </w:rPr>
        <w:t>项目的实施，</w:t>
      </w:r>
      <w:r>
        <w:rPr>
          <w:rFonts w:hint="eastAsia" w:ascii="仿宋" w:hAnsi="仿宋" w:eastAsia="仿宋" w:cs="仿宋"/>
          <w:sz w:val="32"/>
          <w:szCs w:val="32"/>
          <w:lang w:eastAsia="zh-CN"/>
        </w:rPr>
        <w:t>解决了原民办教师的生活补助以及养老保险等问题，调动了教师从业者的积极性，推动了教育事业的全面发展及可持续影响</w:t>
      </w:r>
      <w:r>
        <w:rPr>
          <w:rFonts w:hint="eastAsia" w:ascii="仿宋" w:hAnsi="仿宋" w:eastAsia="仿宋" w:cs="仿宋"/>
          <w:color w:val="auto"/>
          <w:sz w:val="32"/>
          <w:szCs w:val="32"/>
          <w:highlight w:val="none"/>
          <w:lang w:val="en-US" w:eastAsia="zh-CN"/>
        </w:rPr>
        <w:t>。</w:t>
      </w:r>
      <w:r>
        <w:rPr>
          <w:rFonts w:hint="eastAsia" w:ascii="仿宋" w:hAnsi="仿宋" w:eastAsia="仿宋" w:cs="仿宋"/>
          <w:color w:val="000000"/>
          <w:kern w:val="0"/>
          <w:sz w:val="32"/>
          <w:szCs w:val="32"/>
        </w:rPr>
        <w:t>但项目执行过程中也存在一些问题：</w:t>
      </w:r>
    </w:p>
    <w:bookmarkEnd w:id="46"/>
    <w:bookmarkEnd w:id="47"/>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bookmarkStart w:id="48" w:name="_Toc30265"/>
      <w:bookmarkStart w:id="49" w:name="_Toc18003"/>
      <w:bookmarkStart w:id="50" w:name="_Toc12680"/>
      <w:r>
        <w:rPr>
          <w:rFonts w:hint="eastAsia" w:ascii="仿宋" w:hAnsi="仿宋" w:eastAsia="仿宋" w:cs="仿宋"/>
          <w:color w:val="auto"/>
          <w:sz w:val="32"/>
          <w:szCs w:val="32"/>
          <w:highlight w:val="none"/>
          <w:lang w:val="en-US" w:eastAsia="zh-CN"/>
        </w:rPr>
        <w:t>（一）</w:t>
      </w:r>
      <w:bookmarkEnd w:id="48"/>
      <w:bookmarkEnd w:id="49"/>
      <w:r>
        <w:rPr>
          <w:rFonts w:hint="eastAsia" w:ascii="仿宋" w:hAnsi="仿宋" w:eastAsia="仿宋" w:cs="仿宋"/>
          <w:color w:val="auto"/>
          <w:sz w:val="32"/>
          <w:szCs w:val="32"/>
          <w:highlight w:val="none"/>
          <w:lang w:val="en-US" w:eastAsia="zh-CN"/>
        </w:rPr>
        <w:t>项目决策</w:t>
      </w:r>
      <w:bookmarkEnd w:id="50"/>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bookmarkStart w:id="51" w:name="_Toc29862"/>
      <w:r>
        <w:rPr>
          <w:rFonts w:hint="eastAsia" w:ascii="仿宋" w:hAnsi="仿宋" w:eastAsia="仿宋" w:cs="仿宋"/>
          <w:color w:val="auto"/>
          <w:sz w:val="32"/>
          <w:szCs w:val="32"/>
          <w:highlight w:val="none"/>
          <w:lang w:val="en-US" w:eastAsia="zh-CN"/>
        </w:rPr>
        <w:t>项目单位在项目初期编制了</w:t>
      </w:r>
      <w:r>
        <w:rPr>
          <w:rFonts w:hint="eastAsia" w:ascii="仿宋" w:hAnsi="仿宋" w:eastAsia="仿宋" w:cs="仿宋"/>
          <w:color w:val="auto"/>
          <w:spacing w:val="0"/>
          <w:kern w:val="2"/>
          <w:sz w:val="32"/>
          <w:szCs w:val="32"/>
          <w:lang w:val="en-US" w:eastAsia="zh-CN" w:bidi="ar-SA"/>
        </w:rPr>
        <w:t>绩效目标</w:t>
      </w:r>
      <w:r>
        <w:rPr>
          <w:rFonts w:hint="eastAsia" w:ascii="仿宋" w:hAnsi="仿宋" w:eastAsia="仿宋" w:cs="仿宋"/>
          <w:color w:val="auto"/>
          <w:sz w:val="32"/>
          <w:szCs w:val="32"/>
          <w:highlight w:val="none"/>
          <w:lang w:val="en-US" w:eastAsia="zh-CN"/>
        </w:rPr>
        <w:t>，</w:t>
      </w:r>
      <w:bookmarkEnd w:id="51"/>
      <w:r>
        <w:rPr>
          <w:rFonts w:hint="eastAsia" w:ascii="仿宋" w:hAnsi="仿宋" w:eastAsia="仿宋" w:cs="仿宋"/>
          <w:color w:val="auto"/>
          <w:sz w:val="32"/>
          <w:szCs w:val="32"/>
          <w:highlight w:val="none"/>
          <w:lang w:val="en-US" w:eastAsia="zh-CN"/>
        </w:rPr>
        <w:t>但</w:t>
      </w:r>
      <w:r>
        <w:rPr>
          <w:rFonts w:hint="eastAsia" w:ascii="仿宋" w:hAnsi="仿宋" w:eastAsia="仿宋" w:cs="仿宋"/>
          <w:bCs/>
          <w:sz w:val="32"/>
          <w:szCs w:val="32"/>
        </w:rPr>
        <w:t>绩效目标设置合理明确</w:t>
      </w:r>
      <w:r>
        <w:rPr>
          <w:rFonts w:hint="eastAsia" w:ascii="仿宋" w:hAnsi="仿宋" w:eastAsia="仿宋" w:cs="仿宋"/>
          <w:bCs/>
          <w:sz w:val="32"/>
          <w:szCs w:val="32"/>
          <w:lang w:eastAsia="zh-CN"/>
        </w:rPr>
        <w:t>性一般</w:t>
      </w:r>
      <w:r>
        <w:rPr>
          <w:rFonts w:hint="eastAsia" w:ascii="仿宋" w:hAnsi="仿宋" w:eastAsia="仿宋" w:cs="仿宋"/>
          <w:bCs/>
          <w:sz w:val="32"/>
          <w:szCs w:val="32"/>
        </w:rPr>
        <w:t>，</w:t>
      </w:r>
      <w:r>
        <w:rPr>
          <w:rFonts w:hint="eastAsia" w:ascii="仿宋" w:hAnsi="仿宋" w:eastAsia="仿宋" w:cs="仿宋"/>
          <w:bCs/>
          <w:sz w:val="32"/>
          <w:szCs w:val="32"/>
          <w:lang w:eastAsia="zh-CN"/>
        </w:rPr>
        <w:t>绩效指标设置细化完整度较差，需</w:t>
      </w:r>
      <w:r>
        <w:rPr>
          <w:rFonts w:hint="eastAsia" w:ascii="仿宋" w:hAnsi="仿宋" w:eastAsia="仿宋" w:cs="仿宋"/>
          <w:bCs/>
          <w:sz w:val="32"/>
          <w:szCs w:val="32"/>
        </w:rPr>
        <w:t>进一步加强项目绩效目标管理，结合项目实施情况</w:t>
      </w:r>
      <w:r>
        <w:rPr>
          <w:rFonts w:hint="eastAsia" w:ascii="仿宋" w:hAnsi="仿宋" w:eastAsia="仿宋" w:cs="仿宋"/>
          <w:bCs/>
          <w:sz w:val="32"/>
          <w:szCs w:val="32"/>
          <w:lang w:eastAsia="zh-CN"/>
        </w:rPr>
        <w:t>和具体</w:t>
      </w:r>
      <w:r>
        <w:rPr>
          <w:rFonts w:hint="eastAsia" w:ascii="仿宋" w:hAnsi="仿宋" w:eastAsia="仿宋" w:cs="仿宋"/>
          <w:bCs/>
          <w:sz w:val="32"/>
          <w:szCs w:val="32"/>
        </w:rPr>
        <w:t>内容，科学合理的设定绩效目标且进一步细化绩效指标，强化指标与项目内容和资金预算的匹配度及可考量性。</w:t>
      </w:r>
    </w:p>
    <w:p>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640" w:firstLineChars="200"/>
        <w:jc w:val="both"/>
        <w:textAlignment w:val="auto"/>
        <w:outlineLvl w:val="1"/>
        <w:rPr>
          <w:rFonts w:hint="eastAsia" w:ascii="仿宋" w:hAnsi="仿宋" w:eastAsia="仿宋" w:cs="仿宋"/>
          <w:bCs/>
          <w:sz w:val="32"/>
          <w:szCs w:val="32"/>
          <w:lang w:val="en-US" w:eastAsia="zh-CN"/>
        </w:rPr>
      </w:pPr>
      <w:bookmarkStart w:id="52" w:name="_Toc3663"/>
      <w:r>
        <w:rPr>
          <w:rFonts w:hint="eastAsia" w:ascii="仿宋" w:hAnsi="仿宋" w:eastAsia="仿宋" w:cs="仿宋"/>
          <w:bCs/>
          <w:sz w:val="32"/>
          <w:szCs w:val="32"/>
          <w:lang w:val="en-US" w:eastAsia="zh-CN"/>
        </w:rPr>
        <w:t>项目过程</w:t>
      </w:r>
      <w:bookmarkEnd w:id="52"/>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无极县教育局对项目过程的管理控制力度不够，监管措施不严，不利于项目整体成本控制。</w:t>
      </w:r>
    </w:p>
    <w:p>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640" w:firstLineChars="200"/>
        <w:jc w:val="both"/>
        <w:textAlignment w:val="auto"/>
        <w:outlineLvl w:val="1"/>
        <w:rPr>
          <w:rFonts w:hint="eastAsia" w:ascii="仿宋" w:hAnsi="仿宋" w:eastAsia="仿宋" w:cs="仿宋"/>
          <w:bCs/>
          <w:sz w:val="32"/>
          <w:szCs w:val="32"/>
          <w:lang w:val="en-US" w:eastAsia="zh-CN"/>
        </w:rPr>
      </w:pPr>
      <w:bookmarkStart w:id="53" w:name="_Toc2279"/>
      <w:r>
        <w:rPr>
          <w:rFonts w:hint="eastAsia" w:ascii="仿宋" w:hAnsi="仿宋" w:eastAsia="仿宋" w:cs="仿宋"/>
          <w:bCs/>
          <w:sz w:val="32"/>
          <w:szCs w:val="32"/>
          <w:lang w:val="en-US" w:eastAsia="zh-CN"/>
        </w:rPr>
        <w:t>项目效益</w:t>
      </w:r>
      <w:bookmarkEnd w:id="53"/>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项目实施过程中，项目单位</w:t>
      </w:r>
      <w:r>
        <w:rPr>
          <w:rFonts w:hint="eastAsia" w:ascii="仿宋" w:hAnsi="仿宋" w:eastAsia="仿宋" w:cs="仿宋"/>
          <w:sz w:val="32"/>
          <w:szCs w:val="32"/>
          <w:lang w:eastAsia="zh-CN"/>
        </w:rPr>
        <w:t>虽然开展了对</w:t>
      </w:r>
      <w:r>
        <w:rPr>
          <w:rFonts w:hint="eastAsia" w:ascii="仿宋" w:hAnsi="仿宋" w:eastAsia="仿宋" w:cs="仿宋"/>
          <w:sz w:val="32"/>
          <w:szCs w:val="32"/>
        </w:rPr>
        <w:t>服务对象满意度调查</w:t>
      </w:r>
      <w:r>
        <w:rPr>
          <w:rFonts w:hint="eastAsia" w:ascii="仿宋" w:hAnsi="仿宋" w:eastAsia="仿宋" w:cs="仿宋"/>
          <w:sz w:val="32"/>
          <w:szCs w:val="32"/>
          <w:lang w:eastAsia="zh-CN"/>
        </w:rPr>
        <w:t>的</w:t>
      </w:r>
      <w:r>
        <w:rPr>
          <w:rFonts w:hint="eastAsia" w:ascii="仿宋" w:hAnsi="仿宋" w:eastAsia="仿宋" w:cs="仿宋"/>
          <w:sz w:val="32"/>
          <w:szCs w:val="32"/>
        </w:rPr>
        <w:t>相关工作，</w:t>
      </w:r>
      <w:r>
        <w:rPr>
          <w:rFonts w:hint="eastAsia" w:ascii="仿宋" w:hAnsi="仿宋" w:eastAsia="仿宋" w:cs="仿宋"/>
          <w:sz w:val="32"/>
          <w:szCs w:val="32"/>
          <w:lang w:eastAsia="zh-CN"/>
        </w:rPr>
        <w:t>但</w:t>
      </w:r>
      <w:r>
        <w:rPr>
          <w:rFonts w:hint="eastAsia" w:ascii="仿宋" w:hAnsi="仿宋" w:eastAsia="仿宋" w:cs="仿宋"/>
          <w:sz w:val="32"/>
          <w:szCs w:val="32"/>
        </w:rPr>
        <w:t>缺少服务对象及时、有效的反馈，</w:t>
      </w:r>
      <w:r>
        <w:rPr>
          <w:rFonts w:hint="eastAsia" w:ascii="仿宋" w:hAnsi="仿宋" w:eastAsia="仿宋" w:cs="仿宋"/>
          <w:sz w:val="32"/>
          <w:szCs w:val="32"/>
          <w:lang w:eastAsia="zh-CN"/>
        </w:rPr>
        <w:t>未留存相关资料，</w:t>
      </w:r>
      <w:r>
        <w:rPr>
          <w:rFonts w:hint="eastAsia" w:ascii="仿宋" w:hAnsi="仿宋" w:eastAsia="仿宋" w:cs="仿宋"/>
          <w:sz w:val="32"/>
          <w:szCs w:val="32"/>
        </w:rPr>
        <w:t>不利于项目的后续改进，服务对象满意度相关工作有待进一步完善</w:t>
      </w:r>
      <w:bookmarkStart w:id="54" w:name="_Toc22140"/>
      <w:bookmarkStart w:id="55" w:name="_Toc10421"/>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56" w:name="_Toc23171"/>
      <w:r>
        <w:rPr>
          <w:rFonts w:hint="eastAsia" w:ascii="仿宋" w:hAnsi="仿宋" w:eastAsia="仿宋" w:cs="仿宋"/>
          <w:b/>
          <w:bCs/>
          <w:color w:val="auto"/>
          <w:sz w:val="32"/>
          <w:szCs w:val="32"/>
          <w:lang w:val="en-US" w:eastAsia="zh-CN"/>
        </w:rPr>
        <w:t>六、有关建议</w:t>
      </w:r>
      <w:bookmarkEnd w:id="54"/>
      <w:bookmarkEnd w:id="55"/>
      <w:bookmarkEnd w:id="56"/>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kern w:val="2"/>
          <w:sz w:val="32"/>
          <w:szCs w:val="32"/>
          <w:lang w:val="en-US" w:eastAsia="zh-CN" w:bidi="ar-SA"/>
        </w:rPr>
      </w:pPr>
      <w:bookmarkStart w:id="57" w:name="_Toc1272"/>
      <w:r>
        <w:rPr>
          <w:rFonts w:hint="eastAsia" w:ascii="仿宋" w:hAnsi="仿宋" w:eastAsia="仿宋" w:cs="仿宋"/>
          <w:color w:val="auto"/>
          <w:kern w:val="2"/>
          <w:sz w:val="32"/>
          <w:szCs w:val="32"/>
          <w:lang w:val="en-US" w:eastAsia="zh-CN" w:bidi="ar-SA"/>
        </w:rPr>
        <w:t>（一）项目决策</w:t>
      </w:r>
      <w:bookmarkEnd w:id="57"/>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建议无极县教育局建立健全预算绩效管理制度，梳理预算绩效管理流程体系，细化工作流程，科学设定绩效目标和指标，将所有考核指标量化，根据项目具体实施内容进一步细化完善绩效指标的制定，提高设定质量。</w:t>
      </w:r>
    </w:p>
    <w:p>
      <w:pPr>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58" w:name="_Toc15723"/>
      <w:r>
        <w:rPr>
          <w:rFonts w:hint="eastAsia" w:ascii="仿宋" w:hAnsi="仿宋" w:eastAsia="仿宋" w:cs="仿宋"/>
          <w:color w:val="auto"/>
          <w:sz w:val="32"/>
          <w:szCs w:val="32"/>
          <w:lang w:val="en-US" w:eastAsia="zh-CN"/>
        </w:rPr>
        <w:t>项目过程</w:t>
      </w:r>
      <w:bookmarkEnd w:id="58"/>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建议项目单位按照财政资金的使用要求，加强资金监管，针对项目过程中发现的问题，明确资金监管措施，降低财政资金的使用风险。</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59" w:name="_Toc27530"/>
      <w:r>
        <w:rPr>
          <w:rFonts w:hint="eastAsia" w:ascii="仿宋" w:hAnsi="仿宋" w:eastAsia="仿宋" w:cs="仿宋"/>
          <w:color w:val="auto"/>
          <w:sz w:val="32"/>
          <w:szCs w:val="32"/>
          <w:lang w:val="en-US" w:eastAsia="zh-CN"/>
        </w:rPr>
        <w:t>（三）项目效益</w:t>
      </w:r>
      <w:bookmarkEnd w:id="59"/>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建议完善服务对象满意度相关工作，及时获取服务对象有效的反馈，通过汇总分析服务对象满意度结果，促进项目的改进与完善，提高财政资金使用效益。</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kern w:val="2"/>
          <w:sz w:val="32"/>
          <w:szCs w:val="32"/>
          <w:lang w:val="en-US" w:eastAsia="zh-CN" w:bidi="ar-SA"/>
        </w:rPr>
      </w:pPr>
      <w:bookmarkStart w:id="60" w:name="_Toc7671"/>
      <w:r>
        <w:rPr>
          <w:rFonts w:hint="eastAsia" w:ascii="仿宋" w:hAnsi="仿宋" w:eastAsia="仿宋" w:cs="仿宋"/>
          <w:b/>
          <w:bCs/>
          <w:color w:val="auto"/>
          <w:kern w:val="2"/>
          <w:sz w:val="32"/>
          <w:szCs w:val="32"/>
          <w:lang w:val="en-US" w:eastAsia="zh-CN" w:bidi="ar-SA"/>
        </w:rPr>
        <w:t>七、其他需要说明的问题</w:t>
      </w:r>
      <w:bookmarkEnd w:id="60"/>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bCs/>
          <w:sz w:val="32"/>
          <w:szCs w:val="32"/>
        </w:rPr>
        <w:t>无其他需要说明问题。</w:t>
      </w: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color w:val="auto"/>
          <w:sz w:val="32"/>
          <w:szCs w:val="32"/>
          <w:highlight w:val="none"/>
          <w:lang w:val="en-US" w:eastAsia="zh-CN"/>
        </w:rPr>
        <w:t>附件：</w:t>
      </w:r>
      <w:r>
        <w:rPr>
          <w:rFonts w:hint="eastAsia" w:ascii="仿宋" w:hAnsi="仿宋" w:eastAsia="仿宋" w:cs="仿宋"/>
          <w:b w:val="0"/>
          <w:bCs w:val="0"/>
          <w:color w:val="auto"/>
          <w:sz w:val="32"/>
          <w:szCs w:val="32"/>
          <w:highlight w:val="none"/>
          <w:lang w:val="en-US" w:eastAsia="zh-CN"/>
        </w:rPr>
        <w:t>项目绩效评价体系</w:t>
      </w: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eastAsia" w:ascii="仿宋" w:hAnsi="仿宋" w:eastAsia="仿宋" w:cs="仿宋"/>
          <w:b w:val="0"/>
          <w:bCs w:val="0"/>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jc w:val="both"/>
        <w:textAlignment w:val="auto"/>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附件：</w:t>
      </w:r>
    </w:p>
    <w:tbl>
      <w:tblPr>
        <w:tblStyle w:val="13"/>
        <w:tblW w:w="9176" w:type="dxa"/>
        <w:tblInd w:w="93" w:type="dxa"/>
        <w:shd w:val="clear" w:color="auto" w:fill="auto"/>
        <w:tblLayout w:type="fixed"/>
        <w:tblCellMar>
          <w:top w:w="0" w:type="dxa"/>
          <w:left w:w="108" w:type="dxa"/>
          <w:bottom w:w="0" w:type="dxa"/>
          <w:right w:w="108" w:type="dxa"/>
        </w:tblCellMar>
      </w:tblPr>
      <w:tblGrid>
        <w:gridCol w:w="737"/>
        <w:gridCol w:w="545"/>
        <w:gridCol w:w="886"/>
        <w:gridCol w:w="545"/>
        <w:gridCol w:w="1169"/>
        <w:gridCol w:w="578"/>
        <w:gridCol w:w="1884"/>
        <w:gridCol w:w="2131"/>
        <w:gridCol w:w="701"/>
      </w:tblGrid>
      <w:tr>
        <w:tblPrEx>
          <w:shd w:val="clear" w:color="auto" w:fill="auto"/>
          <w:tblCellMar>
            <w:top w:w="0" w:type="dxa"/>
            <w:left w:w="108" w:type="dxa"/>
            <w:bottom w:w="0" w:type="dxa"/>
            <w:right w:w="108" w:type="dxa"/>
          </w:tblCellMar>
        </w:tblPrEx>
        <w:trPr>
          <w:trHeight w:val="624" w:hRule="atLeast"/>
        </w:trPr>
        <w:tc>
          <w:tcPr>
            <w:tcW w:w="9176"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微软雅黑" w:hAnsi="微软雅黑" w:eastAsia="微软雅黑" w:cs="微软雅黑"/>
                <w:b/>
                <w:bCs/>
                <w:i w:val="0"/>
                <w:iCs w:val="0"/>
                <w:color w:val="000000"/>
                <w:kern w:val="0"/>
                <w:sz w:val="22"/>
                <w:szCs w:val="22"/>
                <w:u w:val="none"/>
                <w:lang w:val="en-US" w:eastAsia="zh-CN" w:bidi="ar"/>
              </w:rPr>
              <w:t>原民办代课教师教龄补助项目绩效评价指标体系</w:t>
            </w:r>
          </w:p>
        </w:tc>
      </w:tr>
      <w:tr>
        <w:tblPrEx>
          <w:shd w:val="clear" w:color="auto" w:fill="auto"/>
          <w:tblCellMar>
            <w:top w:w="0" w:type="dxa"/>
            <w:left w:w="108" w:type="dxa"/>
            <w:bottom w:w="0" w:type="dxa"/>
            <w:right w:w="108" w:type="dxa"/>
          </w:tblCellMar>
        </w:tblPrEx>
        <w:trPr>
          <w:trHeight w:val="644" w:hRule="atLeast"/>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一级指标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二级指标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三级指标</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指标解释</w:t>
            </w:r>
          </w:p>
        </w:tc>
        <w:tc>
          <w:tcPr>
            <w:tcW w:w="213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评价标准</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r>
      <w:tr>
        <w:tblPrEx>
          <w:shd w:val="clear" w:color="auto" w:fill="auto"/>
          <w:tblCellMar>
            <w:top w:w="0" w:type="dxa"/>
            <w:left w:w="108" w:type="dxa"/>
            <w:bottom w:w="0" w:type="dxa"/>
            <w:right w:w="108" w:type="dxa"/>
          </w:tblCellMar>
        </w:tblPrEx>
        <w:trPr>
          <w:trHeight w:val="1037" w:hRule="atLeast"/>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项目决策</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项目立项</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项目立项规范性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立项是否符合法律法规、相关政策、发展规划以及部门职责。</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立项依据充分得3分，比较充分得2分，一般充分得1分，不充分不得分。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shd w:val="clear" w:color="auto" w:fill="auto"/>
          <w:tblCellMar>
            <w:top w:w="0" w:type="dxa"/>
            <w:left w:w="108" w:type="dxa"/>
            <w:bottom w:w="0" w:type="dxa"/>
            <w:right w:w="108" w:type="dxa"/>
          </w:tblCellMar>
        </w:tblPrEx>
        <w:trPr>
          <w:trHeight w:val="1082"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绩效目标合理性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项目绩效目标是否依据充分，是否符合客观实际。</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绩效目标合理得3分，比较合理2分，一般合理得1分，不合理不得分。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r>
      <w:tr>
        <w:tblPrEx>
          <w:shd w:val="clear" w:color="auto" w:fill="auto"/>
          <w:tblCellMar>
            <w:top w:w="0" w:type="dxa"/>
            <w:left w:w="108" w:type="dxa"/>
            <w:bottom w:w="0" w:type="dxa"/>
            <w:right w:w="108" w:type="dxa"/>
          </w:tblCellMar>
        </w:tblPrEx>
        <w:trPr>
          <w:trHeight w:val="1052"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绩效指标明确性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设定的绩效指标是否清晰、细化、可衡量等。</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绩效指标明确得4分，比较明确得3分，一般明确得2分，不明确不得分。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r>
      <w:tr>
        <w:tblPrEx>
          <w:shd w:val="clear" w:color="auto" w:fill="auto"/>
          <w:tblCellMar>
            <w:top w:w="0" w:type="dxa"/>
            <w:left w:w="108" w:type="dxa"/>
            <w:bottom w:w="0" w:type="dxa"/>
            <w:right w:w="108" w:type="dxa"/>
          </w:tblCellMar>
        </w:tblPrEx>
        <w:trPr>
          <w:trHeight w:val="1765" w:hRule="atLeast"/>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过程指标</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资金管理</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12</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资金到位率</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实际到位资金与预算资金的比率，用以反映和考核资金落实情况对项目实施的总体保障程度。</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资金到位率90%—100%得4分，到位率70%—89%得2分，到位率50%—69%得1分，到位率不足50%不得分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shd w:val="clear" w:color="auto" w:fill="auto"/>
          <w:tblCellMar>
            <w:top w:w="0" w:type="dxa"/>
            <w:left w:w="108" w:type="dxa"/>
            <w:bottom w:w="0" w:type="dxa"/>
            <w:right w:w="108" w:type="dxa"/>
          </w:tblCellMar>
        </w:tblPrEx>
        <w:trPr>
          <w:trHeight w:val="1685"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预算执行率</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项目预算资金是否按照计划执行，用以反映和考核项目预算执行情况。</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在2020年底支出资金95%得4分，支出资金80%—94%得3分，支出资金70%—79%得2分，支出率不足50%不得分。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shd w:val="clear" w:color="auto" w:fill="auto"/>
          <w:tblCellMar>
            <w:top w:w="0" w:type="dxa"/>
            <w:left w:w="108" w:type="dxa"/>
            <w:bottom w:w="0" w:type="dxa"/>
            <w:right w:w="108" w:type="dxa"/>
          </w:tblCellMar>
        </w:tblPrEx>
        <w:trPr>
          <w:trHeight w:val="1578"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使用合规性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项目预算资金是否符合相关的财务管理制度规定，用以反映或考核项目资金的规范运行情况。</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资金支出符合财务制度得4分，不符合不得分。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tblCellMar>
            <w:top w:w="0" w:type="dxa"/>
            <w:left w:w="108" w:type="dxa"/>
            <w:bottom w:w="0" w:type="dxa"/>
            <w:right w:w="108" w:type="dxa"/>
          </w:tblCellMar>
        </w:tblPrEx>
        <w:trPr>
          <w:trHeight w:val="1578"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restart"/>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组织实施</w:t>
            </w:r>
          </w:p>
        </w:tc>
        <w:tc>
          <w:tcPr>
            <w:tcW w:w="545" w:type="dxa"/>
            <w:vMerge w:val="restart"/>
            <w:tcBorders>
              <w:top w:val="single" w:color="auto"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c>
          <w:tcPr>
            <w:tcW w:w="1169"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管理制度健全性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项目实施单位的财务和业务管理制度是否健全，财务和业务管理制度对项目顺利实施的保障情况</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资金制度健全且严格执行得4分；审计、督查检查过程中存在重大问题，视具体情况扣分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tblCellMar>
            <w:top w:w="0" w:type="dxa"/>
            <w:left w:w="108" w:type="dxa"/>
            <w:bottom w:w="0" w:type="dxa"/>
            <w:right w:w="108" w:type="dxa"/>
          </w:tblCellMar>
        </w:tblPrEx>
        <w:trPr>
          <w:trHeight w:val="1106"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vMerge w:val="continue"/>
            <w:tcBorders>
              <w:top w:val="single" w:color="auto" w:sz="4" w:space="0"/>
              <w:left w:val="single" w:color="auto" w:sz="4" w:space="0"/>
              <w:bottom w:val="single" w:color="auto"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auto" w:sz="4" w:space="0"/>
              <w:left w:val="single" w:color="000000" w:sz="4" w:space="0"/>
              <w:bottom w:val="single" w:color="auto"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9"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制度执行有效性</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项目实施是否符合相关管理规定，用以反映和考核相关管理制度有效执行。</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资金制度健全且有效得4分；审计、督查检查过程中存在重大问题，视具体情况扣分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shd w:val="clear" w:color="auto" w:fill="auto"/>
          <w:tblCellMar>
            <w:top w:w="0" w:type="dxa"/>
            <w:left w:w="108" w:type="dxa"/>
            <w:bottom w:w="0" w:type="dxa"/>
            <w:right w:w="108" w:type="dxa"/>
          </w:tblCellMar>
        </w:tblPrEx>
        <w:trPr>
          <w:trHeight w:val="1209" w:hRule="atLeast"/>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产出指标</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40</w:t>
            </w:r>
          </w:p>
        </w:tc>
        <w:tc>
          <w:tcPr>
            <w:tcW w:w="886"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数量指标</w:t>
            </w:r>
          </w:p>
        </w:tc>
        <w:tc>
          <w:tcPr>
            <w:tcW w:w="54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发放民办代课教师人数</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实际完成数量占计划完成数量的比率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指标得分=实际值/目标值*指标基准分</w:t>
            </w:r>
            <w:r>
              <w:rPr>
                <w:rFonts w:hint="eastAsia" w:ascii="微软雅黑" w:hAnsi="微软雅黑" w:eastAsia="微软雅黑" w:cs="微软雅黑"/>
                <w:i w:val="0"/>
                <w:iCs w:val="0"/>
                <w:color w:val="000000"/>
                <w:kern w:val="0"/>
                <w:sz w:val="18"/>
                <w:szCs w:val="18"/>
                <w:u w:val="none"/>
                <w:lang w:val="en-US" w:eastAsia="zh-CN" w:bidi="ar"/>
              </w:rPr>
              <w:br w:type="textWrapping"/>
            </w:r>
            <w:r>
              <w:rPr>
                <w:rFonts w:hint="eastAsia" w:ascii="微软雅黑" w:hAnsi="微软雅黑" w:eastAsia="微软雅黑" w:cs="微软雅黑"/>
                <w:i w:val="0"/>
                <w:iCs w:val="0"/>
                <w:color w:val="000000"/>
                <w:kern w:val="0"/>
                <w:sz w:val="18"/>
                <w:szCs w:val="18"/>
                <w:u w:val="none"/>
                <w:lang w:val="en-US" w:eastAsia="zh-CN" w:bidi="ar"/>
              </w:rPr>
              <w:t>期初未设置指标扣2分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shd w:val="clear" w:color="auto" w:fill="auto"/>
          <w:tblCellMar>
            <w:top w:w="0" w:type="dxa"/>
            <w:left w:w="108" w:type="dxa"/>
            <w:bottom w:w="0" w:type="dxa"/>
            <w:right w:w="108" w:type="dxa"/>
          </w:tblCellMar>
        </w:tblPrEx>
        <w:trPr>
          <w:trHeight w:val="1167"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质量指标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补助率</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实际补助的数量占总数量的比率</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指标得分=项目补助率*指标基准分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shd w:val="clear" w:color="auto" w:fill="auto"/>
          <w:tblCellMar>
            <w:top w:w="0" w:type="dxa"/>
            <w:left w:w="108" w:type="dxa"/>
            <w:bottom w:w="0" w:type="dxa"/>
            <w:right w:w="108" w:type="dxa"/>
          </w:tblCellMar>
        </w:tblPrEx>
        <w:trPr>
          <w:trHeight w:val="2103"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时效指标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截止2020年底完成该项目</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2020年全年</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完成及时行较高得10分，完成及时性比较及时得9分，完成及时性一般得8分，完成及时性较差不得分。期初未设置指标扣2分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shd w:val="clear" w:color="auto" w:fill="auto"/>
          <w:tblCellMar>
            <w:top w:w="0" w:type="dxa"/>
            <w:left w:w="108" w:type="dxa"/>
            <w:bottom w:w="0" w:type="dxa"/>
            <w:right w:w="108" w:type="dxa"/>
          </w:tblCellMar>
        </w:tblPrEx>
        <w:trPr>
          <w:trHeight w:val="1169"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成本指标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符合国家相关支出标准</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补助标准符合教龄补助执行标准</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指标得分=实际值/目标值</w:t>
            </w:r>
            <w:r>
              <w:rPr>
                <w:rFonts w:hint="eastAsia" w:ascii="微软雅黑" w:hAnsi="微软雅黑" w:eastAsia="微软雅黑" w:cs="微软雅黑"/>
                <w:i w:val="0"/>
                <w:iCs w:val="0"/>
                <w:color w:val="000000"/>
                <w:kern w:val="0"/>
                <w:sz w:val="18"/>
                <w:szCs w:val="18"/>
                <w:u w:val="none"/>
                <w:lang w:val="en-US" w:eastAsia="zh-CN" w:bidi="ar"/>
              </w:rPr>
              <w:br w:type="textWrapping"/>
            </w:r>
            <w:r>
              <w:rPr>
                <w:rFonts w:hint="eastAsia" w:ascii="微软雅黑" w:hAnsi="微软雅黑" w:eastAsia="微软雅黑" w:cs="微软雅黑"/>
                <w:i w:val="0"/>
                <w:iCs w:val="0"/>
                <w:color w:val="000000"/>
                <w:kern w:val="0"/>
                <w:sz w:val="18"/>
                <w:szCs w:val="18"/>
                <w:u w:val="none"/>
                <w:lang w:val="en-US" w:eastAsia="zh-CN" w:bidi="ar"/>
              </w:rPr>
              <w:t>期初未设置指标扣2分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shd w:val="clear" w:color="auto" w:fill="auto"/>
          <w:tblCellMar>
            <w:top w:w="0" w:type="dxa"/>
            <w:left w:w="108" w:type="dxa"/>
            <w:bottom w:w="0" w:type="dxa"/>
            <w:right w:w="108" w:type="dxa"/>
          </w:tblCellMar>
        </w:tblPrEx>
        <w:trPr>
          <w:trHeight w:val="2937" w:hRule="atLeast"/>
        </w:trPr>
        <w:tc>
          <w:tcPr>
            <w:tcW w:w="7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效益指标</w:t>
            </w:r>
          </w:p>
        </w:tc>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社会效益指标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改善了原民办代课教师的生活条件，维护了教育系统的稳定，对促进社会稳定和和谐有深远意义。</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基本达到预期目标</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目标实现较好得10分，目标实现好得9分，目标实现一般得8分，目标实现较差不得分。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9</w:t>
            </w:r>
          </w:p>
        </w:tc>
      </w:tr>
      <w:tr>
        <w:tblPrEx>
          <w:shd w:val="clear" w:color="auto" w:fill="auto"/>
          <w:tblCellMar>
            <w:top w:w="0" w:type="dxa"/>
            <w:left w:w="108" w:type="dxa"/>
            <w:bottom w:w="0" w:type="dxa"/>
            <w:right w:w="108" w:type="dxa"/>
          </w:tblCellMar>
        </w:tblPrEx>
        <w:trPr>
          <w:trHeight w:val="2285" w:hRule="atLeast"/>
        </w:trPr>
        <w:tc>
          <w:tcPr>
            <w:tcW w:w="7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可持续影响</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调动了教师从业者的积极性，推动了教育事业的全面发展及可持续影响</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基本达到预期目标</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目标实现较好得10分，目标实现好得9分，目标实现一般得8分，目标实现较差不得分。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9</w:t>
            </w:r>
          </w:p>
        </w:tc>
      </w:tr>
      <w:tr>
        <w:tblPrEx>
          <w:shd w:val="clear" w:color="auto" w:fill="auto"/>
          <w:tblCellMar>
            <w:top w:w="0" w:type="dxa"/>
            <w:left w:w="108" w:type="dxa"/>
            <w:bottom w:w="0" w:type="dxa"/>
            <w:right w:w="108" w:type="dxa"/>
          </w:tblCellMar>
        </w:tblPrEx>
        <w:trPr>
          <w:trHeight w:val="1880" w:hRule="atLeast"/>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满意度指标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服务对象满意度指标</w:t>
            </w:r>
          </w:p>
        </w:tc>
        <w:tc>
          <w:tcPr>
            <w:tcW w:w="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1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农村原民办代课教师满意度</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接受补助的农村原民办代课教师的满意程度</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农村原民办代课教师满意度≥95%得10分；95%≧满意度﹥90%得8分；90%≧满意度﹥80%得6分；低于80%不得分。</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7</w:t>
            </w:r>
          </w:p>
        </w:tc>
      </w:tr>
      <w:tr>
        <w:tblPrEx>
          <w:shd w:val="clear" w:color="auto" w:fill="auto"/>
          <w:tblCellMar>
            <w:top w:w="0" w:type="dxa"/>
            <w:left w:w="108" w:type="dxa"/>
            <w:bottom w:w="0" w:type="dxa"/>
            <w:right w:w="108" w:type="dxa"/>
          </w:tblCellMar>
        </w:tblPrEx>
        <w:trPr>
          <w:trHeight w:val="542" w:hRule="atLeast"/>
        </w:trPr>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合计</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1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微软雅黑" w:hAnsi="微软雅黑" w:eastAsia="微软雅黑" w:cs="微软雅黑"/>
                <w:i w:val="0"/>
                <w:iCs w:val="0"/>
                <w:color w:val="000000"/>
                <w:sz w:val="18"/>
                <w:szCs w:val="18"/>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18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微软雅黑" w:hAnsi="微软雅黑" w:eastAsia="微软雅黑" w:cs="微软雅黑"/>
                <w:i w:val="0"/>
                <w:iCs w:val="0"/>
                <w:color w:val="000000"/>
                <w:sz w:val="18"/>
                <w:szCs w:val="18"/>
                <w:u w:val="none"/>
                <w:lang w:val="en-US"/>
              </w:rPr>
            </w:pPr>
            <w:r>
              <w:rPr>
                <w:rFonts w:hint="eastAsia" w:ascii="微软雅黑" w:hAnsi="微软雅黑" w:eastAsia="微软雅黑" w:cs="微软雅黑"/>
                <w:i w:val="0"/>
                <w:iCs w:val="0"/>
                <w:color w:val="000000"/>
                <w:kern w:val="0"/>
                <w:sz w:val="18"/>
                <w:szCs w:val="18"/>
                <w:u w:val="none"/>
                <w:lang w:val="en-US" w:eastAsia="zh-CN" w:bidi="ar"/>
              </w:rPr>
              <w:t>82</w:t>
            </w:r>
          </w:p>
        </w:tc>
      </w:tr>
    </w:tbl>
    <w:p>
      <w:pPr>
        <w:keepNext w:val="0"/>
        <w:keepLines w:val="0"/>
        <w:pageBreakBefore w:val="0"/>
        <w:numPr>
          <w:ilvl w:val="0"/>
          <w:numId w:val="0"/>
        </w:numPr>
        <w:kinsoku/>
        <w:wordWrap/>
        <w:overflowPunct/>
        <w:topLinePunct w:val="0"/>
        <w:autoSpaceDE/>
        <w:autoSpaceDN/>
        <w:bidi w:val="0"/>
        <w:spacing w:line="360" w:lineRule="auto"/>
        <w:jc w:val="both"/>
        <w:textAlignment w:val="auto"/>
        <w:rPr>
          <w:rFonts w:hint="default" w:ascii="仿宋" w:hAnsi="仿宋" w:eastAsia="仿宋" w:cs="仿宋"/>
          <w:color w:val="auto"/>
          <w:sz w:val="32"/>
          <w:szCs w:val="32"/>
          <w:lang w:val="en-US" w:eastAsia="zh-CN"/>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0288"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0288;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PEtJG2AAAAAoBAAAPAAAAAAAAAAEAIAAAACIAAABkcnMvZG93bnJl&#10;di54bWxQSwECFAAUAAAACACHTuJAzieT3jYCAABjBAAADgAAAAAAAAABACAAAAAnAQAAZHJzL2Uy&#10;b0RvYy54bWxQSwUGAAAAAAYABgBZAQAAzwUAAAAA&#10;">
              <v:fill on="f" focussize="0,0"/>
              <v:stroke on="f" weight="0.5pt"/>
              <v:imagedata o:title=""/>
              <o:lock v:ext="edit" aspectratio="f"/>
              <v:textbox inset="0mm,0mm,0mm,0mm">
                <w:txbxContent>
                  <w:p>
                    <w:pPr>
                      <w:pStyle w:val="8"/>
                      <w:rPr>
                        <w:rFonts w:hint="default" w:eastAsiaTheme="minor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1312"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3" name="文本框 3"/>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1312;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PEtJG2AAAAAoBAAAPAAAAAAAAAAEAIAAAACIAAABkcnMvZG93bnJl&#10;di54bWxQSwECFAAUAAAACACHTuJADKJTzTYCAABhBAAADgAAAAAAAAABACAAAAAnAQAAZHJzL2Uy&#10;b0RvYy54bWxQSwUGAAAAAAYABgBZAQAAzwUAAAAA&#10;">
              <v:fill on="f" focussize="0,0"/>
              <v:stroke on="f" weight="0.5pt"/>
              <v:imagedata o:title=""/>
              <o:lock v:ext="edit" aspectratio="f"/>
              <v:textbox inset="0mm,0mm,0mm,0mm">
                <w:txbxContent>
                  <w:p>
                    <w:pPr>
                      <w:pStyle w:val="8"/>
                      <w:rPr>
                        <w:rFonts w:hint="default" w:eastAsiaTheme="minorEastAsia"/>
                        <w:lang w:val="en-US" w:eastAsia="zh-CN"/>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8"/>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2336;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M8S0kbYAAAACgEAAA8AAAAAAAAAAQAgAAAAIgAAAGRycy9kb3ducmV2&#10;LnhtbFBLAQIUABQAAAAIAIdO4kCSrC1SNQIAAGEEAAAOAAAAAAAAAAEAIAAAACcBAABkcnMvZTJv&#10;RG9jLnhtbFBLBQYAAAAABgAGAFkBAADOBQAAAAA=&#10;">
              <v:fill on="f" focussize="0,0"/>
              <v:stroke on="f" weight="0.5pt"/>
              <v:imagedata o:title=""/>
              <o:lock v:ext="edit" aspectratio="f"/>
              <v:textbox inset="0mm,0mm,0mm,0mm">
                <w:txbxContent>
                  <w:p>
                    <w:pPr>
                      <w:pStyle w:val="8"/>
                      <w:rPr>
                        <w:rFonts w:hint="default" w:eastAsiaTheme="minorEastAsia"/>
                        <w:lang w:val="en-US" w:eastAsia="zh-CN"/>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A0362"/>
    <w:multiLevelType w:val="singleLevel"/>
    <w:tmpl w:val="A68A0362"/>
    <w:lvl w:ilvl="0" w:tentative="0">
      <w:start w:val="1"/>
      <w:numFmt w:val="chineseCounting"/>
      <w:suff w:val="nothing"/>
      <w:lvlText w:val="%1、"/>
      <w:lvlJc w:val="left"/>
      <w:rPr>
        <w:rFonts w:hint="eastAsia"/>
      </w:rPr>
    </w:lvl>
  </w:abstractNum>
  <w:abstractNum w:abstractNumId="1">
    <w:nsid w:val="CAFA4829"/>
    <w:multiLevelType w:val="singleLevel"/>
    <w:tmpl w:val="CAFA4829"/>
    <w:lvl w:ilvl="0" w:tentative="0">
      <w:start w:val="2"/>
      <w:numFmt w:val="chineseCounting"/>
      <w:suff w:val="nothing"/>
      <w:lvlText w:val="（%1）"/>
      <w:lvlJc w:val="left"/>
      <w:rPr>
        <w:rFonts w:hint="eastAsia"/>
      </w:rPr>
    </w:lvl>
  </w:abstractNum>
  <w:abstractNum w:abstractNumId="2">
    <w:nsid w:val="D955FCCA"/>
    <w:multiLevelType w:val="singleLevel"/>
    <w:tmpl w:val="D955FCCA"/>
    <w:lvl w:ilvl="0" w:tentative="0">
      <w:start w:val="4"/>
      <w:numFmt w:val="chineseCounting"/>
      <w:suff w:val="nothing"/>
      <w:lvlText w:val="%1、"/>
      <w:lvlJc w:val="left"/>
      <w:rPr>
        <w:rFonts w:hint="eastAsia"/>
      </w:rPr>
    </w:lvl>
  </w:abstractNum>
  <w:abstractNum w:abstractNumId="3">
    <w:nsid w:val="E874D62F"/>
    <w:multiLevelType w:val="singleLevel"/>
    <w:tmpl w:val="E874D62F"/>
    <w:lvl w:ilvl="0" w:tentative="0">
      <w:start w:val="3"/>
      <w:numFmt w:val="decimal"/>
      <w:suff w:val="nothing"/>
      <w:lvlText w:val="%1、"/>
      <w:lvlJc w:val="left"/>
    </w:lvl>
  </w:abstractNum>
  <w:abstractNum w:abstractNumId="4">
    <w:nsid w:val="2FA37F95"/>
    <w:multiLevelType w:val="singleLevel"/>
    <w:tmpl w:val="2FA37F95"/>
    <w:lvl w:ilvl="0" w:tentative="0">
      <w:start w:val="1"/>
      <w:numFmt w:val="chineseCounting"/>
      <w:suff w:val="nothing"/>
      <w:lvlText w:val="（%1）"/>
      <w:lvlJc w:val="left"/>
      <w:rPr>
        <w:rFonts w:hint="eastAsia"/>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847FB"/>
    <w:rsid w:val="00E92BAF"/>
    <w:rsid w:val="011B3C8D"/>
    <w:rsid w:val="012D7BB4"/>
    <w:rsid w:val="01313A39"/>
    <w:rsid w:val="013779AD"/>
    <w:rsid w:val="019742E4"/>
    <w:rsid w:val="01A70A4A"/>
    <w:rsid w:val="025603DB"/>
    <w:rsid w:val="02632836"/>
    <w:rsid w:val="027934E5"/>
    <w:rsid w:val="028E47A2"/>
    <w:rsid w:val="02B00EC4"/>
    <w:rsid w:val="02C67D3C"/>
    <w:rsid w:val="02D86E8C"/>
    <w:rsid w:val="03221C36"/>
    <w:rsid w:val="032A5898"/>
    <w:rsid w:val="034E10A9"/>
    <w:rsid w:val="03690FFE"/>
    <w:rsid w:val="03710E2C"/>
    <w:rsid w:val="03B8300E"/>
    <w:rsid w:val="03F358FD"/>
    <w:rsid w:val="04673267"/>
    <w:rsid w:val="04A67F98"/>
    <w:rsid w:val="04B767EA"/>
    <w:rsid w:val="04ED2EE1"/>
    <w:rsid w:val="05075CB8"/>
    <w:rsid w:val="051F1AE2"/>
    <w:rsid w:val="05363F22"/>
    <w:rsid w:val="053801DF"/>
    <w:rsid w:val="055150AF"/>
    <w:rsid w:val="05791C96"/>
    <w:rsid w:val="05797E16"/>
    <w:rsid w:val="058E4A19"/>
    <w:rsid w:val="05A3716B"/>
    <w:rsid w:val="05B94A0E"/>
    <w:rsid w:val="069474F1"/>
    <w:rsid w:val="06CE238B"/>
    <w:rsid w:val="06E91E1B"/>
    <w:rsid w:val="06F74597"/>
    <w:rsid w:val="079860F1"/>
    <w:rsid w:val="07B931B7"/>
    <w:rsid w:val="07C338DE"/>
    <w:rsid w:val="07C86488"/>
    <w:rsid w:val="07D25B8E"/>
    <w:rsid w:val="080D3FB3"/>
    <w:rsid w:val="081E0CB5"/>
    <w:rsid w:val="088A3D1B"/>
    <w:rsid w:val="089E72AF"/>
    <w:rsid w:val="09075390"/>
    <w:rsid w:val="09284F2D"/>
    <w:rsid w:val="09B27881"/>
    <w:rsid w:val="0A276149"/>
    <w:rsid w:val="0AB3061B"/>
    <w:rsid w:val="0AB36F5E"/>
    <w:rsid w:val="0ACB6530"/>
    <w:rsid w:val="0AE32E30"/>
    <w:rsid w:val="0AE95DC3"/>
    <w:rsid w:val="0B0C5A9E"/>
    <w:rsid w:val="0B154DD3"/>
    <w:rsid w:val="0B6C2981"/>
    <w:rsid w:val="0BB359C0"/>
    <w:rsid w:val="0BC86612"/>
    <w:rsid w:val="0BDE6F9D"/>
    <w:rsid w:val="0BFA7E03"/>
    <w:rsid w:val="0C597609"/>
    <w:rsid w:val="0C6B63B0"/>
    <w:rsid w:val="0D181F3A"/>
    <w:rsid w:val="0D2E56E4"/>
    <w:rsid w:val="0D366A46"/>
    <w:rsid w:val="0D4D5EBE"/>
    <w:rsid w:val="0DD34BEC"/>
    <w:rsid w:val="0DE0568B"/>
    <w:rsid w:val="0E2A4310"/>
    <w:rsid w:val="0E2C67DE"/>
    <w:rsid w:val="0E314A6E"/>
    <w:rsid w:val="0EF02DF6"/>
    <w:rsid w:val="0EF62B13"/>
    <w:rsid w:val="0F1D55B7"/>
    <w:rsid w:val="0F5D683C"/>
    <w:rsid w:val="0F785AF9"/>
    <w:rsid w:val="0FE66C63"/>
    <w:rsid w:val="10B22437"/>
    <w:rsid w:val="10D16C5B"/>
    <w:rsid w:val="10D411AA"/>
    <w:rsid w:val="10EF1439"/>
    <w:rsid w:val="111B6791"/>
    <w:rsid w:val="1146040D"/>
    <w:rsid w:val="11C53388"/>
    <w:rsid w:val="11E06729"/>
    <w:rsid w:val="127F455B"/>
    <w:rsid w:val="12E74C6A"/>
    <w:rsid w:val="12F8728F"/>
    <w:rsid w:val="13016CA3"/>
    <w:rsid w:val="13332AB5"/>
    <w:rsid w:val="134312ED"/>
    <w:rsid w:val="137D6A0E"/>
    <w:rsid w:val="13AB7C7E"/>
    <w:rsid w:val="13AE37C5"/>
    <w:rsid w:val="13C31A6C"/>
    <w:rsid w:val="13CE3A82"/>
    <w:rsid w:val="13DA0123"/>
    <w:rsid w:val="13DC75A4"/>
    <w:rsid w:val="1420445B"/>
    <w:rsid w:val="142808A2"/>
    <w:rsid w:val="148D289B"/>
    <w:rsid w:val="14A73029"/>
    <w:rsid w:val="14C2798D"/>
    <w:rsid w:val="14DD13EB"/>
    <w:rsid w:val="14E41589"/>
    <w:rsid w:val="1513566E"/>
    <w:rsid w:val="15532009"/>
    <w:rsid w:val="15C73014"/>
    <w:rsid w:val="15E00892"/>
    <w:rsid w:val="16163157"/>
    <w:rsid w:val="169B4C77"/>
    <w:rsid w:val="16B10662"/>
    <w:rsid w:val="16B5071D"/>
    <w:rsid w:val="16C20E88"/>
    <w:rsid w:val="16C41665"/>
    <w:rsid w:val="16E33FF9"/>
    <w:rsid w:val="17000E70"/>
    <w:rsid w:val="17266953"/>
    <w:rsid w:val="17285F6D"/>
    <w:rsid w:val="175144E2"/>
    <w:rsid w:val="17760ED2"/>
    <w:rsid w:val="17943B81"/>
    <w:rsid w:val="17B56A2D"/>
    <w:rsid w:val="17B8072D"/>
    <w:rsid w:val="17DB2032"/>
    <w:rsid w:val="17E679A5"/>
    <w:rsid w:val="17E82EBE"/>
    <w:rsid w:val="17F10EA3"/>
    <w:rsid w:val="17FD3AD8"/>
    <w:rsid w:val="181164F6"/>
    <w:rsid w:val="181B0B48"/>
    <w:rsid w:val="183303F0"/>
    <w:rsid w:val="18862A62"/>
    <w:rsid w:val="19242E41"/>
    <w:rsid w:val="19483188"/>
    <w:rsid w:val="19BB2FE2"/>
    <w:rsid w:val="19C65397"/>
    <w:rsid w:val="19FC3591"/>
    <w:rsid w:val="1A4B3962"/>
    <w:rsid w:val="1A50324D"/>
    <w:rsid w:val="1AB420DD"/>
    <w:rsid w:val="1ADC75E3"/>
    <w:rsid w:val="1B254790"/>
    <w:rsid w:val="1B2F1C87"/>
    <w:rsid w:val="1B6D1BBE"/>
    <w:rsid w:val="1B753562"/>
    <w:rsid w:val="1BB515B3"/>
    <w:rsid w:val="1BF47D64"/>
    <w:rsid w:val="1C1205BD"/>
    <w:rsid w:val="1C4B2E10"/>
    <w:rsid w:val="1C5931FB"/>
    <w:rsid w:val="1CA75818"/>
    <w:rsid w:val="1CC322A6"/>
    <w:rsid w:val="1CD07241"/>
    <w:rsid w:val="1D0C0159"/>
    <w:rsid w:val="1D124F3C"/>
    <w:rsid w:val="1D1A28C3"/>
    <w:rsid w:val="1D226F79"/>
    <w:rsid w:val="1D4A7B23"/>
    <w:rsid w:val="1D703869"/>
    <w:rsid w:val="1D720095"/>
    <w:rsid w:val="1DC201DD"/>
    <w:rsid w:val="1DE74AED"/>
    <w:rsid w:val="1DF06D10"/>
    <w:rsid w:val="1DFB16E7"/>
    <w:rsid w:val="1E044816"/>
    <w:rsid w:val="1E325F76"/>
    <w:rsid w:val="1E6C06C1"/>
    <w:rsid w:val="1E850138"/>
    <w:rsid w:val="1EB107F7"/>
    <w:rsid w:val="1F47577A"/>
    <w:rsid w:val="1F610152"/>
    <w:rsid w:val="1FCC5848"/>
    <w:rsid w:val="1FDD0790"/>
    <w:rsid w:val="207E3DE8"/>
    <w:rsid w:val="2094463A"/>
    <w:rsid w:val="20E1220F"/>
    <w:rsid w:val="20E6708E"/>
    <w:rsid w:val="210B3412"/>
    <w:rsid w:val="210D1196"/>
    <w:rsid w:val="21113031"/>
    <w:rsid w:val="21144FED"/>
    <w:rsid w:val="21345A2A"/>
    <w:rsid w:val="2142609C"/>
    <w:rsid w:val="214F7536"/>
    <w:rsid w:val="224E2CA7"/>
    <w:rsid w:val="22CE7611"/>
    <w:rsid w:val="22DA0619"/>
    <w:rsid w:val="22E57605"/>
    <w:rsid w:val="230A0312"/>
    <w:rsid w:val="23104510"/>
    <w:rsid w:val="23596615"/>
    <w:rsid w:val="23BC1DA5"/>
    <w:rsid w:val="23C13040"/>
    <w:rsid w:val="2452144C"/>
    <w:rsid w:val="247E65C6"/>
    <w:rsid w:val="24AA5B33"/>
    <w:rsid w:val="253A206B"/>
    <w:rsid w:val="253E2167"/>
    <w:rsid w:val="25734BC8"/>
    <w:rsid w:val="257E5E6F"/>
    <w:rsid w:val="259410AC"/>
    <w:rsid w:val="25E41ED6"/>
    <w:rsid w:val="25E768F2"/>
    <w:rsid w:val="26053CB0"/>
    <w:rsid w:val="2646245F"/>
    <w:rsid w:val="26505EE4"/>
    <w:rsid w:val="26A50674"/>
    <w:rsid w:val="26E74A6D"/>
    <w:rsid w:val="26FD077C"/>
    <w:rsid w:val="272F3EA6"/>
    <w:rsid w:val="276572F1"/>
    <w:rsid w:val="277E6841"/>
    <w:rsid w:val="27A40D8C"/>
    <w:rsid w:val="27B452FF"/>
    <w:rsid w:val="27BE52D2"/>
    <w:rsid w:val="27CF12B4"/>
    <w:rsid w:val="27D56ECC"/>
    <w:rsid w:val="27FB67F7"/>
    <w:rsid w:val="281222C5"/>
    <w:rsid w:val="28297A2E"/>
    <w:rsid w:val="2837219D"/>
    <w:rsid w:val="28CC5D95"/>
    <w:rsid w:val="28DF0720"/>
    <w:rsid w:val="28F81802"/>
    <w:rsid w:val="290D4AE9"/>
    <w:rsid w:val="29275C45"/>
    <w:rsid w:val="295C0968"/>
    <w:rsid w:val="296954FA"/>
    <w:rsid w:val="29CB790E"/>
    <w:rsid w:val="29D857FF"/>
    <w:rsid w:val="29E5617A"/>
    <w:rsid w:val="29F81B49"/>
    <w:rsid w:val="2A434C7E"/>
    <w:rsid w:val="2A4C0DBF"/>
    <w:rsid w:val="2B465255"/>
    <w:rsid w:val="2B72005A"/>
    <w:rsid w:val="2B8C6824"/>
    <w:rsid w:val="2B980F2D"/>
    <w:rsid w:val="2BCC38EA"/>
    <w:rsid w:val="2C1C5DF0"/>
    <w:rsid w:val="2C2F5523"/>
    <w:rsid w:val="2C37700E"/>
    <w:rsid w:val="2C3C1EC4"/>
    <w:rsid w:val="2C8020DF"/>
    <w:rsid w:val="2D8C429B"/>
    <w:rsid w:val="2DE336D6"/>
    <w:rsid w:val="2DE73704"/>
    <w:rsid w:val="2E5E7EDB"/>
    <w:rsid w:val="2EAA7E03"/>
    <w:rsid w:val="2EB84D16"/>
    <w:rsid w:val="2ED8781D"/>
    <w:rsid w:val="2EDF713F"/>
    <w:rsid w:val="2F4B72FF"/>
    <w:rsid w:val="2F624780"/>
    <w:rsid w:val="2F7431E9"/>
    <w:rsid w:val="2FAC7DE4"/>
    <w:rsid w:val="2FB05C91"/>
    <w:rsid w:val="2FC27E7E"/>
    <w:rsid w:val="302D1582"/>
    <w:rsid w:val="30415F70"/>
    <w:rsid w:val="30AE5117"/>
    <w:rsid w:val="312F1C6B"/>
    <w:rsid w:val="315C19CA"/>
    <w:rsid w:val="318938C2"/>
    <w:rsid w:val="31F03D4E"/>
    <w:rsid w:val="320B0EAE"/>
    <w:rsid w:val="32425D03"/>
    <w:rsid w:val="325109BF"/>
    <w:rsid w:val="328F5519"/>
    <w:rsid w:val="329C494B"/>
    <w:rsid w:val="32AF450D"/>
    <w:rsid w:val="32BC5347"/>
    <w:rsid w:val="32F84274"/>
    <w:rsid w:val="32FD7B6D"/>
    <w:rsid w:val="331E6306"/>
    <w:rsid w:val="33AA22BE"/>
    <w:rsid w:val="33B633E7"/>
    <w:rsid w:val="33BA2530"/>
    <w:rsid w:val="33BD0DAD"/>
    <w:rsid w:val="33F21DD3"/>
    <w:rsid w:val="3460104A"/>
    <w:rsid w:val="34770F82"/>
    <w:rsid w:val="34BB1AFE"/>
    <w:rsid w:val="34EE06D1"/>
    <w:rsid w:val="350F519A"/>
    <w:rsid w:val="357329CF"/>
    <w:rsid w:val="3579019E"/>
    <w:rsid w:val="359804F9"/>
    <w:rsid w:val="35B17CA5"/>
    <w:rsid w:val="35C84290"/>
    <w:rsid w:val="35F955DB"/>
    <w:rsid w:val="360F7310"/>
    <w:rsid w:val="36265A8A"/>
    <w:rsid w:val="36457024"/>
    <w:rsid w:val="365820CF"/>
    <w:rsid w:val="367861E8"/>
    <w:rsid w:val="369C4F2A"/>
    <w:rsid w:val="36B77102"/>
    <w:rsid w:val="36CE7B94"/>
    <w:rsid w:val="36E64E1C"/>
    <w:rsid w:val="37097D9B"/>
    <w:rsid w:val="372506AA"/>
    <w:rsid w:val="37290D67"/>
    <w:rsid w:val="376606B5"/>
    <w:rsid w:val="376C297B"/>
    <w:rsid w:val="385A15AF"/>
    <w:rsid w:val="38C236A8"/>
    <w:rsid w:val="393F3792"/>
    <w:rsid w:val="397554B2"/>
    <w:rsid w:val="397B2BE6"/>
    <w:rsid w:val="39866C36"/>
    <w:rsid w:val="39B750BD"/>
    <w:rsid w:val="39BE2707"/>
    <w:rsid w:val="39FF0BFD"/>
    <w:rsid w:val="3A00529A"/>
    <w:rsid w:val="3A591BA4"/>
    <w:rsid w:val="3A837CFF"/>
    <w:rsid w:val="3A917EBE"/>
    <w:rsid w:val="3AF85A53"/>
    <w:rsid w:val="3B9E5AEA"/>
    <w:rsid w:val="3BB3396A"/>
    <w:rsid w:val="3BB54AA9"/>
    <w:rsid w:val="3C07068D"/>
    <w:rsid w:val="3C2B19F9"/>
    <w:rsid w:val="3C415133"/>
    <w:rsid w:val="3C641E6F"/>
    <w:rsid w:val="3C706E7E"/>
    <w:rsid w:val="3CBE2CBF"/>
    <w:rsid w:val="3CDD7358"/>
    <w:rsid w:val="3CE47B7E"/>
    <w:rsid w:val="3D1554A7"/>
    <w:rsid w:val="3D28535A"/>
    <w:rsid w:val="3D4A3F7C"/>
    <w:rsid w:val="3D807854"/>
    <w:rsid w:val="3D9131F1"/>
    <w:rsid w:val="3E4D3CF7"/>
    <w:rsid w:val="3E8B0212"/>
    <w:rsid w:val="3EAE48EA"/>
    <w:rsid w:val="3EE7644C"/>
    <w:rsid w:val="3F23609F"/>
    <w:rsid w:val="3F407951"/>
    <w:rsid w:val="3F5E258E"/>
    <w:rsid w:val="3F9D5F65"/>
    <w:rsid w:val="3FCD4E61"/>
    <w:rsid w:val="404943A4"/>
    <w:rsid w:val="40785F17"/>
    <w:rsid w:val="40871BA0"/>
    <w:rsid w:val="4091400E"/>
    <w:rsid w:val="40AF06F1"/>
    <w:rsid w:val="40D761D8"/>
    <w:rsid w:val="410A6A2A"/>
    <w:rsid w:val="411125DD"/>
    <w:rsid w:val="416344DD"/>
    <w:rsid w:val="41B676E2"/>
    <w:rsid w:val="41D83D0A"/>
    <w:rsid w:val="422E6C9D"/>
    <w:rsid w:val="42354974"/>
    <w:rsid w:val="42392498"/>
    <w:rsid w:val="42442131"/>
    <w:rsid w:val="426B34B2"/>
    <w:rsid w:val="42A145C6"/>
    <w:rsid w:val="42BA2B21"/>
    <w:rsid w:val="43097411"/>
    <w:rsid w:val="43322DCB"/>
    <w:rsid w:val="433A2E0A"/>
    <w:rsid w:val="43522F3F"/>
    <w:rsid w:val="43847E8B"/>
    <w:rsid w:val="438602D6"/>
    <w:rsid w:val="439E0DE9"/>
    <w:rsid w:val="43E662BE"/>
    <w:rsid w:val="43EB4FA1"/>
    <w:rsid w:val="43EE2FF2"/>
    <w:rsid w:val="43F573A9"/>
    <w:rsid w:val="44235D5F"/>
    <w:rsid w:val="44AC0E76"/>
    <w:rsid w:val="44D012B1"/>
    <w:rsid w:val="44F119E2"/>
    <w:rsid w:val="454C38BB"/>
    <w:rsid w:val="454D2111"/>
    <w:rsid w:val="45511171"/>
    <w:rsid w:val="45562377"/>
    <w:rsid w:val="457D430A"/>
    <w:rsid w:val="45E938F9"/>
    <w:rsid w:val="463E647C"/>
    <w:rsid w:val="465C6ABE"/>
    <w:rsid w:val="466F6D6B"/>
    <w:rsid w:val="468A3298"/>
    <w:rsid w:val="468E55C6"/>
    <w:rsid w:val="46A627DC"/>
    <w:rsid w:val="46C46D70"/>
    <w:rsid w:val="46E819A3"/>
    <w:rsid w:val="470A24E2"/>
    <w:rsid w:val="477F3659"/>
    <w:rsid w:val="4790513A"/>
    <w:rsid w:val="47A16088"/>
    <w:rsid w:val="47C460CD"/>
    <w:rsid w:val="480F1113"/>
    <w:rsid w:val="4821098C"/>
    <w:rsid w:val="4839645A"/>
    <w:rsid w:val="487E0E6B"/>
    <w:rsid w:val="48842C88"/>
    <w:rsid w:val="48B07281"/>
    <w:rsid w:val="491E5325"/>
    <w:rsid w:val="4944381E"/>
    <w:rsid w:val="495A7462"/>
    <w:rsid w:val="498421ED"/>
    <w:rsid w:val="499740D1"/>
    <w:rsid w:val="49FE7853"/>
    <w:rsid w:val="4A48381B"/>
    <w:rsid w:val="4A6846DA"/>
    <w:rsid w:val="4A7426A2"/>
    <w:rsid w:val="4A830661"/>
    <w:rsid w:val="4A9A5204"/>
    <w:rsid w:val="4A9D315F"/>
    <w:rsid w:val="4AB36856"/>
    <w:rsid w:val="4AB82873"/>
    <w:rsid w:val="4B1941E6"/>
    <w:rsid w:val="4B421CD2"/>
    <w:rsid w:val="4B612332"/>
    <w:rsid w:val="4B6B106A"/>
    <w:rsid w:val="4B996F53"/>
    <w:rsid w:val="4BB8688C"/>
    <w:rsid w:val="4C0F55E6"/>
    <w:rsid w:val="4C114524"/>
    <w:rsid w:val="4C3730AE"/>
    <w:rsid w:val="4C3A034D"/>
    <w:rsid w:val="4C6964ED"/>
    <w:rsid w:val="4C7A467C"/>
    <w:rsid w:val="4CBA546E"/>
    <w:rsid w:val="4D522307"/>
    <w:rsid w:val="4D6E66BB"/>
    <w:rsid w:val="4DA63C25"/>
    <w:rsid w:val="4DFB014E"/>
    <w:rsid w:val="4E076125"/>
    <w:rsid w:val="4E1638AB"/>
    <w:rsid w:val="4E781D70"/>
    <w:rsid w:val="4E987EF9"/>
    <w:rsid w:val="4EB80E8E"/>
    <w:rsid w:val="4EC44127"/>
    <w:rsid w:val="4EDC44DF"/>
    <w:rsid w:val="4EE905EA"/>
    <w:rsid w:val="4FAF7B48"/>
    <w:rsid w:val="4FBE02A6"/>
    <w:rsid w:val="4FDA759A"/>
    <w:rsid w:val="50061A8A"/>
    <w:rsid w:val="502B4BDA"/>
    <w:rsid w:val="504B7B9B"/>
    <w:rsid w:val="504F5ACB"/>
    <w:rsid w:val="50A651C9"/>
    <w:rsid w:val="513077C0"/>
    <w:rsid w:val="51B711CA"/>
    <w:rsid w:val="51B73E7A"/>
    <w:rsid w:val="520E33AE"/>
    <w:rsid w:val="5217169A"/>
    <w:rsid w:val="524D090C"/>
    <w:rsid w:val="52554236"/>
    <w:rsid w:val="525A72B7"/>
    <w:rsid w:val="527539C5"/>
    <w:rsid w:val="52755151"/>
    <w:rsid w:val="52970A34"/>
    <w:rsid w:val="52CC3E58"/>
    <w:rsid w:val="52EA5D07"/>
    <w:rsid w:val="530E0AB9"/>
    <w:rsid w:val="53B51DE6"/>
    <w:rsid w:val="53DC1204"/>
    <w:rsid w:val="53DC402F"/>
    <w:rsid w:val="53FD2EC0"/>
    <w:rsid w:val="548352C7"/>
    <w:rsid w:val="54B05291"/>
    <w:rsid w:val="54E30CC2"/>
    <w:rsid w:val="54F45F58"/>
    <w:rsid w:val="55021FC9"/>
    <w:rsid w:val="5539249A"/>
    <w:rsid w:val="55420ACA"/>
    <w:rsid w:val="554759DC"/>
    <w:rsid w:val="5596285F"/>
    <w:rsid w:val="55C107EC"/>
    <w:rsid w:val="55CA5025"/>
    <w:rsid w:val="55F6420D"/>
    <w:rsid w:val="56107EDF"/>
    <w:rsid w:val="56117D7B"/>
    <w:rsid w:val="563666BD"/>
    <w:rsid w:val="563A66FB"/>
    <w:rsid w:val="57455501"/>
    <w:rsid w:val="574F5DA9"/>
    <w:rsid w:val="57666BF8"/>
    <w:rsid w:val="57BC7A25"/>
    <w:rsid w:val="583A38AD"/>
    <w:rsid w:val="583F476F"/>
    <w:rsid w:val="586F63D6"/>
    <w:rsid w:val="589C04E6"/>
    <w:rsid w:val="591D5468"/>
    <w:rsid w:val="59422BDA"/>
    <w:rsid w:val="59A20934"/>
    <w:rsid w:val="59AF0A30"/>
    <w:rsid w:val="5A3173D2"/>
    <w:rsid w:val="5A3D5C8C"/>
    <w:rsid w:val="5A446B20"/>
    <w:rsid w:val="5A64252B"/>
    <w:rsid w:val="5A707691"/>
    <w:rsid w:val="5A7B60FB"/>
    <w:rsid w:val="5A9A687B"/>
    <w:rsid w:val="5AD421A7"/>
    <w:rsid w:val="5AD77CC3"/>
    <w:rsid w:val="5ADA38CA"/>
    <w:rsid w:val="5AF97F41"/>
    <w:rsid w:val="5B210AD1"/>
    <w:rsid w:val="5B2F2D58"/>
    <w:rsid w:val="5B6B5BA5"/>
    <w:rsid w:val="5B8A6D97"/>
    <w:rsid w:val="5BA120CE"/>
    <w:rsid w:val="5BC4539E"/>
    <w:rsid w:val="5BD555BA"/>
    <w:rsid w:val="5C047490"/>
    <w:rsid w:val="5C3E3674"/>
    <w:rsid w:val="5C7033C1"/>
    <w:rsid w:val="5C725E25"/>
    <w:rsid w:val="5D317EFB"/>
    <w:rsid w:val="5D5C3A52"/>
    <w:rsid w:val="5D682C05"/>
    <w:rsid w:val="5D6D3EFE"/>
    <w:rsid w:val="5D795F2D"/>
    <w:rsid w:val="5D86567A"/>
    <w:rsid w:val="5D8A0B9F"/>
    <w:rsid w:val="5DB4249B"/>
    <w:rsid w:val="5DE21727"/>
    <w:rsid w:val="5DFE0CA2"/>
    <w:rsid w:val="5E123EAD"/>
    <w:rsid w:val="5E2A06B3"/>
    <w:rsid w:val="5EA62F45"/>
    <w:rsid w:val="5EBE76CF"/>
    <w:rsid w:val="5ED00797"/>
    <w:rsid w:val="5F1C6DC9"/>
    <w:rsid w:val="5F3A420B"/>
    <w:rsid w:val="5F5B6272"/>
    <w:rsid w:val="5F7849A2"/>
    <w:rsid w:val="5F960CA6"/>
    <w:rsid w:val="5F967B03"/>
    <w:rsid w:val="5FDD4FEE"/>
    <w:rsid w:val="60044B05"/>
    <w:rsid w:val="601159BE"/>
    <w:rsid w:val="601869BA"/>
    <w:rsid w:val="60524D39"/>
    <w:rsid w:val="605A168D"/>
    <w:rsid w:val="60651B24"/>
    <w:rsid w:val="6086357E"/>
    <w:rsid w:val="608B28CF"/>
    <w:rsid w:val="60B00440"/>
    <w:rsid w:val="60BB462E"/>
    <w:rsid w:val="60E55203"/>
    <w:rsid w:val="60E6445C"/>
    <w:rsid w:val="60E82D26"/>
    <w:rsid w:val="611737BF"/>
    <w:rsid w:val="61521B59"/>
    <w:rsid w:val="615D366E"/>
    <w:rsid w:val="61876A42"/>
    <w:rsid w:val="61D0538E"/>
    <w:rsid w:val="61D809D5"/>
    <w:rsid w:val="61E2080E"/>
    <w:rsid w:val="61EB1BB0"/>
    <w:rsid w:val="620D647A"/>
    <w:rsid w:val="62213482"/>
    <w:rsid w:val="623C0AB7"/>
    <w:rsid w:val="623D2347"/>
    <w:rsid w:val="62D56C08"/>
    <w:rsid w:val="62D86F8D"/>
    <w:rsid w:val="632A57D5"/>
    <w:rsid w:val="6351661B"/>
    <w:rsid w:val="63633726"/>
    <w:rsid w:val="637B4E45"/>
    <w:rsid w:val="63AC6EC7"/>
    <w:rsid w:val="63E559C8"/>
    <w:rsid w:val="63FD19CD"/>
    <w:rsid w:val="641477B5"/>
    <w:rsid w:val="642052D3"/>
    <w:rsid w:val="64272996"/>
    <w:rsid w:val="64410387"/>
    <w:rsid w:val="644574B4"/>
    <w:rsid w:val="64721DAE"/>
    <w:rsid w:val="647943BD"/>
    <w:rsid w:val="64993578"/>
    <w:rsid w:val="64DA7013"/>
    <w:rsid w:val="650B0FA4"/>
    <w:rsid w:val="65151EB8"/>
    <w:rsid w:val="651743B5"/>
    <w:rsid w:val="65660FA9"/>
    <w:rsid w:val="65A33F8C"/>
    <w:rsid w:val="65DD08F4"/>
    <w:rsid w:val="662D1B30"/>
    <w:rsid w:val="664D024A"/>
    <w:rsid w:val="667B3D6B"/>
    <w:rsid w:val="66901E0B"/>
    <w:rsid w:val="66F30F27"/>
    <w:rsid w:val="66F56922"/>
    <w:rsid w:val="671C56EE"/>
    <w:rsid w:val="67E00022"/>
    <w:rsid w:val="680E61D7"/>
    <w:rsid w:val="68485F1F"/>
    <w:rsid w:val="689A1B9E"/>
    <w:rsid w:val="68A40D6E"/>
    <w:rsid w:val="68D368D3"/>
    <w:rsid w:val="68E01230"/>
    <w:rsid w:val="69130B9F"/>
    <w:rsid w:val="69373DC0"/>
    <w:rsid w:val="698A4422"/>
    <w:rsid w:val="69907D4B"/>
    <w:rsid w:val="69984A01"/>
    <w:rsid w:val="69A17633"/>
    <w:rsid w:val="69A24A9D"/>
    <w:rsid w:val="6A146B7E"/>
    <w:rsid w:val="6A234784"/>
    <w:rsid w:val="6A624605"/>
    <w:rsid w:val="6AB27C9B"/>
    <w:rsid w:val="6AD5472F"/>
    <w:rsid w:val="6B432F67"/>
    <w:rsid w:val="6BA44D6D"/>
    <w:rsid w:val="6BB610B2"/>
    <w:rsid w:val="6BF23929"/>
    <w:rsid w:val="6C2F35EC"/>
    <w:rsid w:val="6C4D1F0B"/>
    <w:rsid w:val="6CA66FE0"/>
    <w:rsid w:val="6D0B59D9"/>
    <w:rsid w:val="6D37034C"/>
    <w:rsid w:val="6D8A3A86"/>
    <w:rsid w:val="6D9F5B26"/>
    <w:rsid w:val="6DA21096"/>
    <w:rsid w:val="6DA61000"/>
    <w:rsid w:val="6DBE598B"/>
    <w:rsid w:val="6DCE05DA"/>
    <w:rsid w:val="6DD9281D"/>
    <w:rsid w:val="6DEF7C8A"/>
    <w:rsid w:val="6E2A54BA"/>
    <w:rsid w:val="6E6E271E"/>
    <w:rsid w:val="6E9B0002"/>
    <w:rsid w:val="6E9F3ED5"/>
    <w:rsid w:val="6EB05331"/>
    <w:rsid w:val="6ECC4A89"/>
    <w:rsid w:val="6EF27A7C"/>
    <w:rsid w:val="6F3A65AF"/>
    <w:rsid w:val="6F6B46B4"/>
    <w:rsid w:val="6FA80AED"/>
    <w:rsid w:val="6FE137DB"/>
    <w:rsid w:val="6FE15130"/>
    <w:rsid w:val="701831A2"/>
    <w:rsid w:val="70585928"/>
    <w:rsid w:val="706E58B1"/>
    <w:rsid w:val="7081341D"/>
    <w:rsid w:val="709A3015"/>
    <w:rsid w:val="712145E2"/>
    <w:rsid w:val="712A10DA"/>
    <w:rsid w:val="71470E48"/>
    <w:rsid w:val="71656712"/>
    <w:rsid w:val="71692659"/>
    <w:rsid w:val="718551AD"/>
    <w:rsid w:val="71FC0F10"/>
    <w:rsid w:val="728E56B4"/>
    <w:rsid w:val="72916CEC"/>
    <w:rsid w:val="7296658B"/>
    <w:rsid w:val="72AC080C"/>
    <w:rsid w:val="72B61C82"/>
    <w:rsid w:val="72C4548D"/>
    <w:rsid w:val="72DF006D"/>
    <w:rsid w:val="72F8236C"/>
    <w:rsid w:val="7308336E"/>
    <w:rsid w:val="7359138B"/>
    <w:rsid w:val="738A06A8"/>
    <w:rsid w:val="738F424A"/>
    <w:rsid w:val="73ED5343"/>
    <w:rsid w:val="73F15145"/>
    <w:rsid w:val="74124493"/>
    <w:rsid w:val="745D4255"/>
    <w:rsid w:val="747B2852"/>
    <w:rsid w:val="74AF333C"/>
    <w:rsid w:val="74DA50AA"/>
    <w:rsid w:val="74DA764B"/>
    <w:rsid w:val="75200343"/>
    <w:rsid w:val="7566482B"/>
    <w:rsid w:val="756D44BE"/>
    <w:rsid w:val="758B74DE"/>
    <w:rsid w:val="75A51424"/>
    <w:rsid w:val="75F21B4B"/>
    <w:rsid w:val="760B6EE8"/>
    <w:rsid w:val="76341729"/>
    <w:rsid w:val="763438FB"/>
    <w:rsid w:val="763D28D8"/>
    <w:rsid w:val="764002E4"/>
    <w:rsid w:val="767E139C"/>
    <w:rsid w:val="769E3660"/>
    <w:rsid w:val="76A46C9A"/>
    <w:rsid w:val="77072773"/>
    <w:rsid w:val="773D1CEC"/>
    <w:rsid w:val="774E35C2"/>
    <w:rsid w:val="77512D7E"/>
    <w:rsid w:val="77E133BA"/>
    <w:rsid w:val="77E77624"/>
    <w:rsid w:val="77F61BC9"/>
    <w:rsid w:val="787234E1"/>
    <w:rsid w:val="78D42CA9"/>
    <w:rsid w:val="78EE6DF9"/>
    <w:rsid w:val="791E36FC"/>
    <w:rsid w:val="792368C6"/>
    <w:rsid w:val="795A034C"/>
    <w:rsid w:val="796B7D39"/>
    <w:rsid w:val="796F419B"/>
    <w:rsid w:val="79772AF6"/>
    <w:rsid w:val="79A22BD9"/>
    <w:rsid w:val="79DA27FA"/>
    <w:rsid w:val="79E81ACE"/>
    <w:rsid w:val="79FF137B"/>
    <w:rsid w:val="7A032D17"/>
    <w:rsid w:val="7A1848DF"/>
    <w:rsid w:val="7A315369"/>
    <w:rsid w:val="7A8446BB"/>
    <w:rsid w:val="7A8607A5"/>
    <w:rsid w:val="7AA46D43"/>
    <w:rsid w:val="7AB214BE"/>
    <w:rsid w:val="7AFA4055"/>
    <w:rsid w:val="7B2166AA"/>
    <w:rsid w:val="7B2B163B"/>
    <w:rsid w:val="7B3A51F9"/>
    <w:rsid w:val="7B44173A"/>
    <w:rsid w:val="7B5D4436"/>
    <w:rsid w:val="7B8C3DFB"/>
    <w:rsid w:val="7BA552BF"/>
    <w:rsid w:val="7C120257"/>
    <w:rsid w:val="7C26025E"/>
    <w:rsid w:val="7C6C76AA"/>
    <w:rsid w:val="7CA127D2"/>
    <w:rsid w:val="7CC706BA"/>
    <w:rsid w:val="7D1B6FF5"/>
    <w:rsid w:val="7DD433A0"/>
    <w:rsid w:val="7DDD74FF"/>
    <w:rsid w:val="7E3451AE"/>
    <w:rsid w:val="7E4138D2"/>
    <w:rsid w:val="7E882B7A"/>
    <w:rsid w:val="7EC61D92"/>
    <w:rsid w:val="7ED17AAF"/>
    <w:rsid w:val="7EEA20D5"/>
    <w:rsid w:val="7F116D2A"/>
    <w:rsid w:val="7F390FFC"/>
    <w:rsid w:val="7F986DF2"/>
    <w:rsid w:val="7FDA4ECB"/>
    <w:rsid w:val="7FEF78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line="440" w:lineRule="exact"/>
      <w:ind w:firstLine="200" w:firstLineChars="200"/>
      <w:jc w:val="left"/>
      <w:outlineLvl w:val="0"/>
    </w:pPr>
    <w:rPr>
      <w:rFonts w:eastAsia="仿宋"/>
      <w:b/>
      <w:bCs/>
      <w:kern w:val="44"/>
      <w:sz w:val="28"/>
      <w:szCs w:val="44"/>
    </w:rPr>
  </w:style>
  <w:style w:type="paragraph" w:styleId="3">
    <w:name w:val="heading 2"/>
    <w:basedOn w:val="1"/>
    <w:next w:val="1"/>
    <w:unhideWhenUsed/>
    <w:qFormat/>
    <w:uiPriority w:val="9"/>
    <w:pPr>
      <w:keepNext/>
      <w:keepLines/>
      <w:spacing w:line="360" w:lineRule="auto"/>
      <w:ind w:firstLine="643" w:firstLineChars="200"/>
      <w:jc w:val="left"/>
      <w:outlineLvl w:val="1"/>
    </w:pPr>
    <w:rPr>
      <w:rFonts w:ascii="Times New Roman" w:hAnsi="Times New Roman" w:eastAsia="楷体_GB2312" w:cs="Times New Roman"/>
      <w:b/>
      <w:bCs/>
      <w:sz w:val="32"/>
      <w:szCs w:val="32"/>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annotation text"/>
    <w:basedOn w:val="1"/>
    <w:qFormat/>
    <w:uiPriority w:val="0"/>
    <w:pPr>
      <w:jc w:val="left"/>
    </w:pPr>
  </w:style>
  <w:style w:type="paragraph" w:styleId="6">
    <w:name w:val="Body Text"/>
    <w:basedOn w:val="1"/>
    <w:qFormat/>
    <w:uiPriority w:val="0"/>
    <w:rPr>
      <w:kern w:val="0"/>
      <w:sz w:val="24"/>
    </w:rPr>
  </w:style>
  <w:style w:type="paragraph" w:styleId="7">
    <w:name w:val="Body Text Indent"/>
    <w:basedOn w:val="1"/>
    <w:qFormat/>
    <w:uiPriority w:val="0"/>
    <w:pPr>
      <w:autoSpaceDE w:val="0"/>
      <w:autoSpaceDN w:val="0"/>
      <w:adjustRightInd w:val="0"/>
      <w:snapToGrid w:val="0"/>
      <w:spacing w:line="588" w:lineRule="atLeast"/>
      <w:ind w:left="1596" w:hanging="969"/>
    </w:pPr>
    <w:rPr>
      <w:rFonts w:ascii="宋体" w:hAnsi="宋体" w:eastAsia="仿宋_GB2312"/>
      <w:spacing w:val="6"/>
      <w:sz w:val="30"/>
    </w:rPr>
  </w:style>
  <w:style w:type="paragraph" w:styleId="8">
    <w:name w:val="footer"/>
    <w:basedOn w:val="1"/>
    <w:qFormat/>
    <w:uiPriority w:val="99"/>
    <w:pPr>
      <w:tabs>
        <w:tab w:val="center" w:pos="4153"/>
        <w:tab w:val="right" w:pos="8306"/>
      </w:tabs>
      <w:snapToGrid w:val="0"/>
      <w:jc w:val="left"/>
    </w:pPr>
    <w:rPr>
      <w:rFonts w:ascii="Times New Roman" w:hAnsi="Times New Roman"/>
      <w:sz w:val="18"/>
      <w:szCs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5">
    <w:name w:val="page number"/>
    <w:qFormat/>
    <w:uiPriority w:val="0"/>
    <w:rPr>
      <w:rFonts w:ascii="Times New Roman" w:hAnsi="Times New Roman" w:eastAsia="宋体" w:cs="Times New Roman"/>
    </w:rPr>
  </w:style>
  <w:style w:type="character" w:styleId="16">
    <w:name w:val="Hyperlink"/>
    <w:basedOn w:val="14"/>
    <w:unhideWhenUsed/>
    <w:qFormat/>
    <w:uiPriority w:val="99"/>
    <w:rPr>
      <w:color w:val="0563C1" w:themeColor="hyperlink"/>
      <w:u w:val="single"/>
      <w14:textFill>
        <w14:solidFill>
          <w14:schemeClr w14:val="hlink"/>
        </w14:solidFill>
      </w14:textFill>
    </w:rPr>
  </w:style>
  <w:style w:type="paragraph" w:customStyle="1" w:styleId="17">
    <w:name w:val="WPSOffice手动目录 1"/>
    <w:qFormat/>
    <w:uiPriority w:val="0"/>
    <w:pPr>
      <w:ind w:leftChars="0"/>
    </w:pPr>
    <w:rPr>
      <w:rFonts w:ascii="Times New Roman" w:hAnsi="Times New Roman" w:eastAsia="宋体" w:cs="Times New Roman"/>
      <w:sz w:val="20"/>
      <w:szCs w:val="20"/>
    </w:rPr>
  </w:style>
  <w:style w:type="paragraph" w:customStyle="1" w:styleId="18">
    <w:name w:val="WPSOffice手动目录 2"/>
    <w:qFormat/>
    <w:uiPriority w:val="0"/>
    <w:pPr>
      <w:ind w:leftChars="200"/>
    </w:pPr>
    <w:rPr>
      <w:rFonts w:ascii="Times New Roman" w:hAnsi="Times New Roman" w:eastAsia="宋体" w:cs="Times New Roman"/>
      <w:sz w:val="20"/>
      <w:szCs w:val="20"/>
    </w:rPr>
  </w:style>
  <w:style w:type="paragraph" w:customStyle="1" w:styleId="19">
    <w:name w:val="样式 样式 样式 四号 左侧:  1.53 厘米 + 首行缩进:  2 字符 + 居中 左侧:  2 字符 首行缩进:  2..."/>
    <w:basedOn w:val="20"/>
    <w:qFormat/>
    <w:uiPriority w:val="0"/>
    <w:pPr>
      <w:jc w:val="center"/>
    </w:pPr>
  </w:style>
  <w:style w:type="paragraph" w:customStyle="1" w:styleId="20">
    <w:name w:val="样式 样式 四号 左侧:  1.53 厘米 + 首行缩进:  2 字符"/>
    <w:basedOn w:val="21"/>
    <w:qFormat/>
    <w:uiPriority w:val="0"/>
    <w:pPr>
      <w:ind w:left="200" w:leftChars="200"/>
    </w:pPr>
    <w:rPr>
      <w:szCs w:val="20"/>
    </w:rPr>
  </w:style>
  <w:style w:type="paragraph" w:customStyle="1" w:styleId="21">
    <w:name w:val="样式 四号 左侧:  1.53 厘米"/>
    <w:basedOn w:val="1"/>
    <w:qFormat/>
    <w:uiPriority w:val="0"/>
    <w:pPr>
      <w:adjustRightInd w:val="0"/>
    </w:pPr>
    <w:rPr>
      <w:w w:val="90"/>
      <w:sz w:val="28"/>
      <w:szCs w:val="28"/>
    </w:rPr>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5.jpeg"/><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2020-08-27T02:34:00Z</dcterms:created>
  <dc:creator>Administrator</dc:creator>
  <cp:lastModifiedBy>Administrator</cp:lastModifiedBy>
  <cp:lastPrinted>2021-05-31T10:06:00Z</cp:lastPrinted>
  <dcterms:modified xsi:type="dcterms:W3CDTF">2024-06-20T13:16:39Z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B5BD1FB1F6B24E96B6F05978C0B244F6</vt:lpwstr>
  </property>
</Properties>
</file>