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Times New Roman" w:hAnsi="Times New Roman" w:eastAsia="方正小标宋简体"/>
          <w:b/>
          <w:sz w:val="44"/>
          <w:szCs w:val="44"/>
        </w:rPr>
      </w:pPr>
      <w:bookmarkStart w:id="0" w:name="_GoBack"/>
      <w:bookmarkEnd w:id="0"/>
      <w:r>
        <w:rPr>
          <w:rFonts w:ascii="Times New Roman" w:hAnsi="Times New Roman" w:eastAsia="方正小标宋简体" w:cs="Times New Roman"/>
          <w:b/>
          <w:sz w:val="44"/>
          <w:szCs w:val="44"/>
        </w:rPr>
        <w:t>关于202</w:t>
      </w:r>
      <w:r>
        <w:rPr>
          <w:rFonts w:hint="eastAsia" w:ascii="Times New Roman" w:hAnsi="Times New Roman" w:eastAsia="方正小标宋简体" w:cs="Times New Roman"/>
          <w:b/>
          <w:sz w:val="44"/>
          <w:szCs w:val="44"/>
        </w:rPr>
        <w:t>2</w:t>
      </w:r>
      <w:r>
        <w:rPr>
          <w:rFonts w:ascii="Times New Roman" w:hAnsi="Times New Roman" w:eastAsia="方正小标宋简体" w:cs="Times New Roman"/>
          <w:b/>
          <w:sz w:val="44"/>
          <w:szCs w:val="44"/>
        </w:rPr>
        <w:t>年财政预算执行情况及202</w:t>
      </w:r>
      <w:r>
        <w:rPr>
          <w:rFonts w:hint="eastAsia" w:ascii="Times New Roman" w:hAnsi="Times New Roman" w:eastAsia="方正小标宋简体" w:cs="Times New Roman"/>
          <w:b/>
          <w:sz w:val="44"/>
          <w:szCs w:val="44"/>
        </w:rPr>
        <w:t>3</w:t>
      </w:r>
      <w:r>
        <w:rPr>
          <w:rFonts w:ascii="Times New Roman" w:hAnsi="Times New Roman" w:eastAsia="方正小标宋简体" w:cs="Times New Roman"/>
          <w:b/>
          <w:sz w:val="44"/>
          <w:szCs w:val="44"/>
        </w:rPr>
        <w:t>年</w:t>
      </w:r>
    </w:p>
    <w:p>
      <w:pPr>
        <w:spacing w:line="600" w:lineRule="exact"/>
        <w:jc w:val="center"/>
        <w:rPr>
          <w:rFonts w:ascii="Times New Roman" w:hAnsi="Times New Roman" w:eastAsia="方正小标宋简体"/>
        </w:rPr>
      </w:pPr>
      <w:r>
        <w:rPr>
          <w:rFonts w:ascii="Times New Roman" w:hAnsi="Times New Roman" w:eastAsia="方正小标宋简体" w:cs="Times New Roman"/>
          <w:b/>
          <w:sz w:val="44"/>
          <w:szCs w:val="44"/>
        </w:rPr>
        <w:t>财政预算草案的报告</w:t>
      </w:r>
    </w:p>
    <w:p>
      <w:pPr>
        <w:spacing w:line="600" w:lineRule="exact"/>
        <w:jc w:val="center"/>
        <w:rPr>
          <w:rFonts w:ascii="Times New Roman" w:hAnsi="Times New Roman" w:eastAsia="楷体_GB2312"/>
          <w:b/>
          <w:bCs/>
          <w:sz w:val="32"/>
          <w:szCs w:val="32"/>
        </w:rPr>
      </w:pPr>
      <w:r>
        <w:rPr>
          <w:rFonts w:ascii="Times New Roman" w:hAnsi="Times New Roman" w:eastAsia="楷体_GB2312" w:cs="Times New Roman"/>
          <w:b/>
          <w:bCs/>
          <w:sz w:val="32"/>
          <w:szCs w:val="32"/>
        </w:rPr>
        <w:t>——202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</w:rPr>
        <w:t>3</w:t>
      </w:r>
      <w:r>
        <w:rPr>
          <w:rFonts w:ascii="Times New Roman" w:hAnsi="Times New Roman" w:eastAsia="楷体_GB2312" w:cs="Times New Roman"/>
          <w:b/>
          <w:bCs/>
          <w:sz w:val="32"/>
          <w:szCs w:val="32"/>
        </w:rPr>
        <w:t>年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</w:rPr>
        <w:t>1</w:t>
      </w:r>
      <w:r>
        <w:rPr>
          <w:rFonts w:ascii="Times New Roman" w:hAnsi="Times New Roman" w:eastAsia="楷体_GB2312" w:cs="Times New Roman"/>
          <w:b/>
          <w:bCs/>
          <w:sz w:val="32"/>
          <w:szCs w:val="32"/>
        </w:rPr>
        <w:t>月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</w:rPr>
        <w:t>12</w:t>
      </w:r>
      <w:r>
        <w:rPr>
          <w:rFonts w:ascii="Times New Roman" w:hAnsi="Times New Roman" w:eastAsia="楷体_GB2312" w:cs="Times New Roman"/>
          <w:b/>
          <w:bCs/>
          <w:sz w:val="32"/>
          <w:szCs w:val="32"/>
        </w:rPr>
        <w:t>日在无极县</w:t>
      </w:r>
    </w:p>
    <w:p>
      <w:pPr>
        <w:spacing w:line="600" w:lineRule="exact"/>
        <w:jc w:val="center"/>
        <w:rPr>
          <w:rFonts w:ascii="Times New Roman" w:hAnsi="Times New Roman" w:eastAsia="楷体_GB2312"/>
          <w:b/>
          <w:bCs/>
          <w:sz w:val="32"/>
          <w:szCs w:val="32"/>
        </w:rPr>
      </w:pPr>
      <w:r>
        <w:rPr>
          <w:rFonts w:ascii="Times New Roman" w:hAnsi="Times New Roman" w:eastAsia="楷体_GB2312" w:cs="Times New Roman"/>
          <w:b/>
          <w:bCs/>
          <w:sz w:val="32"/>
          <w:szCs w:val="32"/>
        </w:rPr>
        <w:t>第十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</w:rPr>
        <w:t>七</w:t>
      </w:r>
      <w:r>
        <w:rPr>
          <w:rFonts w:ascii="Times New Roman" w:hAnsi="Times New Roman" w:eastAsia="楷体_GB2312" w:cs="Times New Roman"/>
          <w:b/>
          <w:bCs/>
          <w:sz w:val="32"/>
          <w:szCs w:val="32"/>
        </w:rPr>
        <w:t>届人民代表大会第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</w:rPr>
        <w:t>三</w:t>
      </w:r>
      <w:r>
        <w:rPr>
          <w:rFonts w:ascii="Times New Roman" w:hAnsi="Times New Roman" w:eastAsia="楷体_GB2312" w:cs="Times New Roman"/>
          <w:b/>
          <w:bCs/>
          <w:sz w:val="32"/>
          <w:szCs w:val="32"/>
        </w:rPr>
        <w:t>次会议上</w:t>
      </w:r>
    </w:p>
    <w:p>
      <w:pPr>
        <w:spacing w:line="600" w:lineRule="exact"/>
        <w:jc w:val="center"/>
        <w:rPr>
          <w:rFonts w:ascii="Times New Roman" w:hAnsi="Times New Roman" w:eastAsia="楷体_GB2312"/>
          <w:b/>
          <w:bCs/>
          <w:sz w:val="32"/>
          <w:szCs w:val="32"/>
        </w:rPr>
      </w:pPr>
      <w:r>
        <w:rPr>
          <w:rFonts w:ascii="Times New Roman" w:hAnsi="Times New Roman" w:eastAsia="楷体_GB2312" w:cs="Times New Roman"/>
          <w:b/>
          <w:bCs/>
          <w:sz w:val="32"/>
          <w:szCs w:val="32"/>
        </w:rPr>
        <w:t>县财政局局长   刘亚飞</w:t>
      </w:r>
    </w:p>
    <w:p>
      <w:pPr>
        <w:spacing w:line="600" w:lineRule="exact"/>
        <w:rPr>
          <w:rFonts w:ascii="黑体" w:hAnsi="仿宋" w:eastAsia="黑体"/>
          <w:bCs/>
          <w:sz w:val="32"/>
          <w:szCs w:val="32"/>
        </w:rPr>
      </w:pPr>
    </w:p>
    <w:p>
      <w:pPr>
        <w:spacing w:line="60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各位代表：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受县人民政府委托，我向大会报告2022年财政预算执行情况和2023年财政预算草案，请予审议，并请各位政协委员和列席人员提出意见。</w:t>
      </w:r>
    </w:p>
    <w:p>
      <w:pPr>
        <w:spacing w:line="600" w:lineRule="exact"/>
        <w:ind w:firstLine="640" w:firstLineChars="200"/>
        <w:jc w:val="left"/>
        <w:rPr>
          <w:rFonts w:ascii="黑体" w:hAnsi="黑体" w:eastAsia="黑体"/>
          <w:bCs/>
          <w:sz w:val="32"/>
          <w:szCs w:val="32"/>
        </w:rPr>
      </w:pPr>
      <w:r>
        <w:rPr>
          <w:rFonts w:hint="eastAsia" w:ascii="黑体" w:hAnsi="黑体" w:eastAsia="黑体"/>
          <w:bCs/>
          <w:sz w:val="32"/>
          <w:szCs w:val="32"/>
        </w:rPr>
        <w:t>一、2022年预算执行情况</w:t>
      </w:r>
    </w:p>
    <w:p>
      <w:pPr>
        <w:spacing w:line="600" w:lineRule="exact"/>
        <w:ind w:firstLine="640" w:firstLineChars="200"/>
        <w:rPr>
          <w:rFonts w:ascii="仿宋_GB2312" w:hAnsi="Times New Roman" w:eastAsia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2022年是党的二十大胜利召开之年，也是无极奋进“十四五”、推进现代化建设的重要一年。</w:t>
      </w:r>
      <w:r>
        <w:rPr>
          <w:rFonts w:hint="eastAsia" w:ascii="仿宋_GB2312" w:hAnsi="仿宋" w:eastAsia="仿宋_GB2312"/>
          <w:sz w:val="32"/>
          <w:szCs w:val="32"/>
        </w:rPr>
        <w:t>今年以来，财政部门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认真贯彻“疫情要防住、经济要稳住、发展要安全”的重要要求，</w:t>
      </w:r>
      <w:r>
        <w:rPr>
          <w:rFonts w:hint="eastAsia" w:ascii="仿宋_GB2312" w:hAnsi="仿宋_GB2312" w:eastAsia="仿宋_GB2312" w:cs="仿宋_GB2312"/>
          <w:sz w:val="32"/>
          <w:szCs w:val="32"/>
        </w:rPr>
        <w:t>始终坚持以习近平新时代中国特色社会主义思想为指导，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深入落实县委、县政府决策部署，坚持解放思想、真抓实干，高效统筹常态化疫情防控和经济社会发展，积极发挥财政职能作用，全力推动各项政策举措落地落实，全县财政运行在多重压力下保持总体平稳。</w:t>
      </w:r>
    </w:p>
    <w:p>
      <w:pPr>
        <w:spacing w:line="600" w:lineRule="exact"/>
        <w:ind w:firstLine="479" w:firstLineChars="149"/>
        <w:rPr>
          <w:rFonts w:ascii="楷体_GB2312" w:hAnsi="楷体" w:eastAsia="楷体_GB2312"/>
          <w:b/>
          <w:bCs/>
          <w:sz w:val="32"/>
          <w:szCs w:val="32"/>
        </w:rPr>
      </w:pPr>
      <w:r>
        <w:rPr>
          <w:rFonts w:hint="eastAsia" w:ascii="楷体_GB2312" w:hAnsi="楷体" w:eastAsia="楷体_GB2312"/>
          <w:b/>
          <w:bCs/>
          <w:sz w:val="32"/>
          <w:szCs w:val="32"/>
        </w:rPr>
        <w:t>（一）一般公共预算执行情况</w:t>
      </w:r>
    </w:p>
    <w:p>
      <w:pPr>
        <w:spacing w:line="600" w:lineRule="exact"/>
        <w:ind w:firstLine="640" w:firstLineChars="200"/>
        <w:rPr>
          <w:rFonts w:ascii="仿宋_GB2312" w:hAnsi="Times New Roman" w:eastAsia="仿宋_GB2312"/>
          <w:kern w:val="0"/>
          <w:sz w:val="32"/>
          <w:szCs w:val="32"/>
        </w:rPr>
      </w:pPr>
      <w:r>
        <w:rPr>
          <w:rFonts w:hint="eastAsia" w:ascii="仿宋_GB2312" w:hAnsi="Times New Roman" w:eastAsia="仿宋_GB2312"/>
          <w:kern w:val="0"/>
          <w:sz w:val="32"/>
          <w:szCs w:val="32"/>
        </w:rPr>
        <w:t>2022年全部财政收入完成141389万元，同比增收10893万元，增长8.3%。其中一般公共预算收入完成101102万元（不包含津石高速缴纳耕地开垦费37264万元），突破10亿元大关，占年初任务的102.1%,同比增收9472万元，增长10.3%；税收占比54.3%。</w:t>
      </w:r>
    </w:p>
    <w:p>
      <w:pPr>
        <w:spacing w:line="600" w:lineRule="exact"/>
        <w:ind w:firstLine="640" w:firstLineChars="200"/>
        <w:rPr>
          <w:rFonts w:ascii="仿宋_GB2312" w:hAnsi="Times New Roman" w:eastAsia="仿宋_GB2312"/>
          <w:kern w:val="0"/>
          <w:sz w:val="32"/>
          <w:szCs w:val="32"/>
        </w:rPr>
      </w:pPr>
      <w:r>
        <w:rPr>
          <w:rFonts w:hint="eastAsia" w:ascii="仿宋_GB2312" w:hAnsi="Times New Roman" w:eastAsia="仿宋_GB2312"/>
          <w:kern w:val="0"/>
          <w:sz w:val="32"/>
          <w:szCs w:val="32"/>
        </w:rPr>
        <w:t>全县一般公共预算收入加上地方政府债券收入、税收返还和转移支付补助、调入资金等，全县总收入398595万元；全县一般公共预算支出398595万元，预算收支平衡。</w:t>
      </w:r>
    </w:p>
    <w:p>
      <w:pPr>
        <w:spacing w:line="600" w:lineRule="exact"/>
        <w:ind w:firstLine="643" w:firstLineChars="200"/>
        <w:rPr>
          <w:rFonts w:ascii="Times New Roman" w:hAnsi="Times New Roman" w:eastAsia="楷体_GB2312"/>
          <w:b/>
          <w:sz w:val="32"/>
          <w:szCs w:val="32"/>
        </w:rPr>
      </w:pPr>
      <w:r>
        <w:rPr>
          <w:rFonts w:ascii="Times New Roman" w:hAnsi="Times New Roman" w:eastAsia="楷体_GB2312" w:cs="Times New Roman"/>
          <w:b/>
          <w:sz w:val="32"/>
          <w:szCs w:val="32"/>
        </w:rPr>
        <w:t>（二）政府性基金预算执行情况</w:t>
      </w:r>
    </w:p>
    <w:p>
      <w:pPr>
        <w:spacing w:line="600" w:lineRule="exact"/>
        <w:ind w:firstLine="640" w:firstLineChars="200"/>
        <w:rPr>
          <w:rFonts w:ascii="仿宋_GB2312" w:hAnsi="Times New Roman" w:eastAsia="仿宋_GB2312"/>
          <w:kern w:val="0"/>
          <w:sz w:val="32"/>
          <w:szCs w:val="32"/>
        </w:rPr>
      </w:pPr>
      <w:r>
        <w:rPr>
          <w:rFonts w:hint="eastAsia" w:ascii="仿宋_GB2312" w:hAnsi="Times New Roman" w:eastAsia="仿宋_GB2312"/>
          <w:kern w:val="0"/>
          <w:sz w:val="32"/>
          <w:szCs w:val="32"/>
        </w:rPr>
        <w:t>2022年政府性基金收入县本级完成74751万元，占调整预算的100%，其中土地出让收入73103万元；新增政府专项债券收入125200万元，专项债券再融资7500万元，补助资金</w:t>
      </w:r>
      <w:r>
        <w:rPr>
          <w:rFonts w:ascii="仿宋_GB2312" w:hAnsi="Times New Roman" w:eastAsia="仿宋_GB2312"/>
          <w:kern w:val="0"/>
          <w:sz w:val="32"/>
          <w:szCs w:val="32"/>
        </w:rPr>
        <w:t>4429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万元，上年结余35309万元，调入资金5004万元，全县政府性基金收入总计为252193万元。</w:t>
      </w:r>
    </w:p>
    <w:p>
      <w:pPr>
        <w:spacing w:line="600" w:lineRule="exact"/>
        <w:ind w:firstLine="640" w:firstLineChars="200"/>
        <w:rPr>
          <w:rFonts w:ascii="仿宋_GB2312" w:hAnsi="Times New Roman" w:eastAsia="仿宋_GB2312"/>
          <w:kern w:val="0"/>
          <w:sz w:val="32"/>
          <w:szCs w:val="32"/>
        </w:rPr>
      </w:pPr>
      <w:r>
        <w:rPr>
          <w:rFonts w:hint="eastAsia" w:ascii="仿宋_GB2312" w:hAnsi="Times New Roman" w:eastAsia="仿宋_GB2312"/>
          <w:kern w:val="0"/>
          <w:sz w:val="32"/>
          <w:szCs w:val="32"/>
        </w:rPr>
        <w:t>政府性基金支出县本级完成103436万元，其中国有土地使用权出让支出15888万元；调入一般公共预算54755万元；政府 专项债券还本12100万元，结转下年支出81902万元。全县总支出252193万元，收支平衡。</w:t>
      </w:r>
    </w:p>
    <w:p>
      <w:pPr>
        <w:spacing w:line="600" w:lineRule="exact"/>
        <w:ind w:firstLine="643" w:firstLineChars="200"/>
        <w:rPr>
          <w:rFonts w:ascii="Times New Roman" w:hAnsi="Times New Roman" w:eastAsia="楷体_GB2312"/>
          <w:b/>
          <w:sz w:val="32"/>
          <w:szCs w:val="32"/>
        </w:rPr>
      </w:pPr>
      <w:r>
        <w:rPr>
          <w:rFonts w:ascii="Times New Roman" w:hAnsi="Times New Roman" w:eastAsia="楷体_GB2312" w:cs="Times New Roman"/>
          <w:b/>
          <w:sz w:val="32"/>
          <w:szCs w:val="32"/>
        </w:rPr>
        <w:t>（三）社会保险基金预算执行情况</w:t>
      </w:r>
    </w:p>
    <w:p>
      <w:pPr>
        <w:spacing w:line="600" w:lineRule="exact"/>
        <w:ind w:firstLine="640" w:firstLineChars="200"/>
        <w:rPr>
          <w:rFonts w:ascii="仿宋_GB2312" w:hAnsi="Times New Roman" w:eastAsia="仿宋_GB2312"/>
          <w:kern w:val="0"/>
          <w:sz w:val="32"/>
          <w:szCs w:val="32"/>
        </w:rPr>
      </w:pPr>
      <w:r>
        <w:rPr>
          <w:rFonts w:hint="eastAsia" w:ascii="仿宋_GB2312" w:hAnsi="Times New Roman" w:eastAsia="仿宋_GB2312"/>
          <w:kern w:val="0"/>
          <w:sz w:val="32"/>
          <w:szCs w:val="32"/>
        </w:rPr>
        <w:t>当年社会保险基金收入完成39555万元（主要包括城乡居民基本养老保险、机关事业单位基本养老保险），支出完成37324万元，收支相抵，年末滚存结余43500万元。</w:t>
      </w:r>
    </w:p>
    <w:p>
      <w:pPr>
        <w:spacing w:line="600" w:lineRule="exact"/>
        <w:ind w:firstLine="643" w:firstLineChars="200"/>
        <w:rPr>
          <w:rFonts w:ascii="Times New Roman" w:hAnsi="Times New Roman" w:eastAsia="楷体"/>
          <w:b/>
          <w:bCs/>
          <w:sz w:val="32"/>
          <w:szCs w:val="32"/>
        </w:rPr>
      </w:pPr>
      <w:r>
        <w:rPr>
          <w:rFonts w:ascii="Times New Roman" w:hAnsi="Times New Roman" w:eastAsia="楷体" w:cs="Times New Roman"/>
          <w:b/>
          <w:bCs/>
          <w:sz w:val="32"/>
          <w:szCs w:val="32"/>
        </w:rPr>
        <w:t>（</w:t>
      </w:r>
      <w:r>
        <w:rPr>
          <w:rFonts w:hint="eastAsia" w:ascii="Times New Roman" w:hAnsi="Times New Roman" w:eastAsia="楷体" w:cs="Times New Roman"/>
          <w:b/>
          <w:bCs/>
          <w:sz w:val="32"/>
          <w:szCs w:val="32"/>
        </w:rPr>
        <w:t>四</w:t>
      </w:r>
      <w:r>
        <w:rPr>
          <w:rFonts w:ascii="Times New Roman" w:hAnsi="Times New Roman" w:eastAsia="楷体" w:cs="Times New Roman"/>
          <w:b/>
          <w:bCs/>
          <w:sz w:val="32"/>
          <w:szCs w:val="32"/>
        </w:rPr>
        <w:t>）举借债务规模、结构、使用、偿还情况</w:t>
      </w:r>
    </w:p>
    <w:p>
      <w:pPr>
        <w:spacing w:line="600" w:lineRule="exact"/>
        <w:ind w:firstLine="640" w:firstLineChars="200"/>
        <w:rPr>
          <w:rFonts w:ascii="仿宋_GB2312" w:hAnsi="Times New Roman" w:eastAsia="仿宋_GB2312"/>
          <w:kern w:val="0"/>
          <w:sz w:val="32"/>
          <w:szCs w:val="32"/>
        </w:rPr>
      </w:pPr>
      <w:r>
        <w:rPr>
          <w:rFonts w:hint="eastAsia" w:ascii="仿宋_GB2312" w:hAnsi="Times New Roman" w:eastAsia="仿宋_GB2312"/>
          <w:kern w:val="0"/>
          <w:sz w:val="32"/>
          <w:szCs w:val="32"/>
        </w:rPr>
        <w:t>2022年债务总限额532082万元，其中一般债务限额246189万元，专项债务限额285893万元。</w:t>
      </w:r>
    </w:p>
    <w:p>
      <w:pPr>
        <w:spacing w:line="600" w:lineRule="exact"/>
        <w:ind w:firstLine="640" w:firstLineChars="200"/>
        <w:rPr>
          <w:rFonts w:ascii="仿宋_GB2312" w:hAnsi="Times New Roman" w:eastAsia="仿宋_GB2312"/>
          <w:kern w:val="0"/>
          <w:sz w:val="32"/>
          <w:szCs w:val="32"/>
        </w:rPr>
      </w:pPr>
      <w:r>
        <w:rPr>
          <w:rFonts w:hint="eastAsia" w:ascii="仿宋_GB2312" w:hAnsi="Times New Roman" w:eastAsia="仿宋_GB2312"/>
          <w:kern w:val="0"/>
          <w:sz w:val="32"/>
          <w:szCs w:val="32"/>
          <w:lang w:eastAsia="zh-CN"/>
        </w:rPr>
        <w:t>截至2022年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底，全县政府债务余额491743万元，其中一般债券207343万元，专项债券284400万元。当年新增加139300万元，其中一般债券14100万元，专项债券125200万元。主要用于基础设施建设、城区综合整治、医疗健康、滹沱河河道村庄防洪整治、文化创意园、停车场升级改造等。</w:t>
      </w:r>
    </w:p>
    <w:p>
      <w:pPr>
        <w:spacing w:line="600" w:lineRule="exact"/>
        <w:ind w:firstLine="640" w:firstLineChars="200"/>
        <w:rPr>
          <w:rFonts w:ascii="仿宋_GB2312" w:hAnsi="Times New Roman" w:eastAsia="仿宋_GB2312"/>
          <w:kern w:val="0"/>
          <w:sz w:val="32"/>
          <w:szCs w:val="32"/>
        </w:rPr>
      </w:pPr>
      <w:r>
        <w:rPr>
          <w:rFonts w:hint="eastAsia" w:ascii="仿宋_GB2312" w:hAnsi="Times New Roman" w:eastAsia="仿宋_GB2312"/>
          <w:kern w:val="0"/>
          <w:sz w:val="32"/>
          <w:szCs w:val="32"/>
        </w:rPr>
        <w:t>2022年偿还本金14500万元，利息14348万元。</w:t>
      </w:r>
    </w:p>
    <w:p>
      <w:pPr>
        <w:spacing w:line="600" w:lineRule="exact"/>
        <w:ind w:firstLine="640" w:firstLineChars="200"/>
        <w:rPr>
          <w:rFonts w:ascii="黑体" w:hAnsi="黑体" w:eastAsia="黑体"/>
          <w:bCs/>
          <w:sz w:val="32"/>
          <w:szCs w:val="32"/>
        </w:rPr>
      </w:pPr>
      <w:r>
        <w:rPr>
          <w:rFonts w:hint="eastAsia" w:ascii="黑体" w:hAnsi="黑体" w:eastAsia="黑体"/>
          <w:bCs/>
          <w:sz w:val="32"/>
          <w:szCs w:val="32"/>
        </w:rPr>
        <w:t>二、2022年预算执行的主要特点</w:t>
      </w:r>
    </w:p>
    <w:p>
      <w:pPr>
        <w:spacing w:line="600" w:lineRule="exact"/>
        <w:ind w:firstLine="640" w:firstLineChars="200"/>
        <w:rPr>
          <w:rFonts w:ascii="仿宋_GB2312" w:hAnsi="Times New Roman" w:eastAsia="仿宋_GB2312"/>
          <w:kern w:val="0"/>
          <w:sz w:val="32"/>
          <w:szCs w:val="32"/>
        </w:rPr>
      </w:pPr>
      <w:r>
        <w:rPr>
          <w:rFonts w:hint="eastAsia" w:ascii="仿宋_GB2312" w:hAnsi="Times New Roman" w:eastAsia="仿宋_GB2312"/>
          <w:kern w:val="0"/>
          <w:sz w:val="32"/>
          <w:szCs w:val="32"/>
        </w:rPr>
        <w:t>今年以来，财税部门紧紧围绕县委、县人大的决策部署及工作要求，各项工作有序开展，并取得了较好成绩。</w:t>
      </w:r>
    </w:p>
    <w:p>
      <w:pPr>
        <w:numPr>
          <w:ilvl w:val="0"/>
          <w:numId w:val="1"/>
        </w:numPr>
        <w:spacing w:line="600" w:lineRule="exact"/>
        <w:ind w:firstLine="643" w:firstLineChars="200"/>
        <w:rPr>
          <w:rFonts w:ascii="楷体_GB2312" w:hAnsi="楷体" w:eastAsia="楷体_GB2312" w:cs="楷体"/>
          <w:b/>
          <w:sz w:val="32"/>
          <w:szCs w:val="32"/>
        </w:rPr>
      </w:pPr>
      <w:r>
        <w:rPr>
          <w:rFonts w:hint="eastAsia" w:ascii="楷体_GB2312" w:hAnsi="楷体" w:eastAsia="楷体_GB2312" w:cs="楷体"/>
          <w:b/>
          <w:sz w:val="32"/>
          <w:szCs w:val="32"/>
        </w:rPr>
        <w:t>一般公共预算收入超额完成全年任务目标</w:t>
      </w:r>
    </w:p>
    <w:p>
      <w:pPr>
        <w:spacing w:line="600" w:lineRule="exact"/>
        <w:ind w:firstLine="640" w:firstLineChars="200"/>
        <w:rPr>
          <w:rFonts w:ascii="仿宋_GB2312" w:hAnsi="Times New Roman" w:eastAsia="仿宋_GB2312"/>
          <w:kern w:val="0"/>
          <w:sz w:val="32"/>
          <w:szCs w:val="32"/>
        </w:rPr>
      </w:pPr>
      <w:r>
        <w:rPr>
          <w:rFonts w:hint="eastAsia" w:ascii="仿宋_GB2312" w:hAnsi="Times New Roman" w:eastAsia="仿宋_GB2312"/>
          <w:kern w:val="0"/>
          <w:sz w:val="32"/>
          <w:szCs w:val="32"/>
        </w:rPr>
        <w:t>全县一般公共预算收入完成101102万元，突破10亿元，占预算的102.1%，增收9472万元，增长10.02%。主要是清理耕地占用税、房地产业欠缴税费以及受工业生产平稳增长、服务业加快恢复、企业经营效益提高等因素影响。</w:t>
      </w:r>
    </w:p>
    <w:p>
      <w:pPr>
        <w:spacing w:line="600" w:lineRule="exact"/>
        <w:ind w:firstLine="643" w:firstLineChars="200"/>
        <w:rPr>
          <w:rFonts w:ascii="楷体_GB2312" w:eastAsia="楷体_GB2312"/>
          <w:b/>
          <w:sz w:val="32"/>
          <w:szCs w:val="32"/>
        </w:rPr>
      </w:pPr>
      <w:r>
        <w:rPr>
          <w:rFonts w:hint="eastAsia" w:ascii="楷体_GB2312" w:hAnsi="楷体" w:eastAsia="楷体_GB2312" w:cs="楷体"/>
          <w:b/>
          <w:sz w:val="32"/>
          <w:szCs w:val="32"/>
        </w:rPr>
        <w:t>（二）加快支出进度，保障重点支出</w:t>
      </w:r>
    </w:p>
    <w:p>
      <w:pPr>
        <w:spacing w:line="600" w:lineRule="exact"/>
        <w:ind w:firstLine="640" w:firstLineChars="200"/>
        <w:rPr>
          <w:rFonts w:ascii="仿宋_GB2312" w:hAnsi="Times New Roman" w:eastAsia="仿宋_GB2312"/>
          <w:kern w:val="0"/>
          <w:sz w:val="32"/>
          <w:szCs w:val="32"/>
        </w:rPr>
      </w:pPr>
      <w:r>
        <w:rPr>
          <w:rFonts w:hint="eastAsia" w:ascii="仿宋_GB2312" w:hAnsi="Times New Roman" w:eastAsia="仿宋_GB2312"/>
          <w:kern w:val="0"/>
          <w:sz w:val="32"/>
          <w:szCs w:val="32"/>
        </w:rPr>
        <w:t>财政部门加强资源统筹，合理确定保障重点和支出顺序，对最急需最紧迫的大事优先安排，对必保的刚性支出足额保障，切实兜牢兜实“三保”底线，并着力发挥财政资金对优化经济结构的撬动作用，全县一般公共预算支出累计完成398595万元，为保障基层财政运行、补齐公共卫生服务体系短板、促进教育等社会事业发展、兜牢民生底线提供了有力保障。民生支出完成317544万元，占一般公共预算支出的80%，七项重点支出完成  312205万元，占一般公共预算支出的78.3 %，同比增长15.1%，需要特别说明的是，今年县财政共筹集、支付各类防疫防控资金5854万元，为我县核酸检测、疫苗接种、疫情防控提供了资金保证。</w:t>
      </w:r>
    </w:p>
    <w:p>
      <w:pPr>
        <w:spacing w:line="600" w:lineRule="exact"/>
        <w:ind w:firstLine="643" w:firstLineChars="200"/>
        <w:rPr>
          <w:rFonts w:ascii="楷体_GB2312" w:hAnsi="楷体" w:eastAsia="楷体_GB2312"/>
          <w:b/>
          <w:bCs/>
          <w:sz w:val="32"/>
          <w:szCs w:val="32"/>
        </w:rPr>
      </w:pPr>
      <w:r>
        <w:rPr>
          <w:rFonts w:hint="eastAsia" w:ascii="楷体_GB2312" w:hAnsi="楷体" w:eastAsia="楷体_GB2312"/>
          <w:b/>
          <w:bCs/>
          <w:sz w:val="32"/>
          <w:szCs w:val="32"/>
        </w:rPr>
        <w:t>（三）严格落实稳住经济一揽子政策措施</w:t>
      </w:r>
    </w:p>
    <w:p>
      <w:pPr>
        <w:spacing w:line="600" w:lineRule="exact"/>
        <w:ind w:firstLine="640" w:firstLineChars="20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/>
          <w:kern w:val="0"/>
          <w:sz w:val="32"/>
          <w:szCs w:val="32"/>
        </w:rPr>
        <w:t>加大退税减税政策实施力度，全年留抵退税10620万元；加快各类资金支出进度，尽快落实到具体单位和项目；加快专项债券资金拨付使用，尽快形成实物工作量；发挥政府性农业融资担保机构支小支农作用，落实小微企业融资担保降费奖补政策；落实政府采购货物服务项目预留中小企业份额30%以上的要求，提高政府采购工程面向中小企业预留份额；扩大实施社保费缓缴政策，加大稳岗支持力度；加强基本民生保障，用好困难群众救助补助资金；加大创业担保贷款贴息力度，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落实好社会救助和保障标准与物价上涨挂钩联动机制。</w:t>
      </w:r>
    </w:p>
    <w:p>
      <w:pPr>
        <w:widowControl/>
        <w:spacing w:line="600" w:lineRule="exact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（四）加强财政投资评审工作</w:t>
      </w:r>
    </w:p>
    <w:p>
      <w:pPr>
        <w:spacing w:line="600" w:lineRule="exact"/>
        <w:ind w:firstLine="640" w:firstLineChars="200"/>
        <w:rPr>
          <w:rFonts w:ascii="仿宋_GB2312" w:hAnsi="楷体_GB2312" w:eastAsia="仿宋_GB2312" w:cs="楷体_GB2312"/>
          <w:bCs/>
          <w:sz w:val="32"/>
          <w:szCs w:val="32"/>
        </w:rPr>
      </w:pPr>
      <w:r>
        <w:rPr>
          <w:rFonts w:hint="eastAsia" w:ascii="仿宋_GB2312" w:hAnsi="楷体_GB2312" w:eastAsia="仿宋_GB2312" w:cs="楷体_GB2312"/>
          <w:bCs/>
          <w:sz w:val="32"/>
          <w:szCs w:val="32"/>
        </w:rPr>
        <w:t>全年共完成财政评审项目138项，送审金额90931万元，审定金额81887万元，审减9044万元，平均审减率10%。高标准完成了2022年老旧小区建筑主体改造项目和配套基础设施改造项目、无极县环境全域保洁服务、无极县高头回族乡道路改建项目、无极县2021-2022年度农村生活水源江水置换、无极县联村水厂供水管网江水置换项目、无极县城镇基础设施提升改造项目</w:t>
      </w:r>
      <w:r>
        <w:rPr>
          <w:rFonts w:hint="eastAsia" w:ascii="仿宋_GB2312" w:hAnsi="Times New Roman" w:eastAsia="仿宋_GB2312"/>
          <w:kern w:val="0"/>
          <w:sz w:val="32"/>
          <w:szCs w:val="32"/>
        </w:rPr>
        <w:t>——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生活垃圾填埋场雨污分流管网及附属设施工程等重点项目评审工作。</w:t>
      </w:r>
    </w:p>
    <w:p>
      <w:pPr>
        <w:spacing w:line="600" w:lineRule="exact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（五）严格政府采购项目管理</w:t>
      </w:r>
    </w:p>
    <w:p>
      <w:pPr>
        <w:spacing w:line="600" w:lineRule="exact"/>
        <w:ind w:firstLine="640" w:firstLineChars="200"/>
        <w:rPr>
          <w:rFonts w:ascii="仿宋_GB2312" w:hAnsi="楷体_GB2312" w:eastAsia="仿宋_GB2312" w:cs="楷体_GB2312"/>
          <w:bCs/>
          <w:sz w:val="32"/>
          <w:szCs w:val="32"/>
        </w:rPr>
      </w:pPr>
      <w:r>
        <w:rPr>
          <w:rFonts w:hint="eastAsia" w:ascii="仿宋_GB2312" w:hAnsi="楷体_GB2312" w:eastAsia="仿宋_GB2312" w:cs="楷体_GB2312"/>
          <w:bCs/>
          <w:sz w:val="32"/>
          <w:szCs w:val="32"/>
        </w:rPr>
        <w:t>我县政府采购工作坚持“规范、高效、公正、廉洁”的工作理念，以政府采购监管为中心，狠抓管理制度化、程序规范化、办事透明化、服务效率化，确保了政府采购项目优质高效地完成。2022年全县共执行政府采购项目预算97700万元，实际采购金额完成94100万元,节约资金3600万元。</w:t>
      </w:r>
    </w:p>
    <w:p>
      <w:pPr>
        <w:spacing w:line="600" w:lineRule="exact"/>
        <w:ind w:firstLine="643" w:firstLineChars="200"/>
        <w:rPr>
          <w:rFonts w:ascii="楷体" w:hAnsi="楷体" w:eastAsia="楷体"/>
          <w:b/>
          <w:bCs/>
          <w:sz w:val="32"/>
          <w:szCs w:val="32"/>
        </w:rPr>
      </w:pPr>
      <w:r>
        <w:rPr>
          <w:rFonts w:hint="eastAsia" w:ascii="楷体" w:hAnsi="楷体" w:eastAsia="楷体"/>
          <w:b/>
          <w:bCs/>
          <w:sz w:val="32"/>
          <w:szCs w:val="32"/>
        </w:rPr>
        <w:t>（六）开展“双问计”活动，积极争取上级资金</w:t>
      </w:r>
    </w:p>
    <w:p>
      <w:pPr>
        <w:spacing w:line="600" w:lineRule="exact"/>
        <w:ind w:firstLine="640" w:firstLineChars="200"/>
        <w:rPr>
          <w:rFonts w:ascii="仿宋_GB2312" w:hAnsi="楷体_GB2312" w:eastAsia="仿宋_GB2312" w:cs="楷体_GB2312"/>
          <w:bCs/>
          <w:sz w:val="32"/>
          <w:szCs w:val="32"/>
        </w:rPr>
      </w:pPr>
      <w:r>
        <w:rPr>
          <w:rFonts w:hint="eastAsia" w:ascii="仿宋_GB2312" w:hAnsi="楷体_GB2312" w:eastAsia="仿宋_GB2312" w:cs="楷体_GB2312"/>
          <w:bCs/>
          <w:sz w:val="32"/>
          <w:szCs w:val="32"/>
        </w:rPr>
        <w:t>2022年继续开展问计省市财政，一是全力争取政府新增债券资金，省下达新增一般债券14100万元，专项债券125200万元</w:t>
      </w:r>
      <w:r>
        <w:rPr>
          <w:rFonts w:hint="eastAsia" w:ascii="仿宋" w:hAnsi="仿宋" w:eastAsia="仿宋"/>
          <w:sz w:val="32"/>
          <w:szCs w:val="32"/>
        </w:rPr>
        <w:t>；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二是积极争取财力性补助资金25000万元，极大地缓解了县级财力压力，持续为无极发展、建设助力。</w:t>
      </w:r>
    </w:p>
    <w:p>
      <w:pPr>
        <w:spacing w:line="600" w:lineRule="exact"/>
        <w:ind w:firstLine="640" w:firstLineChars="200"/>
        <w:rPr>
          <w:rFonts w:ascii="仿宋_GB2312" w:hAnsi="楷体_GB2312" w:eastAsia="仿宋_GB2312" w:cs="楷体_GB2312"/>
          <w:bCs/>
          <w:sz w:val="32"/>
          <w:szCs w:val="32"/>
        </w:rPr>
      </w:pPr>
      <w:r>
        <w:rPr>
          <w:rFonts w:hint="eastAsia" w:ascii="仿宋_GB2312" w:hAnsi="楷体_GB2312" w:eastAsia="仿宋_GB2312" w:cs="楷体_GB2312"/>
          <w:bCs/>
          <w:sz w:val="32"/>
          <w:szCs w:val="32"/>
        </w:rPr>
        <w:t>各位代表，尽管财税工作取得了很大成绩，同时我们也清醒地认识到，财政运行面临风险和压力，收支矛盾更加尖锐，仍在紧平衡下负重前行。税收收入的减免缓退政策和刚性支出双重叠加，财政预算平衡更加困难；政府债务还款压力增加，尤其是专项债券潜在风险防控任务较重。对此，我们将认真对待、高度重视，采取有力措施加以解决。</w:t>
      </w:r>
    </w:p>
    <w:p>
      <w:pPr>
        <w:spacing w:line="60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三、2023年预算安排情况</w:t>
      </w:r>
    </w:p>
    <w:p>
      <w:pPr>
        <w:spacing w:line="600" w:lineRule="exact"/>
        <w:ind w:firstLine="640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2023年，是贯彻落实党的二十大精神的开局之年，是全面建设社会主义现代化国家的关键之年，做好明年的财税工作意义重大。今年财税工作的总体要求是：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坚持以习近平新时代中国特色社会主义思想为指导，深入学习宣传贯彻党的二十大精神，全面落实国家、省市“两会”和县十二届四次全会精神，坚持稳中求进工作总基调，紧紧围绕建设“实业强县、幸福无极”奋斗目标，提高收入质量，保障重点支出，防范债务风险，为全面启动制造强县、幸福无极建设，提供财力保障。</w:t>
      </w:r>
    </w:p>
    <w:p>
      <w:pPr>
        <w:spacing w:line="60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基于以上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总体要求</w:t>
      </w:r>
      <w:r>
        <w:rPr>
          <w:rFonts w:ascii="Times New Roman" w:hAnsi="Times New Roman" w:eastAsia="仿宋_GB2312" w:cs="Times New Roman"/>
          <w:sz w:val="32"/>
          <w:szCs w:val="32"/>
        </w:rPr>
        <w:t>，202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3</w:t>
      </w:r>
      <w:r>
        <w:rPr>
          <w:rFonts w:ascii="Times New Roman" w:hAnsi="Times New Roman" w:eastAsia="仿宋_GB2312" w:cs="Times New Roman"/>
          <w:sz w:val="32"/>
          <w:szCs w:val="32"/>
        </w:rPr>
        <w:t>年预算草案总体安排如下：</w:t>
      </w:r>
    </w:p>
    <w:p>
      <w:pPr>
        <w:spacing w:line="600" w:lineRule="exact"/>
        <w:ind w:firstLine="643" w:firstLineChars="200"/>
        <w:rPr>
          <w:rFonts w:ascii="仿宋_GB2312" w:hAnsi="宋体" w:eastAsia="仿宋_GB2312"/>
          <w:sz w:val="32"/>
          <w:szCs w:val="32"/>
        </w:rPr>
      </w:pPr>
      <w:r>
        <w:rPr>
          <w:rFonts w:ascii="Times New Roman" w:hAnsi="Times New Roman" w:eastAsia="楷体_GB2312" w:cs="Times New Roman"/>
          <w:b/>
          <w:bCs/>
          <w:sz w:val="32"/>
          <w:szCs w:val="32"/>
        </w:rPr>
        <w:t>（一）一般公共预算。</w:t>
      </w:r>
      <w:r>
        <w:rPr>
          <w:rFonts w:hint="eastAsia" w:ascii="仿宋_GB2312" w:hAnsi="仿宋_GB2312" w:eastAsia="仿宋_GB2312" w:cs="仿宋_GB2312"/>
          <w:sz w:val="32"/>
          <w:szCs w:val="32"/>
        </w:rPr>
        <w:t>一般公共预算收入安排110200万元，增长9%。按照现行财政体制测算，加上税收返还、转移支付、调入资金等3</w:t>
      </w:r>
      <w:r>
        <w:rPr>
          <w:rFonts w:ascii="仿宋_GB2312" w:hAnsi="仿宋_GB2312" w:eastAsia="仿宋_GB2312" w:cs="仿宋_GB2312"/>
          <w:sz w:val="32"/>
          <w:szCs w:val="32"/>
        </w:rPr>
        <w:t>300</w:t>
      </w:r>
      <w:r>
        <w:rPr>
          <w:rFonts w:hint="eastAsia" w:ascii="仿宋_GB2312" w:hAnsi="仿宋_GB2312" w:eastAsia="仿宋_GB2312" w:cs="仿宋_GB2312"/>
          <w:sz w:val="32"/>
          <w:szCs w:val="32"/>
        </w:rPr>
        <w:t>22万元，总收入4</w:t>
      </w:r>
      <w:r>
        <w:rPr>
          <w:rFonts w:ascii="仿宋_GB2312" w:hAnsi="仿宋_GB2312" w:eastAsia="仿宋_GB2312" w:cs="仿宋_GB2312"/>
          <w:sz w:val="32"/>
          <w:szCs w:val="32"/>
        </w:rPr>
        <w:t>402</w:t>
      </w:r>
      <w:r>
        <w:rPr>
          <w:rFonts w:hint="eastAsia" w:ascii="仿宋_GB2312" w:hAnsi="仿宋_GB2312" w:eastAsia="仿宋_GB2312" w:cs="仿宋_GB2312"/>
          <w:sz w:val="32"/>
          <w:szCs w:val="32"/>
        </w:rPr>
        <w:t>22万元。按照收支平衡的原则，2023年全县一般公共预算支出安排41</w:t>
      </w:r>
      <w:r>
        <w:rPr>
          <w:rFonts w:ascii="仿宋_GB2312" w:hAnsi="仿宋_GB2312" w:eastAsia="仿宋_GB2312" w:cs="仿宋_GB2312"/>
          <w:sz w:val="32"/>
          <w:szCs w:val="32"/>
        </w:rPr>
        <w:t>96</w:t>
      </w:r>
      <w:r>
        <w:rPr>
          <w:rFonts w:hint="eastAsia" w:ascii="仿宋_GB2312" w:hAnsi="仿宋_GB2312" w:eastAsia="仿宋_GB2312" w:cs="仿宋_GB2312"/>
          <w:sz w:val="32"/>
          <w:szCs w:val="32"/>
        </w:rPr>
        <w:t>51万元,债务还本支出20571万元，</w:t>
      </w:r>
      <w:r>
        <w:rPr>
          <w:rFonts w:hint="eastAsia" w:ascii="仿宋_GB2312" w:hAnsi="宋体" w:eastAsia="仿宋_GB2312"/>
          <w:sz w:val="32"/>
          <w:szCs w:val="32"/>
        </w:rPr>
        <w:t>预算收支平衡。</w:t>
      </w:r>
    </w:p>
    <w:p>
      <w:pPr>
        <w:spacing w:line="600" w:lineRule="exact"/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Times New Roman" w:hAnsi="Times New Roman" w:eastAsia="楷体_GB2312" w:cs="Times New Roman"/>
          <w:b/>
          <w:bCs/>
          <w:sz w:val="32"/>
          <w:szCs w:val="32"/>
        </w:rPr>
        <w:t>（二）政府性基金预算。</w:t>
      </w:r>
      <w:r>
        <w:rPr>
          <w:rFonts w:hint="eastAsia" w:ascii="仿宋_GB2312" w:hAnsi="仿宋_GB2312" w:eastAsia="仿宋_GB2312" w:cs="仿宋_GB2312"/>
          <w:sz w:val="32"/>
          <w:szCs w:val="32"/>
        </w:rPr>
        <w:t>收入预算安排129000万元，其中土地出让收入安排120000万元；加上上年结余及上级补助等</w:t>
      </w:r>
      <w:r>
        <w:rPr>
          <w:rFonts w:ascii="仿宋_GB2312" w:hAnsi="仿宋_GB2312" w:eastAsia="仿宋_GB2312" w:cs="仿宋_GB2312"/>
          <w:sz w:val="32"/>
          <w:szCs w:val="32"/>
        </w:rPr>
        <w:t>126</w:t>
      </w:r>
      <w:r>
        <w:rPr>
          <w:rFonts w:hint="eastAsia" w:ascii="仿宋_GB2312" w:hAnsi="仿宋_GB2312" w:eastAsia="仿宋_GB2312" w:cs="仿宋_GB2312"/>
          <w:sz w:val="32"/>
          <w:szCs w:val="32"/>
        </w:rPr>
        <w:t>183万元，收入总计2</w:t>
      </w:r>
      <w:r>
        <w:rPr>
          <w:rFonts w:ascii="仿宋_GB2312" w:hAnsi="仿宋_GB2312" w:eastAsia="仿宋_GB2312" w:cs="仿宋_GB2312"/>
          <w:sz w:val="32"/>
          <w:szCs w:val="32"/>
        </w:rPr>
        <w:t>55</w:t>
      </w:r>
      <w:r>
        <w:rPr>
          <w:rFonts w:hint="eastAsia" w:ascii="仿宋_GB2312" w:hAnsi="仿宋_GB2312" w:eastAsia="仿宋_GB2312" w:cs="仿宋_GB2312"/>
          <w:sz w:val="32"/>
          <w:szCs w:val="32"/>
        </w:rPr>
        <w:t>183万元。支出预算安排1</w:t>
      </w:r>
      <w:r>
        <w:rPr>
          <w:rFonts w:ascii="仿宋_GB2312" w:hAnsi="仿宋_GB2312" w:eastAsia="仿宋_GB2312" w:cs="仿宋_GB2312"/>
          <w:sz w:val="32"/>
          <w:szCs w:val="32"/>
        </w:rPr>
        <w:t>86</w:t>
      </w:r>
      <w:r>
        <w:rPr>
          <w:rFonts w:hint="eastAsia" w:ascii="仿宋_GB2312" w:hAnsi="仿宋_GB2312" w:eastAsia="仿宋_GB2312" w:cs="仿宋_GB2312"/>
          <w:sz w:val="32"/>
          <w:szCs w:val="32"/>
        </w:rPr>
        <w:t>983万元，加上调入一般公共预算54200万元，专项债券还本14000万元，支出总计2</w:t>
      </w:r>
      <w:r>
        <w:rPr>
          <w:rFonts w:ascii="仿宋_GB2312" w:hAnsi="仿宋_GB2312" w:eastAsia="仿宋_GB2312" w:cs="仿宋_GB2312"/>
          <w:sz w:val="32"/>
          <w:szCs w:val="32"/>
        </w:rPr>
        <w:t>55</w:t>
      </w:r>
      <w:r>
        <w:rPr>
          <w:rFonts w:hint="eastAsia" w:ascii="仿宋_GB2312" w:hAnsi="仿宋_GB2312" w:eastAsia="仿宋_GB2312" w:cs="仿宋_GB2312"/>
          <w:sz w:val="32"/>
          <w:szCs w:val="32"/>
        </w:rPr>
        <w:t>183万元，收支平衡。</w:t>
      </w:r>
    </w:p>
    <w:p>
      <w:pPr>
        <w:spacing w:line="600" w:lineRule="exact"/>
        <w:ind w:firstLine="643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楷体_GB2312" w:cs="Times New Roman"/>
          <w:b/>
          <w:bCs/>
          <w:sz w:val="32"/>
          <w:szCs w:val="32"/>
        </w:rPr>
        <w:t>（三）国有资本经营预算。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依据我县目前国有企业状况，暂未安排国有资本经营预算，年度执行中如有需求将进行预算调整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spacing w:line="600" w:lineRule="exact"/>
        <w:ind w:left="210" w:leftChars="100" w:firstLine="321" w:firstLineChars="1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Times New Roman" w:hAnsi="Times New Roman" w:eastAsia="楷体_GB2312" w:cs="Times New Roman"/>
          <w:b/>
          <w:bCs/>
          <w:sz w:val="32"/>
          <w:szCs w:val="32"/>
        </w:rPr>
        <w:t>（四）社会保险基金预算。</w:t>
      </w:r>
      <w:r>
        <w:rPr>
          <w:rFonts w:hint="eastAsia" w:ascii="仿宋_GB2312" w:hAnsi="仿宋_GB2312" w:eastAsia="仿宋_GB2312" w:cs="仿宋_GB2312"/>
          <w:sz w:val="32"/>
          <w:szCs w:val="32"/>
        </w:rPr>
        <w:t>全年社会保险基金预算收入安排50653万元，支出安排45216万元，年末滚存结余48936万元。</w:t>
      </w:r>
    </w:p>
    <w:p>
      <w:pPr>
        <w:spacing w:line="60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四、做好2023年财税管理工作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2023年，我们将认真落实县委、县人大各项决策部署和工作要求，围绕上述预算安排，坚持依法理财，落实减税政策，强化预算约束，严控债务风险，树立长期过“紧日子”思想，努力完成全年预算任务。</w:t>
      </w:r>
    </w:p>
    <w:p>
      <w:pPr>
        <w:pStyle w:val="11"/>
        <w:spacing w:line="600" w:lineRule="exact"/>
        <w:ind w:firstLine="643"/>
        <w:rPr>
          <w:rFonts w:hint="default" w:ascii="Times New Roman" w:hAnsi="Times New Roman" w:eastAsia="楷体_GB2312" w:cs="Times New Roman"/>
          <w:b/>
          <w:bCs/>
          <w:sz w:val="32"/>
          <w:szCs w:val="32"/>
        </w:rPr>
      </w:pPr>
      <w:r>
        <w:rPr>
          <w:rFonts w:ascii="Times New Roman" w:hAnsi="Times New Roman" w:eastAsia="楷体_GB2312" w:cs="Times New Roman"/>
          <w:b/>
          <w:bCs/>
          <w:sz w:val="32"/>
          <w:szCs w:val="32"/>
        </w:rPr>
        <w:t>（一）加强预算约束和管理</w:t>
      </w:r>
    </w:p>
    <w:p>
      <w:pPr>
        <w:spacing w:line="60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严格执行《预算法》和《中华人民共和国预算法实施条例》以及相关法律法规，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做好财政收支管理工作</w:t>
      </w:r>
      <w:r>
        <w:rPr>
          <w:rFonts w:ascii="Times New Roman" w:hAnsi="Times New Roman" w:eastAsia="仿宋_GB2312" w:cs="Times New Roman"/>
          <w:sz w:val="32"/>
          <w:szCs w:val="32"/>
        </w:rPr>
        <w:t>。依法组织收入，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应收尽收，</w:t>
      </w:r>
      <w:r>
        <w:rPr>
          <w:rFonts w:ascii="Times New Roman" w:hAnsi="Times New Roman" w:eastAsia="仿宋_GB2312" w:cs="Times New Roman"/>
          <w:sz w:val="32"/>
          <w:szCs w:val="32"/>
        </w:rPr>
        <w:t>不搞虚收空转、不收过头税费，切实提高收入质量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，确保税收占比50%以上，如期完成年初人大批准的任务目标</w:t>
      </w:r>
      <w:r>
        <w:rPr>
          <w:rFonts w:ascii="Times New Roman" w:hAnsi="Times New Roman" w:eastAsia="仿宋_GB2312" w:cs="Times New Roman"/>
          <w:sz w:val="32"/>
          <w:szCs w:val="32"/>
        </w:rPr>
        <w:t>；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加快健全财政支出督导机制，特别是对用于重点项目建设、有利于稳增长的资金，要早督促、早使用、早见效。直达资金要严管快用，确保直达基层、惠企利民；</w:t>
      </w:r>
      <w:r>
        <w:rPr>
          <w:rFonts w:hint="eastAsia" w:ascii="仿宋_GB2312" w:hAnsi="宋体" w:eastAsia="仿宋_GB2312"/>
          <w:sz w:val="32"/>
          <w:szCs w:val="32"/>
        </w:rPr>
        <w:t>硬化预算刚性约束，</w:t>
      </w:r>
      <w:r>
        <w:rPr>
          <w:rFonts w:ascii="Times New Roman" w:hAnsi="Times New Roman" w:eastAsia="仿宋_GB2312" w:cs="Times New Roman"/>
          <w:sz w:val="32"/>
          <w:szCs w:val="32"/>
        </w:rPr>
        <w:t>严格执行人大批准的财政预算，真正做到无预算不支出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</w:t>
      </w:r>
      <w:r>
        <w:rPr>
          <w:rFonts w:ascii="Times New Roman" w:hAnsi="Times New Roman" w:eastAsia="仿宋_GB2312" w:cs="Times New Roman"/>
          <w:sz w:val="32"/>
          <w:szCs w:val="32"/>
        </w:rPr>
        <w:t>对确需追加的临时预算，财政部门把细把严把实第一关，并严格按程序审批。</w:t>
      </w:r>
    </w:p>
    <w:p>
      <w:pPr>
        <w:pStyle w:val="11"/>
        <w:spacing w:line="600" w:lineRule="exact"/>
        <w:ind w:firstLine="643"/>
        <w:rPr>
          <w:rFonts w:hint="default" w:ascii="Times New Roman" w:hAnsi="Times New Roman" w:eastAsia="楷体_GB2312" w:cs="Times New Roman"/>
          <w:b/>
          <w:bCs/>
          <w:sz w:val="32"/>
          <w:szCs w:val="32"/>
        </w:rPr>
      </w:pPr>
      <w:r>
        <w:rPr>
          <w:rFonts w:ascii="Times New Roman" w:hAnsi="Times New Roman" w:eastAsia="楷体_GB2312" w:cs="Times New Roman"/>
          <w:b/>
          <w:bCs/>
          <w:sz w:val="32"/>
          <w:szCs w:val="32"/>
        </w:rPr>
        <w:t>（二）着力防范化解财政运行风险</w:t>
      </w:r>
    </w:p>
    <w:p>
      <w:pPr>
        <w:spacing w:line="60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一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是</w:t>
      </w:r>
      <w:r>
        <w:rPr>
          <w:rFonts w:ascii="Times New Roman" w:hAnsi="Times New Roman" w:eastAsia="仿宋_GB2312" w:cs="Times New Roman"/>
          <w:sz w:val="32"/>
          <w:szCs w:val="32"/>
        </w:rPr>
        <w:t>要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切实</w:t>
      </w:r>
      <w:r>
        <w:rPr>
          <w:rFonts w:ascii="Times New Roman" w:hAnsi="Times New Roman" w:eastAsia="仿宋_GB2312" w:cs="Times New Roman"/>
          <w:sz w:val="32"/>
          <w:szCs w:val="32"/>
        </w:rPr>
        <w:t>防范财政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运行</w:t>
      </w:r>
      <w:r>
        <w:rPr>
          <w:rFonts w:ascii="Times New Roman" w:hAnsi="Times New Roman" w:eastAsia="仿宋_GB2312" w:cs="Times New Roman"/>
          <w:sz w:val="32"/>
          <w:szCs w:val="32"/>
        </w:rPr>
        <w:t>风险，坚决兜牢“三保”底线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，按照“保工资、保运转、保基本民生”的保障顺序安全支出；</w:t>
      </w:r>
      <w:r>
        <w:rPr>
          <w:rFonts w:ascii="Times New Roman" w:hAnsi="Times New Roman" w:eastAsia="仿宋_GB2312" w:cs="Times New Roman"/>
          <w:sz w:val="32"/>
          <w:szCs w:val="32"/>
        </w:rPr>
        <w:t>充分考虑财政承受能力，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有多少钱、办多少事，</w:t>
      </w:r>
      <w:r>
        <w:rPr>
          <w:rFonts w:ascii="Times New Roman" w:hAnsi="Times New Roman" w:eastAsia="仿宋_GB2312" w:cs="Times New Roman"/>
          <w:sz w:val="32"/>
          <w:szCs w:val="32"/>
        </w:rPr>
        <w:t>合理有序实施项目建设，不搞政绩工程、形象工程；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树立政府长期</w:t>
      </w:r>
      <w:r>
        <w:rPr>
          <w:rFonts w:ascii="Times New Roman" w:hAnsi="Times New Roman" w:eastAsia="仿宋_GB2312" w:cs="Times New Roman"/>
          <w:sz w:val="32"/>
          <w:szCs w:val="32"/>
        </w:rPr>
        <w:t>过“紧日子”思想，把好钢用在刀刃上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。二是</w:t>
      </w:r>
      <w:r>
        <w:rPr>
          <w:rFonts w:ascii="Times New Roman" w:hAnsi="Times New Roman" w:eastAsia="仿宋_GB2312" w:cs="Times New Roman"/>
          <w:sz w:val="32"/>
          <w:szCs w:val="32"/>
        </w:rPr>
        <w:t>要切实防范债务风险，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一方面严格执行债务限额管理，加强风险防控，将政府债务本息足额列入预算，确保如期偿还、不违约；另一方面要努力提高政府性基金收支规模，降低综合债务率。三是要切实防范暂付款风险，持续坚持去存量、禁增量，统筹财力化解消化暂付款，逐步降低暂付款潜在风险。</w:t>
      </w:r>
    </w:p>
    <w:p>
      <w:pPr>
        <w:pStyle w:val="11"/>
        <w:spacing w:line="600" w:lineRule="exact"/>
        <w:ind w:firstLine="643"/>
        <w:rPr>
          <w:rFonts w:hint="default" w:ascii="Times New Roman" w:hAnsi="Times New Roman" w:eastAsia="楷体_GB2312" w:cs="Times New Roman"/>
          <w:b/>
          <w:bCs/>
          <w:sz w:val="32"/>
          <w:szCs w:val="32"/>
        </w:rPr>
      </w:pPr>
      <w:r>
        <w:rPr>
          <w:rFonts w:ascii="Times New Roman" w:hAnsi="Times New Roman" w:eastAsia="楷体_GB2312" w:cs="Times New Roman"/>
          <w:b/>
          <w:bCs/>
          <w:sz w:val="32"/>
          <w:szCs w:val="32"/>
        </w:rPr>
        <w:t>（三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</w:rPr>
        <w:t>）</w:t>
      </w:r>
      <w:r>
        <w:rPr>
          <w:rFonts w:ascii="Times New Roman" w:hAnsi="Times New Roman" w:eastAsia="楷体_GB2312" w:cs="Times New Roman"/>
          <w:b/>
          <w:bCs/>
          <w:sz w:val="32"/>
          <w:szCs w:val="32"/>
        </w:rPr>
        <w:t>继续做好“双问计”争取省市政策支持</w:t>
      </w:r>
    </w:p>
    <w:p>
      <w:pPr>
        <w:pStyle w:val="11"/>
        <w:spacing w:line="600" w:lineRule="exact"/>
        <w:ind w:firstLine="64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积极问计省市财政部门，争取政策和资金支持。要主动向上级财政汇报收支情况、财力状况以及项目的梳理、储备和建设情况，争取财力性转移支付和新增债券额度支持。</w:t>
      </w:r>
    </w:p>
    <w:p>
      <w:pPr>
        <w:pStyle w:val="11"/>
        <w:spacing w:line="600" w:lineRule="exact"/>
        <w:ind w:firstLine="643"/>
        <w:rPr>
          <w:rFonts w:hint="default" w:ascii="Times New Roman" w:hAnsi="Times New Roman" w:eastAsia="楷体_GB2312" w:cs="Times New Roman"/>
          <w:b/>
          <w:bCs/>
          <w:sz w:val="32"/>
          <w:szCs w:val="32"/>
        </w:rPr>
      </w:pPr>
      <w:r>
        <w:rPr>
          <w:rFonts w:ascii="Times New Roman" w:hAnsi="Times New Roman" w:eastAsia="楷体_GB2312" w:cs="Times New Roman"/>
          <w:b/>
          <w:bCs/>
          <w:sz w:val="32"/>
          <w:szCs w:val="32"/>
        </w:rPr>
        <w:t>（四）努力提高人民生活水平</w:t>
      </w:r>
    </w:p>
    <w:p>
      <w:pPr>
        <w:spacing w:line="60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持续保障和改善民生，尽力而为、量力而行，稳步加大民生投入，让群众共享改革发展成果。积极推进民生工程和民生实事，解决群众急难愁盼问题。推进教育事业高质量发展，落实“两个只增不减”要求，支持民办教育均衡发展。提高卫生医疗服务水平，满足群众对优质医疗的需求，同时解决好医护人员工资待遇。提高社会保障水平，逐步适时提高低保户、五保户、城乡居民养老标准，落实增加退休人员养老金，完善退役军人服务保障体系，不断提升群众生活品质和水平。</w:t>
      </w:r>
    </w:p>
    <w:p>
      <w:pPr>
        <w:pStyle w:val="11"/>
        <w:spacing w:line="600" w:lineRule="exact"/>
        <w:ind w:firstLine="643"/>
        <w:rPr>
          <w:rFonts w:hint="default" w:ascii="Times New Roman" w:hAnsi="Times New Roman" w:eastAsia="楷体_GB2312" w:cs="Times New Roman"/>
          <w:b/>
          <w:bCs/>
          <w:sz w:val="32"/>
          <w:szCs w:val="32"/>
        </w:rPr>
      </w:pPr>
      <w:r>
        <w:rPr>
          <w:rFonts w:ascii="Times New Roman" w:hAnsi="Times New Roman" w:eastAsia="楷体_GB2312" w:cs="Times New Roman"/>
          <w:b/>
          <w:bCs/>
          <w:sz w:val="32"/>
          <w:szCs w:val="32"/>
        </w:rPr>
        <w:t>（五）强化监督提高效能</w:t>
      </w:r>
    </w:p>
    <w:p>
      <w:pPr>
        <w:spacing w:line="60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加强县人大常委会的日常监督，确保监督常态化；继续推进</w:t>
      </w:r>
      <w:r>
        <w:rPr>
          <w:rFonts w:ascii="Times New Roman" w:hAnsi="Times New Roman" w:eastAsia="仿宋_GB2312" w:cs="Times New Roman"/>
          <w:sz w:val="32"/>
          <w:szCs w:val="32"/>
        </w:rPr>
        <w:t>预算管理一体化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改革</w:t>
      </w:r>
      <w:r>
        <w:rPr>
          <w:rFonts w:ascii="Times New Roman" w:hAnsi="Times New Roman" w:eastAsia="仿宋_GB2312" w:cs="Times New Roman"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确保预算绩效管理全面实施；建立重大政策和项目事前绩效评估机制，尤其是政府专项债券，将审核与评估结果作为预算安排的重要参考依据；进一步提高投资评审和政府采购工作效率，使节约资金与规范化、高效化有机结合；继续推动重点项目的绩效评价工作，提高财政资金使用效益和财政管理科学化、精细化水平。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Hans"/>
        </w:rPr>
        <w:t>各位代表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，2023年的财税工作任重道远。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Hans"/>
        </w:rPr>
        <w:t>我们必须始终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坚</w:t>
      </w:r>
      <w:r>
        <w:rPr>
          <w:rFonts w:hint="eastAsia" w:ascii="仿宋_GB2312" w:hAnsi="仿宋_GB2312" w:eastAsia="仿宋_GB2312" w:cs="仿宋_GB2312"/>
          <w:sz w:val="32"/>
          <w:szCs w:val="32"/>
        </w:rPr>
        <w:t>持以提高收入质量、保障重点支出、防范债务风险为主题</w:t>
      </w: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努力构建平稳、和谐、发展的财政运行模式</w:t>
      </w:r>
      <w:r>
        <w:rPr>
          <w:rFonts w:hint="eastAsia" w:ascii="仿宋_GB2312" w:hAnsi="仿宋_GB2312" w:eastAsia="仿宋_GB2312" w:cs="仿宋_GB2312"/>
          <w:sz w:val="32"/>
          <w:szCs w:val="32"/>
          <w:lang w:eastAsia="zh-Hans"/>
        </w:rPr>
        <w:t>。让我们紧密地团结在以习近平同志为核心的党中央周围，以党的二十大精神为指引，在县委的坚强领导下，在县人大、县政协的监督支持下，</w:t>
      </w:r>
      <w:r>
        <w:rPr>
          <w:rFonts w:hint="eastAsia" w:ascii="仿宋_GB2312" w:hAnsi="仿宋_GB2312" w:eastAsia="仿宋_GB2312" w:cs="仿宋_GB2312"/>
          <w:sz w:val="32"/>
          <w:szCs w:val="32"/>
        </w:rPr>
        <w:t>更好地发挥财政职能作用，为全县经济发展提供财力支撑。</w:t>
      </w:r>
    </w:p>
    <w:sectPr>
      <w:footerReference r:id="rId3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2527573"/>
    </w:sdtPr>
    <w:sdtContent>
      <w:p>
        <w:pPr>
          <w:pStyle w:val="5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>
    <w:pPr>
      <w:pStyle w:val="5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D517019"/>
    <w:multiLevelType w:val="singleLevel"/>
    <w:tmpl w:val="7D517019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Q4MmE2MTUxOTk4ZTFmYWY1NDYzNzI5OTY5NmM3NTEifQ=="/>
  </w:docVars>
  <w:rsids>
    <w:rsidRoot w:val="00F04209"/>
    <w:rsid w:val="00016231"/>
    <w:rsid w:val="0003233B"/>
    <w:rsid w:val="0004526A"/>
    <w:rsid w:val="00050BB6"/>
    <w:rsid w:val="00070D80"/>
    <w:rsid w:val="00081CD4"/>
    <w:rsid w:val="000863E6"/>
    <w:rsid w:val="0009173C"/>
    <w:rsid w:val="00094A57"/>
    <w:rsid w:val="00097A2D"/>
    <w:rsid w:val="000B13D9"/>
    <w:rsid w:val="000B2FAF"/>
    <w:rsid w:val="000B3C9A"/>
    <w:rsid w:val="000B3FDF"/>
    <w:rsid w:val="000C1E6C"/>
    <w:rsid w:val="000D0873"/>
    <w:rsid w:val="000E1CCD"/>
    <w:rsid w:val="000E3CCF"/>
    <w:rsid w:val="000E40C1"/>
    <w:rsid w:val="00111BAD"/>
    <w:rsid w:val="00132A0D"/>
    <w:rsid w:val="00134BE3"/>
    <w:rsid w:val="001404CD"/>
    <w:rsid w:val="001617E4"/>
    <w:rsid w:val="00165294"/>
    <w:rsid w:val="00173051"/>
    <w:rsid w:val="0017766C"/>
    <w:rsid w:val="001907DB"/>
    <w:rsid w:val="00191866"/>
    <w:rsid w:val="00196BE9"/>
    <w:rsid w:val="001B6796"/>
    <w:rsid w:val="001B7CDD"/>
    <w:rsid w:val="001C075A"/>
    <w:rsid w:val="001C0BB1"/>
    <w:rsid w:val="001C68E0"/>
    <w:rsid w:val="001C6A4C"/>
    <w:rsid w:val="001E20F5"/>
    <w:rsid w:val="001E36A1"/>
    <w:rsid w:val="001E6D6A"/>
    <w:rsid w:val="001F1B18"/>
    <w:rsid w:val="00205C52"/>
    <w:rsid w:val="0020696D"/>
    <w:rsid w:val="00206CDF"/>
    <w:rsid w:val="002205FD"/>
    <w:rsid w:val="00227861"/>
    <w:rsid w:val="0023468E"/>
    <w:rsid w:val="0023599B"/>
    <w:rsid w:val="00255E6D"/>
    <w:rsid w:val="00262122"/>
    <w:rsid w:val="0026253B"/>
    <w:rsid w:val="00266430"/>
    <w:rsid w:val="002878E1"/>
    <w:rsid w:val="00297460"/>
    <w:rsid w:val="002C2990"/>
    <w:rsid w:val="003009EF"/>
    <w:rsid w:val="0031568E"/>
    <w:rsid w:val="00316417"/>
    <w:rsid w:val="0032439D"/>
    <w:rsid w:val="00336F3B"/>
    <w:rsid w:val="00341CCE"/>
    <w:rsid w:val="0034274D"/>
    <w:rsid w:val="0034741C"/>
    <w:rsid w:val="00355B46"/>
    <w:rsid w:val="00360F27"/>
    <w:rsid w:val="0037024A"/>
    <w:rsid w:val="00377034"/>
    <w:rsid w:val="0039018D"/>
    <w:rsid w:val="003B012C"/>
    <w:rsid w:val="003C2854"/>
    <w:rsid w:val="003D03D9"/>
    <w:rsid w:val="003D4CE5"/>
    <w:rsid w:val="003E0A4C"/>
    <w:rsid w:val="004441A9"/>
    <w:rsid w:val="00451D14"/>
    <w:rsid w:val="00471E7B"/>
    <w:rsid w:val="00487706"/>
    <w:rsid w:val="004946AD"/>
    <w:rsid w:val="004B288C"/>
    <w:rsid w:val="004B478A"/>
    <w:rsid w:val="004C1C33"/>
    <w:rsid w:val="004D07B4"/>
    <w:rsid w:val="004E04F4"/>
    <w:rsid w:val="004F25F9"/>
    <w:rsid w:val="004F38E6"/>
    <w:rsid w:val="0051468A"/>
    <w:rsid w:val="005267E3"/>
    <w:rsid w:val="0053797E"/>
    <w:rsid w:val="00545863"/>
    <w:rsid w:val="00546E2F"/>
    <w:rsid w:val="00550342"/>
    <w:rsid w:val="00555A54"/>
    <w:rsid w:val="005671CF"/>
    <w:rsid w:val="00570E2D"/>
    <w:rsid w:val="005A7CF2"/>
    <w:rsid w:val="005D19E8"/>
    <w:rsid w:val="005D5981"/>
    <w:rsid w:val="005D710A"/>
    <w:rsid w:val="00604C0C"/>
    <w:rsid w:val="0060735D"/>
    <w:rsid w:val="00614916"/>
    <w:rsid w:val="006302C5"/>
    <w:rsid w:val="00634FA7"/>
    <w:rsid w:val="00683A6B"/>
    <w:rsid w:val="00694137"/>
    <w:rsid w:val="00695695"/>
    <w:rsid w:val="006A5A9C"/>
    <w:rsid w:val="006A61D3"/>
    <w:rsid w:val="006B518C"/>
    <w:rsid w:val="006C3236"/>
    <w:rsid w:val="006D5363"/>
    <w:rsid w:val="0070243F"/>
    <w:rsid w:val="007038B2"/>
    <w:rsid w:val="007245F4"/>
    <w:rsid w:val="00765208"/>
    <w:rsid w:val="00781914"/>
    <w:rsid w:val="007921CE"/>
    <w:rsid w:val="007962A6"/>
    <w:rsid w:val="007D09AD"/>
    <w:rsid w:val="007D67BE"/>
    <w:rsid w:val="00813A67"/>
    <w:rsid w:val="00862735"/>
    <w:rsid w:val="00864F76"/>
    <w:rsid w:val="0086615F"/>
    <w:rsid w:val="00867F4A"/>
    <w:rsid w:val="00875EB8"/>
    <w:rsid w:val="008776F3"/>
    <w:rsid w:val="008A53AC"/>
    <w:rsid w:val="008E374E"/>
    <w:rsid w:val="008E580A"/>
    <w:rsid w:val="008E62D9"/>
    <w:rsid w:val="008F1747"/>
    <w:rsid w:val="008F1EF4"/>
    <w:rsid w:val="008F4040"/>
    <w:rsid w:val="00905FEB"/>
    <w:rsid w:val="00911E14"/>
    <w:rsid w:val="00911EA8"/>
    <w:rsid w:val="00925374"/>
    <w:rsid w:val="00934A85"/>
    <w:rsid w:val="00944394"/>
    <w:rsid w:val="00961411"/>
    <w:rsid w:val="00983FE4"/>
    <w:rsid w:val="0098440D"/>
    <w:rsid w:val="009A4868"/>
    <w:rsid w:val="009D4F67"/>
    <w:rsid w:val="009D7773"/>
    <w:rsid w:val="009E256E"/>
    <w:rsid w:val="009F61A9"/>
    <w:rsid w:val="00A074B0"/>
    <w:rsid w:val="00A24EB6"/>
    <w:rsid w:val="00A520C3"/>
    <w:rsid w:val="00A54439"/>
    <w:rsid w:val="00A66772"/>
    <w:rsid w:val="00A96CD7"/>
    <w:rsid w:val="00AA3EEA"/>
    <w:rsid w:val="00AA690A"/>
    <w:rsid w:val="00AC4D5F"/>
    <w:rsid w:val="00AD75A0"/>
    <w:rsid w:val="00AE3265"/>
    <w:rsid w:val="00B03490"/>
    <w:rsid w:val="00B329AD"/>
    <w:rsid w:val="00B37EAF"/>
    <w:rsid w:val="00B43B8B"/>
    <w:rsid w:val="00B4462D"/>
    <w:rsid w:val="00B45761"/>
    <w:rsid w:val="00B54844"/>
    <w:rsid w:val="00B648CC"/>
    <w:rsid w:val="00B72E3E"/>
    <w:rsid w:val="00BA67B6"/>
    <w:rsid w:val="00BB4235"/>
    <w:rsid w:val="00BC45EA"/>
    <w:rsid w:val="00BC50C6"/>
    <w:rsid w:val="00BC5613"/>
    <w:rsid w:val="00BD4835"/>
    <w:rsid w:val="00C0030F"/>
    <w:rsid w:val="00C005F0"/>
    <w:rsid w:val="00C06345"/>
    <w:rsid w:val="00C36329"/>
    <w:rsid w:val="00C404F4"/>
    <w:rsid w:val="00C44AD3"/>
    <w:rsid w:val="00C51836"/>
    <w:rsid w:val="00C76460"/>
    <w:rsid w:val="00C7732C"/>
    <w:rsid w:val="00C820EB"/>
    <w:rsid w:val="00C87F31"/>
    <w:rsid w:val="00C95966"/>
    <w:rsid w:val="00CB5898"/>
    <w:rsid w:val="00CB595B"/>
    <w:rsid w:val="00CC5285"/>
    <w:rsid w:val="00CE0FCC"/>
    <w:rsid w:val="00D00D9D"/>
    <w:rsid w:val="00D121D9"/>
    <w:rsid w:val="00D129C2"/>
    <w:rsid w:val="00D244E8"/>
    <w:rsid w:val="00D6126E"/>
    <w:rsid w:val="00D84621"/>
    <w:rsid w:val="00D91C6A"/>
    <w:rsid w:val="00DA1B25"/>
    <w:rsid w:val="00DB72DF"/>
    <w:rsid w:val="00DC612A"/>
    <w:rsid w:val="00DC7BC6"/>
    <w:rsid w:val="00DD2877"/>
    <w:rsid w:val="00DD2F71"/>
    <w:rsid w:val="00DD31A3"/>
    <w:rsid w:val="00DF068C"/>
    <w:rsid w:val="00E127E7"/>
    <w:rsid w:val="00E236CD"/>
    <w:rsid w:val="00E457F6"/>
    <w:rsid w:val="00E61A21"/>
    <w:rsid w:val="00E6707B"/>
    <w:rsid w:val="00E67B0B"/>
    <w:rsid w:val="00E7285B"/>
    <w:rsid w:val="00E770AA"/>
    <w:rsid w:val="00E9100C"/>
    <w:rsid w:val="00E96D74"/>
    <w:rsid w:val="00EC1D54"/>
    <w:rsid w:val="00ED1AF8"/>
    <w:rsid w:val="00EE2FE9"/>
    <w:rsid w:val="00EE31A8"/>
    <w:rsid w:val="00F04209"/>
    <w:rsid w:val="00F07F1F"/>
    <w:rsid w:val="00F2495D"/>
    <w:rsid w:val="00F27872"/>
    <w:rsid w:val="00F367BC"/>
    <w:rsid w:val="00F5490F"/>
    <w:rsid w:val="00F66333"/>
    <w:rsid w:val="00F72F33"/>
    <w:rsid w:val="00F84FC1"/>
    <w:rsid w:val="00F9426F"/>
    <w:rsid w:val="00F94E9B"/>
    <w:rsid w:val="00F97922"/>
    <w:rsid w:val="00FC0732"/>
    <w:rsid w:val="00FC090B"/>
    <w:rsid w:val="00FC0DB3"/>
    <w:rsid w:val="00FC1349"/>
    <w:rsid w:val="00FC379A"/>
    <w:rsid w:val="00FF4597"/>
    <w:rsid w:val="02DC547A"/>
    <w:rsid w:val="09B7642E"/>
    <w:rsid w:val="0BFA6974"/>
    <w:rsid w:val="0C7970A8"/>
    <w:rsid w:val="0CD64595"/>
    <w:rsid w:val="11D94E2A"/>
    <w:rsid w:val="1C28391C"/>
    <w:rsid w:val="1DDB6A7F"/>
    <w:rsid w:val="1F222D24"/>
    <w:rsid w:val="27346451"/>
    <w:rsid w:val="2FFB4C6E"/>
    <w:rsid w:val="35051AEB"/>
    <w:rsid w:val="36405027"/>
    <w:rsid w:val="37C85844"/>
    <w:rsid w:val="38E1760F"/>
    <w:rsid w:val="3B6F2225"/>
    <w:rsid w:val="3F434688"/>
    <w:rsid w:val="3FC50758"/>
    <w:rsid w:val="43B46B78"/>
    <w:rsid w:val="44290625"/>
    <w:rsid w:val="45BA545C"/>
    <w:rsid w:val="46D760AE"/>
    <w:rsid w:val="48A969F0"/>
    <w:rsid w:val="4CB063C4"/>
    <w:rsid w:val="4D971C88"/>
    <w:rsid w:val="50BA7DA8"/>
    <w:rsid w:val="511E7147"/>
    <w:rsid w:val="54EF69EA"/>
    <w:rsid w:val="55917F61"/>
    <w:rsid w:val="5C0657C1"/>
    <w:rsid w:val="5C210A50"/>
    <w:rsid w:val="6771116E"/>
    <w:rsid w:val="69B97F5F"/>
    <w:rsid w:val="6CA43024"/>
    <w:rsid w:val="6D8761BE"/>
    <w:rsid w:val="73124ED2"/>
    <w:rsid w:val="746A74D4"/>
    <w:rsid w:val="74EB6735"/>
    <w:rsid w:val="76C51795"/>
    <w:rsid w:val="76F23CBC"/>
    <w:rsid w:val="778E5932"/>
    <w:rsid w:val="78A578E1"/>
    <w:rsid w:val="7A6C2241"/>
    <w:rsid w:val="7B4D01D8"/>
    <w:rsid w:val="7CD022BA"/>
    <w:rsid w:val="7FCC70A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qFormat="1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iPriority="3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TOC2"/>
    <w:basedOn w:val="1"/>
    <w:next w:val="1"/>
    <w:qFormat/>
    <w:uiPriority w:val="0"/>
    <w:pPr>
      <w:widowControl/>
      <w:snapToGrid w:val="0"/>
      <w:spacing w:after="200"/>
      <w:ind w:left="420" w:leftChars="200"/>
      <w:textAlignment w:val="baseline"/>
    </w:pPr>
  </w:style>
  <w:style w:type="paragraph" w:styleId="3">
    <w:name w:val="annotation text"/>
    <w:basedOn w:val="1"/>
    <w:link w:val="14"/>
    <w:unhideWhenUsed/>
    <w:qFormat/>
    <w:uiPriority w:val="99"/>
    <w:pPr>
      <w:jc w:val="left"/>
    </w:pPr>
  </w:style>
  <w:style w:type="paragraph" w:styleId="4">
    <w:name w:val="Balloon Text"/>
    <w:basedOn w:val="1"/>
    <w:link w:val="16"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annotation subject"/>
    <w:basedOn w:val="3"/>
    <w:next w:val="3"/>
    <w:link w:val="15"/>
    <w:unhideWhenUsed/>
    <w:qFormat/>
    <w:uiPriority w:val="99"/>
    <w:rPr>
      <w:b/>
      <w:bCs/>
    </w:rPr>
  </w:style>
  <w:style w:type="character" w:styleId="10">
    <w:name w:val="annotation reference"/>
    <w:basedOn w:val="9"/>
    <w:unhideWhenUsed/>
    <w:qFormat/>
    <w:uiPriority w:val="99"/>
    <w:rPr>
      <w:sz w:val="21"/>
      <w:szCs w:val="21"/>
    </w:rPr>
  </w:style>
  <w:style w:type="paragraph" w:customStyle="1" w:styleId="11">
    <w:name w:val="正文首行缩进 21"/>
    <w:basedOn w:val="12"/>
    <w:qFormat/>
    <w:uiPriority w:val="0"/>
    <w:pPr>
      <w:ind w:firstLine="420"/>
    </w:pPr>
  </w:style>
  <w:style w:type="paragraph" w:customStyle="1" w:styleId="12">
    <w:name w:val="正文文本缩进1"/>
    <w:basedOn w:val="1"/>
    <w:qFormat/>
    <w:uiPriority w:val="0"/>
    <w:pPr>
      <w:spacing w:line="360" w:lineRule="auto"/>
      <w:ind w:firstLine="200" w:firstLineChars="200"/>
      <w:textAlignment w:val="baseline"/>
    </w:pPr>
    <w:rPr>
      <w:rFonts w:hint="eastAsia" w:eastAsia="宋体"/>
      <w:sz w:val="24"/>
    </w:rPr>
  </w:style>
  <w:style w:type="paragraph" w:customStyle="1" w:styleId="13">
    <w:name w:val="列出段落1"/>
    <w:basedOn w:val="1"/>
    <w:qFormat/>
    <w:uiPriority w:val="34"/>
    <w:pPr>
      <w:ind w:firstLine="420" w:firstLineChars="200"/>
    </w:pPr>
  </w:style>
  <w:style w:type="character" w:customStyle="1" w:styleId="14">
    <w:name w:val="批注文字 Char"/>
    <w:basedOn w:val="9"/>
    <w:link w:val="3"/>
    <w:semiHidden/>
    <w:qFormat/>
    <w:uiPriority w:val="99"/>
  </w:style>
  <w:style w:type="character" w:customStyle="1" w:styleId="15">
    <w:name w:val="批注主题 Char"/>
    <w:basedOn w:val="14"/>
    <w:link w:val="7"/>
    <w:semiHidden/>
    <w:qFormat/>
    <w:uiPriority w:val="99"/>
    <w:rPr>
      <w:b/>
      <w:bCs/>
    </w:rPr>
  </w:style>
  <w:style w:type="character" w:customStyle="1" w:styleId="16">
    <w:name w:val="批注框文本 Char"/>
    <w:basedOn w:val="9"/>
    <w:link w:val="4"/>
    <w:semiHidden/>
    <w:qFormat/>
    <w:uiPriority w:val="99"/>
    <w:rPr>
      <w:sz w:val="18"/>
      <w:szCs w:val="18"/>
    </w:rPr>
  </w:style>
  <w:style w:type="character" w:customStyle="1" w:styleId="17">
    <w:name w:val="页眉 Char"/>
    <w:basedOn w:val="9"/>
    <w:link w:val="6"/>
    <w:qFormat/>
    <w:uiPriority w:val="99"/>
    <w:rPr>
      <w:sz w:val="18"/>
      <w:szCs w:val="18"/>
    </w:rPr>
  </w:style>
  <w:style w:type="character" w:customStyle="1" w:styleId="18">
    <w:name w:val="页脚 Char"/>
    <w:basedOn w:val="9"/>
    <w:link w:val="5"/>
    <w:qFormat/>
    <w:uiPriority w:val="99"/>
    <w:rPr>
      <w:sz w:val="18"/>
      <w:szCs w:val="18"/>
    </w:rPr>
  </w:style>
  <w:style w:type="paragraph" w:customStyle="1" w:styleId="19">
    <w:name w:val="_Style 1"/>
    <w:basedOn w:val="1"/>
    <w:qFormat/>
    <w:uiPriority w:val="99"/>
    <w:pPr>
      <w:ind w:firstLine="420" w:firstLineChars="200"/>
    </w:pPr>
    <w:rPr>
      <w:rFonts w:ascii="Calibri" w:hAnsi="Calibri" w:eastAsia="宋体" w:cs="Calibri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9</Pages>
  <Words>687</Words>
  <Characters>3918</Characters>
  <Lines>32</Lines>
  <Paragraphs>9</Paragraphs>
  <TotalTime>253</TotalTime>
  <ScaleCrop>false</ScaleCrop>
  <LinksUpToDate>false</LinksUpToDate>
  <CharactersWithSpaces>4596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2023-01-08T02:21:00Z</dcterms:created>
  <dc:creator>刘 川</dc:creator>
  <cp:lastModifiedBy>Administrator</cp:lastModifiedBy>
  <cp:lastPrinted>2023-01-02T10:15:00Z</cp:lastPrinted>
  <dcterms:modified xsi:type="dcterms:W3CDTF">2024-06-20T13:30:09Z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F916F78AE2C84FD99F0BF8C3C0320A51</vt:lpwstr>
  </property>
</Properties>
</file>