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5</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101无极县人民代表大会常务委员会</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747.51</w:t>
            </w:r>
          </w:p>
        </w:tc>
        <w:tc>
          <w:tcPr>
            <w:tcW w:w="4535" w:type="dxa"/>
            <w:vAlign w:val="center"/>
          </w:tcPr>
          <w:p>
            <w:pPr>
              <w:pStyle w:val="15"/>
            </w:pPr>
            <w:r>
              <w:t>一、一般公共服务支出</w:t>
            </w:r>
          </w:p>
        </w:tc>
        <w:tc>
          <w:tcPr>
            <w:tcW w:w="2126" w:type="dxa"/>
            <w:vAlign w:val="center"/>
          </w:tcPr>
          <w:p>
            <w:pPr>
              <w:pStyle w:val="14"/>
            </w:pPr>
            <w:r>
              <w:t>626.51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747.51</w:t>
            </w:r>
          </w:p>
        </w:tc>
        <w:tc>
          <w:tcPr>
            <w:tcW w:w="4535" w:type="dxa"/>
            <w:vAlign w:val="center"/>
          </w:tcPr>
          <w:p>
            <w:pPr>
              <w:pStyle w:val="17"/>
            </w:pPr>
            <w:r>
              <w:t>本年支出合计</w:t>
            </w:r>
          </w:p>
        </w:tc>
        <w:tc>
          <w:tcPr>
            <w:tcW w:w="2126" w:type="dxa"/>
            <w:vAlign w:val="center"/>
          </w:tcPr>
          <w:p>
            <w:pPr>
              <w:pStyle w:val="18"/>
            </w:pPr>
            <w:r>
              <w:t>747.51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747.51</w:t>
            </w:r>
          </w:p>
        </w:tc>
        <w:tc>
          <w:tcPr>
            <w:tcW w:w="4535" w:type="dxa"/>
            <w:vAlign w:val="center"/>
          </w:tcPr>
          <w:p>
            <w:pPr>
              <w:pStyle w:val="17"/>
            </w:pPr>
            <w:r>
              <w:t>支出总计</w:t>
            </w:r>
          </w:p>
        </w:tc>
        <w:tc>
          <w:tcPr>
            <w:tcW w:w="2126" w:type="dxa"/>
            <w:vAlign w:val="center"/>
          </w:tcPr>
          <w:p>
            <w:pPr>
              <w:pStyle w:val="18"/>
            </w:pPr>
            <w:r>
              <w:t>747.51</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101无极县人民代表大会常务委员会</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747.51</w:t>
            </w:r>
          </w:p>
        </w:tc>
        <w:tc>
          <w:tcPr>
            <w:tcW w:w="1134" w:type="dxa"/>
            <w:vAlign w:val="center"/>
          </w:tcPr>
          <w:p>
            <w:pPr>
              <w:pStyle w:val="18"/>
            </w:pPr>
            <w:r>
              <w:t>747.51</w:t>
            </w:r>
          </w:p>
        </w:tc>
        <w:tc>
          <w:tcPr>
            <w:tcW w:w="1134" w:type="dxa"/>
            <w:vAlign w:val="center"/>
          </w:tcPr>
          <w:p>
            <w:pPr>
              <w:pStyle w:val="18"/>
            </w:pPr>
            <w:r>
              <w:t>747.51</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626.51</w:t>
            </w:r>
          </w:p>
        </w:tc>
        <w:tc>
          <w:tcPr>
            <w:tcW w:w="1134" w:type="dxa"/>
            <w:vAlign w:val="center"/>
          </w:tcPr>
          <w:p>
            <w:pPr>
              <w:pStyle w:val="14"/>
            </w:pPr>
            <w:r>
              <w:t>626.51</w:t>
            </w:r>
          </w:p>
        </w:tc>
        <w:tc>
          <w:tcPr>
            <w:tcW w:w="1134" w:type="dxa"/>
            <w:vAlign w:val="center"/>
          </w:tcPr>
          <w:p>
            <w:pPr>
              <w:pStyle w:val="14"/>
            </w:pPr>
            <w:r>
              <w:t>626.51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20101</w:t>
            </w:r>
          </w:p>
        </w:tc>
        <w:tc>
          <w:tcPr>
            <w:tcW w:w="1559" w:type="dxa"/>
            <w:vAlign w:val="center"/>
          </w:tcPr>
          <w:p>
            <w:pPr>
              <w:pStyle w:val="15"/>
            </w:pPr>
            <w:r>
              <w:t>人大事务</w:t>
            </w:r>
          </w:p>
        </w:tc>
        <w:tc>
          <w:tcPr>
            <w:tcW w:w="1134" w:type="dxa"/>
            <w:vAlign w:val="center"/>
          </w:tcPr>
          <w:p>
            <w:pPr>
              <w:pStyle w:val="14"/>
            </w:pPr>
            <w:r>
              <w:t>626.51</w:t>
            </w:r>
          </w:p>
        </w:tc>
        <w:tc>
          <w:tcPr>
            <w:tcW w:w="1134" w:type="dxa"/>
            <w:vAlign w:val="center"/>
          </w:tcPr>
          <w:p>
            <w:pPr>
              <w:pStyle w:val="14"/>
            </w:pPr>
            <w:r>
              <w:t>626.51</w:t>
            </w:r>
          </w:p>
        </w:tc>
        <w:tc>
          <w:tcPr>
            <w:tcW w:w="1134" w:type="dxa"/>
            <w:vAlign w:val="center"/>
          </w:tcPr>
          <w:p>
            <w:pPr>
              <w:pStyle w:val="14"/>
            </w:pPr>
            <w:r>
              <w:t>626.51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2010101</w:t>
            </w:r>
          </w:p>
        </w:tc>
        <w:tc>
          <w:tcPr>
            <w:tcW w:w="1559" w:type="dxa"/>
            <w:vAlign w:val="center"/>
          </w:tcPr>
          <w:p>
            <w:pPr>
              <w:pStyle w:val="15"/>
            </w:pPr>
            <w:r>
              <w:t>行政运行</w:t>
            </w:r>
          </w:p>
        </w:tc>
        <w:tc>
          <w:tcPr>
            <w:tcW w:w="1134" w:type="dxa"/>
            <w:vAlign w:val="center"/>
          </w:tcPr>
          <w:p>
            <w:pPr>
              <w:pStyle w:val="14"/>
            </w:pPr>
            <w:r>
              <w:t>547.60</w:t>
            </w:r>
          </w:p>
        </w:tc>
        <w:tc>
          <w:tcPr>
            <w:tcW w:w="1134" w:type="dxa"/>
            <w:vAlign w:val="center"/>
          </w:tcPr>
          <w:p>
            <w:pPr>
              <w:pStyle w:val="14"/>
            </w:pPr>
            <w:r>
              <w:t>547.60</w:t>
            </w:r>
          </w:p>
        </w:tc>
        <w:tc>
          <w:tcPr>
            <w:tcW w:w="1134" w:type="dxa"/>
            <w:vAlign w:val="center"/>
          </w:tcPr>
          <w:p>
            <w:pPr>
              <w:pStyle w:val="14"/>
            </w:pPr>
            <w:r>
              <w:t>547.60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2010104</w:t>
            </w:r>
          </w:p>
        </w:tc>
        <w:tc>
          <w:tcPr>
            <w:tcW w:w="1559" w:type="dxa"/>
            <w:vAlign w:val="center"/>
          </w:tcPr>
          <w:p>
            <w:pPr>
              <w:pStyle w:val="15"/>
            </w:pPr>
            <w:r>
              <w:t>人大会议</w:t>
            </w:r>
          </w:p>
        </w:tc>
        <w:tc>
          <w:tcPr>
            <w:tcW w:w="1134" w:type="dxa"/>
            <w:vAlign w:val="center"/>
          </w:tcPr>
          <w:p>
            <w:pPr>
              <w:pStyle w:val="14"/>
            </w:pPr>
            <w:r>
              <w:t>50.00</w:t>
            </w:r>
          </w:p>
        </w:tc>
        <w:tc>
          <w:tcPr>
            <w:tcW w:w="1134" w:type="dxa"/>
            <w:vAlign w:val="center"/>
          </w:tcPr>
          <w:p>
            <w:pPr>
              <w:pStyle w:val="14"/>
            </w:pPr>
            <w:r>
              <w:t>50.00</w:t>
            </w:r>
          </w:p>
        </w:tc>
        <w:tc>
          <w:tcPr>
            <w:tcW w:w="1134" w:type="dxa"/>
            <w:vAlign w:val="center"/>
          </w:tcPr>
          <w:p>
            <w:pPr>
              <w:pStyle w:val="14"/>
            </w:pPr>
            <w:r>
              <w:t>50.00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2010108</w:t>
            </w:r>
          </w:p>
        </w:tc>
        <w:tc>
          <w:tcPr>
            <w:tcW w:w="1559" w:type="dxa"/>
            <w:vAlign w:val="center"/>
          </w:tcPr>
          <w:p>
            <w:pPr>
              <w:pStyle w:val="15"/>
            </w:pPr>
            <w:r>
              <w:t>代表工作</w:t>
            </w:r>
          </w:p>
        </w:tc>
        <w:tc>
          <w:tcPr>
            <w:tcW w:w="1134" w:type="dxa"/>
            <w:vAlign w:val="center"/>
          </w:tcPr>
          <w:p>
            <w:pPr>
              <w:pStyle w:val="14"/>
            </w:pPr>
            <w:r>
              <w:t>28.91</w:t>
            </w:r>
          </w:p>
        </w:tc>
        <w:tc>
          <w:tcPr>
            <w:tcW w:w="1134" w:type="dxa"/>
            <w:vAlign w:val="center"/>
          </w:tcPr>
          <w:p>
            <w:pPr>
              <w:pStyle w:val="14"/>
            </w:pPr>
            <w:r>
              <w:t>28.91</w:t>
            </w:r>
          </w:p>
        </w:tc>
        <w:tc>
          <w:tcPr>
            <w:tcW w:w="1134" w:type="dxa"/>
            <w:vAlign w:val="center"/>
          </w:tcPr>
          <w:p>
            <w:pPr>
              <w:pStyle w:val="14"/>
            </w:pPr>
            <w:r>
              <w:t>28.91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80.00</w:t>
            </w:r>
          </w:p>
        </w:tc>
        <w:tc>
          <w:tcPr>
            <w:tcW w:w="1134" w:type="dxa"/>
            <w:vAlign w:val="center"/>
          </w:tcPr>
          <w:p>
            <w:pPr>
              <w:pStyle w:val="14"/>
            </w:pPr>
            <w:r>
              <w:t>80.00</w:t>
            </w:r>
          </w:p>
        </w:tc>
        <w:tc>
          <w:tcPr>
            <w:tcW w:w="1134" w:type="dxa"/>
            <w:vAlign w:val="center"/>
          </w:tcPr>
          <w:p>
            <w:pPr>
              <w:pStyle w:val="14"/>
            </w:pPr>
            <w:r>
              <w:t>80.00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80.00</w:t>
            </w:r>
          </w:p>
        </w:tc>
        <w:tc>
          <w:tcPr>
            <w:tcW w:w="1134" w:type="dxa"/>
            <w:vAlign w:val="center"/>
          </w:tcPr>
          <w:p>
            <w:pPr>
              <w:pStyle w:val="14"/>
            </w:pPr>
            <w:r>
              <w:t>80.00</w:t>
            </w:r>
          </w:p>
        </w:tc>
        <w:tc>
          <w:tcPr>
            <w:tcW w:w="1134" w:type="dxa"/>
            <w:vAlign w:val="center"/>
          </w:tcPr>
          <w:p>
            <w:pPr>
              <w:pStyle w:val="14"/>
            </w:pPr>
            <w:r>
              <w:t>80.00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66.00</w:t>
            </w:r>
          </w:p>
        </w:tc>
        <w:tc>
          <w:tcPr>
            <w:tcW w:w="1134" w:type="dxa"/>
            <w:vAlign w:val="center"/>
          </w:tcPr>
          <w:p>
            <w:pPr>
              <w:pStyle w:val="14"/>
            </w:pPr>
            <w:r>
              <w:t>66.00</w:t>
            </w:r>
          </w:p>
        </w:tc>
        <w:tc>
          <w:tcPr>
            <w:tcW w:w="1134" w:type="dxa"/>
            <w:vAlign w:val="center"/>
          </w:tcPr>
          <w:p>
            <w:pPr>
              <w:pStyle w:val="14"/>
            </w:pPr>
            <w:r>
              <w:t>66.00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2080506</w:t>
            </w:r>
          </w:p>
        </w:tc>
        <w:tc>
          <w:tcPr>
            <w:tcW w:w="1559" w:type="dxa"/>
            <w:vAlign w:val="center"/>
          </w:tcPr>
          <w:p>
            <w:pPr>
              <w:pStyle w:val="15"/>
            </w:pPr>
            <w:r>
              <w:t>机关事业单位职业年金缴费支出</w:t>
            </w:r>
          </w:p>
        </w:tc>
        <w:tc>
          <w:tcPr>
            <w:tcW w:w="1134" w:type="dxa"/>
            <w:vAlign w:val="center"/>
          </w:tcPr>
          <w:p>
            <w:pPr>
              <w:pStyle w:val="14"/>
            </w:pPr>
            <w:r>
              <w:t>14.00</w:t>
            </w:r>
          </w:p>
        </w:tc>
        <w:tc>
          <w:tcPr>
            <w:tcW w:w="1134" w:type="dxa"/>
            <w:vAlign w:val="center"/>
          </w:tcPr>
          <w:p>
            <w:pPr>
              <w:pStyle w:val="14"/>
            </w:pPr>
            <w:r>
              <w:t>14.00</w:t>
            </w:r>
          </w:p>
        </w:tc>
        <w:tc>
          <w:tcPr>
            <w:tcW w:w="1134" w:type="dxa"/>
            <w:vAlign w:val="center"/>
          </w:tcPr>
          <w:p>
            <w:pPr>
              <w:pStyle w:val="14"/>
            </w:pPr>
            <w:r>
              <w:t>14.00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r>
              <w:t>41.00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101无极县人民代表大会常务委员会</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747.51</w:t>
            </w:r>
          </w:p>
        </w:tc>
        <w:tc>
          <w:tcPr>
            <w:tcW w:w="1361" w:type="dxa"/>
            <w:vAlign w:val="center"/>
          </w:tcPr>
          <w:p>
            <w:pPr>
              <w:pStyle w:val="18"/>
            </w:pPr>
            <w:r>
              <w:t>668.60</w:t>
            </w:r>
          </w:p>
        </w:tc>
        <w:tc>
          <w:tcPr>
            <w:tcW w:w="1361" w:type="dxa"/>
            <w:vAlign w:val="center"/>
          </w:tcPr>
          <w:p>
            <w:pPr>
              <w:pStyle w:val="18"/>
            </w:pPr>
            <w:r>
              <w:t>78.91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626.51</w:t>
            </w:r>
          </w:p>
        </w:tc>
        <w:tc>
          <w:tcPr>
            <w:tcW w:w="1361" w:type="dxa"/>
            <w:vAlign w:val="center"/>
          </w:tcPr>
          <w:p>
            <w:pPr>
              <w:pStyle w:val="14"/>
            </w:pPr>
            <w:r>
              <w:t>547.60</w:t>
            </w:r>
          </w:p>
        </w:tc>
        <w:tc>
          <w:tcPr>
            <w:tcW w:w="1361" w:type="dxa"/>
            <w:vAlign w:val="center"/>
          </w:tcPr>
          <w:p>
            <w:pPr>
              <w:pStyle w:val="14"/>
            </w:pPr>
            <w:r>
              <w:t>78.91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20101</w:t>
            </w:r>
          </w:p>
        </w:tc>
        <w:tc>
          <w:tcPr>
            <w:tcW w:w="4535" w:type="dxa"/>
            <w:vAlign w:val="center"/>
          </w:tcPr>
          <w:p>
            <w:pPr>
              <w:pStyle w:val="15"/>
            </w:pPr>
            <w:r>
              <w:t>人大事务</w:t>
            </w:r>
          </w:p>
        </w:tc>
        <w:tc>
          <w:tcPr>
            <w:tcW w:w="1361" w:type="dxa"/>
            <w:vAlign w:val="center"/>
          </w:tcPr>
          <w:p>
            <w:pPr>
              <w:pStyle w:val="14"/>
            </w:pPr>
            <w:r>
              <w:t>626.51</w:t>
            </w:r>
          </w:p>
        </w:tc>
        <w:tc>
          <w:tcPr>
            <w:tcW w:w="1361" w:type="dxa"/>
            <w:vAlign w:val="center"/>
          </w:tcPr>
          <w:p>
            <w:pPr>
              <w:pStyle w:val="14"/>
            </w:pPr>
            <w:r>
              <w:t>547.60</w:t>
            </w:r>
          </w:p>
        </w:tc>
        <w:tc>
          <w:tcPr>
            <w:tcW w:w="1361" w:type="dxa"/>
            <w:vAlign w:val="center"/>
          </w:tcPr>
          <w:p>
            <w:pPr>
              <w:pStyle w:val="14"/>
            </w:pPr>
            <w:r>
              <w:t>78.91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2010101</w:t>
            </w:r>
          </w:p>
        </w:tc>
        <w:tc>
          <w:tcPr>
            <w:tcW w:w="4535" w:type="dxa"/>
            <w:vAlign w:val="center"/>
          </w:tcPr>
          <w:p>
            <w:pPr>
              <w:pStyle w:val="15"/>
            </w:pPr>
            <w:r>
              <w:t>行政运行</w:t>
            </w:r>
          </w:p>
        </w:tc>
        <w:tc>
          <w:tcPr>
            <w:tcW w:w="1361" w:type="dxa"/>
            <w:vAlign w:val="center"/>
          </w:tcPr>
          <w:p>
            <w:pPr>
              <w:pStyle w:val="14"/>
            </w:pPr>
            <w:r>
              <w:t>547.60</w:t>
            </w:r>
          </w:p>
        </w:tc>
        <w:tc>
          <w:tcPr>
            <w:tcW w:w="1361" w:type="dxa"/>
            <w:vAlign w:val="center"/>
          </w:tcPr>
          <w:p>
            <w:pPr>
              <w:pStyle w:val="14"/>
            </w:pPr>
            <w:r>
              <w:t>547.60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2010104</w:t>
            </w:r>
          </w:p>
        </w:tc>
        <w:tc>
          <w:tcPr>
            <w:tcW w:w="4535" w:type="dxa"/>
            <w:vAlign w:val="center"/>
          </w:tcPr>
          <w:p>
            <w:pPr>
              <w:pStyle w:val="15"/>
            </w:pPr>
            <w:r>
              <w:t>人大会议</w:t>
            </w:r>
          </w:p>
        </w:tc>
        <w:tc>
          <w:tcPr>
            <w:tcW w:w="1361" w:type="dxa"/>
            <w:vAlign w:val="center"/>
          </w:tcPr>
          <w:p>
            <w:pPr>
              <w:pStyle w:val="14"/>
            </w:pPr>
            <w:r>
              <w:t>50.00</w:t>
            </w:r>
          </w:p>
        </w:tc>
        <w:tc>
          <w:tcPr>
            <w:tcW w:w="1361" w:type="dxa"/>
            <w:vAlign w:val="center"/>
          </w:tcPr>
          <w:p>
            <w:pPr>
              <w:pStyle w:val="14"/>
            </w:pPr>
          </w:p>
        </w:tc>
        <w:tc>
          <w:tcPr>
            <w:tcW w:w="1361" w:type="dxa"/>
            <w:vAlign w:val="center"/>
          </w:tcPr>
          <w:p>
            <w:pPr>
              <w:pStyle w:val="14"/>
            </w:pPr>
            <w:r>
              <w:t>50.00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2010108</w:t>
            </w:r>
          </w:p>
        </w:tc>
        <w:tc>
          <w:tcPr>
            <w:tcW w:w="4535" w:type="dxa"/>
            <w:vAlign w:val="center"/>
          </w:tcPr>
          <w:p>
            <w:pPr>
              <w:pStyle w:val="15"/>
            </w:pPr>
            <w:r>
              <w:t>代表工作</w:t>
            </w:r>
          </w:p>
        </w:tc>
        <w:tc>
          <w:tcPr>
            <w:tcW w:w="1361" w:type="dxa"/>
            <w:vAlign w:val="center"/>
          </w:tcPr>
          <w:p>
            <w:pPr>
              <w:pStyle w:val="14"/>
            </w:pPr>
            <w:r>
              <w:t>28.91</w:t>
            </w:r>
          </w:p>
        </w:tc>
        <w:tc>
          <w:tcPr>
            <w:tcW w:w="1361" w:type="dxa"/>
            <w:vAlign w:val="center"/>
          </w:tcPr>
          <w:p>
            <w:pPr>
              <w:pStyle w:val="14"/>
            </w:pPr>
          </w:p>
        </w:tc>
        <w:tc>
          <w:tcPr>
            <w:tcW w:w="1361" w:type="dxa"/>
            <w:vAlign w:val="center"/>
          </w:tcPr>
          <w:p>
            <w:pPr>
              <w:pStyle w:val="14"/>
            </w:pPr>
            <w:r>
              <w:t>28.91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80.00</w:t>
            </w:r>
          </w:p>
        </w:tc>
        <w:tc>
          <w:tcPr>
            <w:tcW w:w="1361" w:type="dxa"/>
            <w:vAlign w:val="center"/>
          </w:tcPr>
          <w:p>
            <w:pPr>
              <w:pStyle w:val="14"/>
            </w:pPr>
            <w:r>
              <w:t>80.00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80.00</w:t>
            </w:r>
          </w:p>
        </w:tc>
        <w:tc>
          <w:tcPr>
            <w:tcW w:w="1361" w:type="dxa"/>
            <w:vAlign w:val="center"/>
          </w:tcPr>
          <w:p>
            <w:pPr>
              <w:pStyle w:val="14"/>
            </w:pPr>
            <w:r>
              <w:t>80.00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66.00</w:t>
            </w:r>
          </w:p>
        </w:tc>
        <w:tc>
          <w:tcPr>
            <w:tcW w:w="1361" w:type="dxa"/>
            <w:vAlign w:val="center"/>
          </w:tcPr>
          <w:p>
            <w:pPr>
              <w:pStyle w:val="14"/>
            </w:pPr>
            <w:r>
              <w:t>66.00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2080506</w:t>
            </w:r>
          </w:p>
        </w:tc>
        <w:tc>
          <w:tcPr>
            <w:tcW w:w="4535" w:type="dxa"/>
            <w:vAlign w:val="center"/>
          </w:tcPr>
          <w:p>
            <w:pPr>
              <w:pStyle w:val="15"/>
            </w:pPr>
            <w:r>
              <w:t>机关事业单位职业年金缴费支出</w:t>
            </w:r>
          </w:p>
        </w:tc>
        <w:tc>
          <w:tcPr>
            <w:tcW w:w="1361" w:type="dxa"/>
            <w:vAlign w:val="center"/>
          </w:tcPr>
          <w:p>
            <w:pPr>
              <w:pStyle w:val="14"/>
            </w:pPr>
            <w:r>
              <w:t>14.00</w:t>
            </w:r>
          </w:p>
        </w:tc>
        <w:tc>
          <w:tcPr>
            <w:tcW w:w="1361" w:type="dxa"/>
            <w:vAlign w:val="center"/>
          </w:tcPr>
          <w:p>
            <w:pPr>
              <w:pStyle w:val="14"/>
            </w:pPr>
            <w:r>
              <w:t>14.00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41.00</w:t>
            </w:r>
          </w:p>
        </w:tc>
        <w:tc>
          <w:tcPr>
            <w:tcW w:w="1361" w:type="dxa"/>
            <w:vAlign w:val="center"/>
          </w:tcPr>
          <w:p>
            <w:pPr>
              <w:pStyle w:val="14"/>
            </w:pPr>
            <w:r>
              <w:t>41.00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41.00</w:t>
            </w:r>
          </w:p>
        </w:tc>
        <w:tc>
          <w:tcPr>
            <w:tcW w:w="1361" w:type="dxa"/>
            <w:vAlign w:val="center"/>
          </w:tcPr>
          <w:p>
            <w:pPr>
              <w:pStyle w:val="14"/>
            </w:pPr>
            <w:r>
              <w:t>41.00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41.00</w:t>
            </w:r>
          </w:p>
        </w:tc>
        <w:tc>
          <w:tcPr>
            <w:tcW w:w="1361" w:type="dxa"/>
            <w:vAlign w:val="center"/>
          </w:tcPr>
          <w:p>
            <w:pPr>
              <w:pStyle w:val="14"/>
            </w:pPr>
            <w:r>
              <w:t>41.00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101无极县人民代表大会常务委员会</w:t>
            </w:r>
          </w:p>
        </w:tc>
        <w:tc>
          <w:tcPr>
            <w:tcW w:w="3402" w:type="dxa"/>
            <w:tcBorders>
              <w:top w:val="single" w:color="FFFFFF" w:sz="6" w:space="0"/>
              <w:left w:val="single" w:color="FFFFFF" w:sz="6" w:space="0"/>
              <w:right w:val="single" w:color="FFFFFF" w:sz="6" w:space="0"/>
            </w:tcBorders>
            <w:vAlign w:val="center"/>
          </w:tcPr>
          <w:p>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747.51</w:t>
            </w:r>
          </w:p>
        </w:tc>
        <w:tc>
          <w:tcPr>
            <w:tcW w:w="3402" w:type="dxa"/>
            <w:vAlign w:val="center"/>
          </w:tcPr>
          <w:p>
            <w:pPr>
              <w:pStyle w:val="15"/>
            </w:pPr>
            <w:r>
              <w:t>一、一般公共服务支出</w:t>
            </w:r>
          </w:p>
        </w:tc>
        <w:tc>
          <w:tcPr>
            <w:tcW w:w="1474" w:type="dxa"/>
            <w:vAlign w:val="center"/>
          </w:tcPr>
          <w:p>
            <w:pPr>
              <w:pStyle w:val="14"/>
            </w:pPr>
            <w:r>
              <w:t>626.51</w:t>
            </w:r>
          </w:p>
        </w:tc>
        <w:tc>
          <w:tcPr>
            <w:tcW w:w="1474" w:type="dxa"/>
            <w:vAlign w:val="center"/>
          </w:tcPr>
          <w:p>
            <w:pPr>
              <w:pStyle w:val="14"/>
            </w:pPr>
            <w:r>
              <w:t>626.51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80.00</w:t>
            </w:r>
          </w:p>
        </w:tc>
        <w:tc>
          <w:tcPr>
            <w:tcW w:w="1474" w:type="dxa"/>
            <w:vAlign w:val="center"/>
          </w:tcPr>
          <w:p>
            <w:pPr>
              <w:pStyle w:val="14"/>
            </w:pPr>
            <w:r>
              <w:t>80.00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41.00</w:t>
            </w:r>
          </w:p>
        </w:tc>
        <w:tc>
          <w:tcPr>
            <w:tcW w:w="1474" w:type="dxa"/>
            <w:vAlign w:val="center"/>
          </w:tcPr>
          <w:p>
            <w:pPr>
              <w:pStyle w:val="14"/>
            </w:pPr>
            <w:r>
              <w:t>41.00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747.51</w:t>
            </w:r>
          </w:p>
        </w:tc>
        <w:tc>
          <w:tcPr>
            <w:tcW w:w="3402" w:type="dxa"/>
            <w:vAlign w:val="center"/>
          </w:tcPr>
          <w:p>
            <w:pPr>
              <w:pStyle w:val="17"/>
            </w:pPr>
            <w:r>
              <w:t>本年支出合计</w:t>
            </w:r>
          </w:p>
        </w:tc>
        <w:tc>
          <w:tcPr>
            <w:tcW w:w="1474" w:type="dxa"/>
            <w:vAlign w:val="center"/>
          </w:tcPr>
          <w:p>
            <w:pPr>
              <w:pStyle w:val="18"/>
            </w:pPr>
            <w:r>
              <w:t>747.51</w:t>
            </w:r>
          </w:p>
        </w:tc>
        <w:tc>
          <w:tcPr>
            <w:tcW w:w="1474" w:type="dxa"/>
            <w:vAlign w:val="center"/>
          </w:tcPr>
          <w:p>
            <w:pPr>
              <w:pStyle w:val="18"/>
            </w:pPr>
            <w:r>
              <w:t>747.51</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747.51</w:t>
            </w:r>
          </w:p>
        </w:tc>
        <w:tc>
          <w:tcPr>
            <w:tcW w:w="3402" w:type="dxa"/>
            <w:vAlign w:val="center"/>
          </w:tcPr>
          <w:p>
            <w:pPr>
              <w:pStyle w:val="17"/>
            </w:pPr>
            <w:r>
              <w:t>支出总计</w:t>
            </w:r>
          </w:p>
        </w:tc>
        <w:tc>
          <w:tcPr>
            <w:tcW w:w="1474" w:type="dxa"/>
            <w:vAlign w:val="center"/>
          </w:tcPr>
          <w:p>
            <w:pPr>
              <w:pStyle w:val="18"/>
            </w:pPr>
            <w:r>
              <w:t>747.51</w:t>
            </w:r>
          </w:p>
        </w:tc>
        <w:tc>
          <w:tcPr>
            <w:tcW w:w="1474" w:type="dxa"/>
            <w:vAlign w:val="center"/>
          </w:tcPr>
          <w:p>
            <w:pPr>
              <w:pStyle w:val="18"/>
            </w:pPr>
            <w:r>
              <w:t>747.51</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747.51</w:t>
            </w:r>
          </w:p>
        </w:tc>
        <w:tc>
          <w:tcPr>
            <w:tcW w:w="2551" w:type="dxa"/>
            <w:vAlign w:val="center"/>
          </w:tcPr>
          <w:p>
            <w:pPr>
              <w:pStyle w:val="18"/>
            </w:pPr>
            <w:r>
              <w:t>668.60</w:t>
            </w:r>
          </w:p>
        </w:tc>
        <w:tc>
          <w:tcPr>
            <w:tcW w:w="2551" w:type="dxa"/>
            <w:vAlign w:val="center"/>
          </w:tcPr>
          <w:p>
            <w:pPr>
              <w:pStyle w:val="18"/>
            </w:pPr>
            <w:r>
              <w:t>78.91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626.51</w:t>
            </w:r>
          </w:p>
        </w:tc>
        <w:tc>
          <w:tcPr>
            <w:tcW w:w="2551" w:type="dxa"/>
            <w:vAlign w:val="center"/>
          </w:tcPr>
          <w:p>
            <w:pPr>
              <w:pStyle w:val="14"/>
            </w:pPr>
            <w:r>
              <w:t>547.60</w:t>
            </w:r>
          </w:p>
        </w:tc>
        <w:tc>
          <w:tcPr>
            <w:tcW w:w="2551" w:type="dxa"/>
            <w:vAlign w:val="center"/>
          </w:tcPr>
          <w:p>
            <w:pPr>
              <w:pStyle w:val="14"/>
            </w:pPr>
            <w:r>
              <w:t>78.91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20101</w:t>
            </w:r>
          </w:p>
        </w:tc>
        <w:tc>
          <w:tcPr>
            <w:tcW w:w="4535" w:type="dxa"/>
            <w:vAlign w:val="center"/>
          </w:tcPr>
          <w:p>
            <w:pPr>
              <w:pStyle w:val="15"/>
            </w:pPr>
            <w:r>
              <w:t>人大事务</w:t>
            </w:r>
          </w:p>
        </w:tc>
        <w:tc>
          <w:tcPr>
            <w:tcW w:w="2551" w:type="dxa"/>
            <w:vAlign w:val="center"/>
          </w:tcPr>
          <w:p>
            <w:pPr>
              <w:pStyle w:val="14"/>
            </w:pPr>
            <w:r>
              <w:t>626.51</w:t>
            </w:r>
          </w:p>
        </w:tc>
        <w:tc>
          <w:tcPr>
            <w:tcW w:w="2551" w:type="dxa"/>
            <w:vAlign w:val="center"/>
          </w:tcPr>
          <w:p>
            <w:pPr>
              <w:pStyle w:val="14"/>
            </w:pPr>
            <w:r>
              <w:t>547.60</w:t>
            </w:r>
          </w:p>
        </w:tc>
        <w:tc>
          <w:tcPr>
            <w:tcW w:w="2551" w:type="dxa"/>
            <w:vAlign w:val="center"/>
          </w:tcPr>
          <w:p>
            <w:pPr>
              <w:pStyle w:val="14"/>
            </w:pPr>
            <w:r>
              <w:t>78.91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2010101</w:t>
            </w:r>
          </w:p>
        </w:tc>
        <w:tc>
          <w:tcPr>
            <w:tcW w:w="4535" w:type="dxa"/>
            <w:vAlign w:val="center"/>
          </w:tcPr>
          <w:p>
            <w:pPr>
              <w:pStyle w:val="15"/>
            </w:pPr>
            <w:r>
              <w:t>行政运行</w:t>
            </w:r>
          </w:p>
        </w:tc>
        <w:tc>
          <w:tcPr>
            <w:tcW w:w="2551" w:type="dxa"/>
            <w:vAlign w:val="center"/>
          </w:tcPr>
          <w:p>
            <w:pPr>
              <w:pStyle w:val="14"/>
            </w:pPr>
            <w:r>
              <w:t>547.60</w:t>
            </w:r>
          </w:p>
        </w:tc>
        <w:tc>
          <w:tcPr>
            <w:tcW w:w="2551" w:type="dxa"/>
            <w:vAlign w:val="center"/>
          </w:tcPr>
          <w:p>
            <w:pPr>
              <w:pStyle w:val="14"/>
            </w:pPr>
            <w:r>
              <w:t>547.60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2010104</w:t>
            </w:r>
          </w:p>
        </w:tc>
        <w:tc>
          <w:tcPr>
            <w:tcW w:w="4535" w:type="dxa"/>
            <w:vAlign w:val="center"/>
          </w:tcPr>
          <w:p>
            <w:pPr>
              <w:pStyle w:val="15"/>
            </w:pPr>
            <w:r>
              <w:t>人大会议</w:t>
            </w:r>
          </w:p>
        </w:tc>
        <w:tc>
          <w:tcPr>
            <w:tcW w:w="2551" w:type="dxa"/>
            <w:vAlign w:val="center"/>
          </w:tcPr>
          <w:p>
            <w:pPr>
              <w:pStyle w:val="14"/>
            </w:pPr>
            <w:r>
              <w:t>50.00</w:t>
            </w:r>
          </w:p>
        </w:tc>
        <w:tc>
          <w:tcPr>
            <w:tcW w:w="2551" w:type="dxa"/>
            <w:vAlign w:val="center"/>
          </w:tcPr>
          <w:p>
            <w:pPr>
              <w:pStyle w:val="14"/>
            </w:pPr>
          </w:p>
        </w:tc>
        <w:tc>
          <w:tcPr>
            <w:tcW w:w="2551" w:type="dxa"/>
            <w:vAlign w:val="center"/>
          </w:tcPr>
          <w:p>
            <w:pPr>
              <w:pStyle w:val="14"/>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2010108</w:t>
            </w:r>
          </w:p>
        </w:tc>
        <w:tc>
          <w:tcPr>
            <w:tcW w:w="4535" w:type="dxa"/>
            <w:vAlign w:val="center"/>
          </w:tcPr>
          <w:p>
            <w:pPr>
              <w:pStyle w:val="15"/>
            </w:pPr>
            <w:r>
              <w:t>代表工作</w:t>
            </w:r>
          </w:p>
        </w:tc>
        <w:tc>
          <w:tcPr>
            <w:tcW w:w="2551" w:type="dxa"/>
            <w:vAlign w:val="center"/>
          </w:tcPr>
          <w:p>
            <w:pPr>
              <w:pStyle w:val="14"/>
            </w:pPr>
            <w:r>
              <w:t>28.91</w:t>
            </w:r>
          </w:p>
        </w:tc>
        <w:tc>
          <w:tcPr>
            <w:tcW w:w="2551" w:type="dxa"/>
            <w:vAlign w:val="center"/>
          </w:tcPr>
          <w:p>
            <w:pPr>
              <w:pStyle w:val="14"/>
            </w:pPr>
          </w:p>
        </w:tc>
        <w:tc>
          <w:tcPr>
            <w:tcW w:w="2551" w:type="dxa"/>
            <w:vAlign w:val="center"/>
          </w:tcPr>
          <w:p>
            <w:pPr>
              <w:pStyle w:val="14"/>
            </w:pPr>
            <w:r>
              <w:t>28.91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80.00</w:t>
            </w:r>
          </w:p>
        </w:tc>
        <w:tc>
          <w:tcPr>
            <w:tcW w:w="2551" w:type="dxa"/>
            <w:vAlign w:val="center"/>
          </w:tcPr>
          <w:p>
            <w:pPr>
              <w:pStyle w:val="14"/>
            </w:pPr>
            <w:r>
              <w:t>80.00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80.00</w:t>
            </w:r>
          </w:p>
        </w:tc>
        <w:tc>
          <w:tcPr>
            <w:tcW w:w="2551" w:type="dxa"/>
            <w:vAlign w:val="center"/>
          </w:tcPr>
          <w:p>
            <w:pPr>
              <w:pStyle w:val="14"/>
            </w:pPr>
            <w:r>
              <w:t>80.00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66.00</w:t>
            </w:r>
          </w:p>
        </w:tc>
        <w:tc>
          <w:tcPr>
            <w:tcW w:w="2551" w:type="dxa"/>
            <w:vAlign w:val="center"/>
          </w:tcPr>
          <w:p>
            <w:pPr>
              <w:pStyle w:val="14"/>
            </w:pPr>
            <w:r>
              <w:t>66.00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2080506</w:t>
            </w:r>
          </w:p>
        </w:tc>
        <w:tc>
          <w:tcPr>
            <w:tcW w:w="4535" w:type="dxa"/>
            <w:vAlign w:val="center"/>
          </w:tcPr>
          <w:p>
            <w:pPr>
              <w:pStyle w:val="15"/>
            </w:pPr>
            <w:r>
              <w:t>机关事业单位职业年金缴费支出</w:t>
            </w:r>
          </w:p>
        </w:tc>
        <w:tc>
          <w:tcPr>
            <w:tcW w:w="2551" w:type="dxa"/>
            <w:vAlign w:val="center"/>
          </w:tcPr>
          <w:p>
            <w:pPr>
              <w:pStyle w:val="14"/>
            </w:pPr>
            <w:r>
              <w:t>14.00</w:t>
            </w:r>
          </w:p>
        </w:tc>
        <w:tc>
          <w:tcPr>
            <w:tcW w:w="2551" w:type="dxa"/>
            <w:vAlign w:val="center"/>
          </w:tcPr>
          <w:p>
            <w:pPr>
              <w:pStyle w:val="14"/>
            </w:pPr>
            <w:r>
              <w:t>14.00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41.00</w:t>
            </w:r>
          </w:p>
        </w:tc>
        <w:tc>
          <w:tcPr>
            <w:tcW w:w="2551" w:type="dxa"/>
            <w:vAlign w:val="center"/>
          </w:tcPr>
          <w:p>
            <w:pPr>
              <w:pStyle w:val="14"/>
            </w:pPr>
            <w:r>
              <w:t>41.00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41.00</w:t>
            </w:r>
          </w:p>
        </w:tc>
        <w:tc>
          <w:tcPr>
            <w:tcW w:w="2551" w:type="dxa"/>
            <w:vAlign w:val="center"/>
          </w:tcPr>
          <w:p>
            <w:pPr>
              <w:pStyle w:val="14"/>
            </w:pPr>
            <w:r>
              <w:t>41.00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41.00</w:t>
            </w:r>
          </w:p>
        </w:tc>
        <w:tc>
          <w:tcPr>
            <w:tcW w:w="2551" w:type="dxa"/>
            <w:vAlign w:val="center"/>
          </w:tcPr>
          <w:p>
            <w:pPr>
              <w:pStyle w:val="14"/>
            </w:pPr>
            <w:r>
              <w:t>41.00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668.60</w:t>
            </w:r>
          </w:p>
        </w:tc>
        <w:tc>
          <w:tcPr>
            <w:tcW w:w="2551" w:type="dxa"/>
            <w:vAlign w:val="center"/>
          </w:tcPr>
          <w:p>
            <w:pPr>
              <w:pStyle w:val="18"/>
            </w:pPr>
            <w:r>
              <w:t>560.10</w:t>
            </w:r>
          </w:p>
        </w:tc>
        <w:tc>
          <w:tcPr>
            <w:tcW w:w="2551" w:type="dxa"/>
            <w:vAlign w:val="center"/>
          </w:tcPr>
          <w:p>
            <w:pPr>
              <w:pStyle w:val="18"/>
            </w:pPr>
            <w:r>
              <w:t>108.50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470.10</w:t>
            </w:r>
          </w:p>
        </w:tc>
        <w:tc>
          <w:tcPr>
            <w:tcW w:w="2551" w:type="dxa"/>
            <w:vAlign w:val="center"/>
          </w:tcPr>
          <w:p>
            <w:pPr>
              <w:pStyle w:val="14"/>
            </w:pPr>
            <w:r>
              <w:t>470.10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170.00</w:t>
            </w:r>
          </w:p>
        </w:tc>
        <w:tc>
          <w:tcPr>
            <w:tcW w:w="2551" w:type="dxa"/>
            <w:vAlign w:val="center"/>
          </w:tcPr>
          <w:p>
            <w:pPr>
              <w:pStyle w:val="14"/>
            </w:pPr>
            <w:r>
              <w:t>170.00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91.00</w:t>
            </w:r>
          </w:p>
        </w:tc>
        <w:tc>
          <w:tcPr>
            <w:tcW w:w="2551" w:type="dxa"/>
            <w:vAlign w:val="center"/>
          </w:tcPr>
          <w:p>
            <w:pPr>
              <w:pStyle w:val="14"/>
            </w:pPr>
            <w:r>
              <w:t>91.00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73.00</w:t>
            </w:r>
          </w:p>
        </w:tc>
        <w:tc>
          <w:tcPr>
            <w:tcW w:w="2551" w:type="dxa"/>
            <w:vAlign w:val="center"/>
          </w:tcPr>
          <w:p>
            <w:pPr>
              <w:pStyle w:val="14"/>
            </w:pPr>
            <w:r>
              <w:t>73.00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13.00</w:t>
            </w:r>
          </w:p>
        </w:tc>
        <w:tc>
          <w:tcPr>
            <w:tcW w:w="2551" w:type="dxa"/>
            <w:vAlign w:val="center"/>
          </w:tcPr>
          <w:p>
            <w:pPr>
              <w:pStyle w:val="14"/>
            </w:pPr>
            <w:r>
              <w:t>13.00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66.00</w:t>
            </w:r>
          </w:p>
        </w:tc>
        <w:tc>
          <w:tcPr>
            <w:tcW w:w="2551" w:type="dxa"/>
            <w:vAlign w:val="center"/>
          </w:tcPr>
          <w:p>
            <w:pPr>
              <w:pStyle w:val="14"/>
            </w:pPr>
            <w:r>
              <w:t>66.00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14.00</w:t>
            </w:r>
          </w:p>
        </w:tc>
        <w:tc>
          <w:tcPr>
            <w:tcW w:w="2551" w:type="dxa"/>
            <w:vAlign w:val="center"/>
          </w:tcPr>
          <w:p>
            <w:pPr>
              <w:pStyle w:val="14"/>
            </w:pPr>
            <w:r>
              <w:t>14.00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41.00</w:t>
            </w:r>
          </w:p>
        </w:tc>
        <w:tc>
          <w:tcPr>
            <w:tcW w:w="2551" w:type="dxa"/>
            <w:vAlign w:val="center"/>
          </w:tcPr>
          <w:p>
            <w:pPr>
              <w:pStyle w:val="14"/>
            </w:pPr>
            <w:r>
              <w:t>41.00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2.10</w:t>
            </w:r>
          </w:p>
        </w:tc>
        <w:tc>
          <w:tcPr>
            <w:tcW w:w="2551" w:type="dxa"/>
            <w:vAlign w:val="center"/>
          </w:tcPr>
          <w:p>
            <w:pPr>
              <w:pStyle w:val="14"/>
            </w:pPr>
            <w:r>
              <w:t>2.10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108.50</w:t>
            </w:r>
          </w:p>
        </w:tc>
        <w:tc>
          <w:tcPr>
            <w:tcW w:w="2551" w:type="dxa"/>
            <w:vAlign w:val="center"/>
          </w:tcPr>
          <w:p>
            <w:pPr>
              <w:pStyle w:val="14"/>
            </w:pPr>
          </w:p>
        </w:tc>
        <w:tc>
          <w:tcPr>
            <w:tcW w:w="2551" w:type="dxa"/>
            <w:vAlign w:val="center"/>
          </w:tcPr>
          <w:p>
            <w:pPr>
              <w:pStyle w:val="14"/>
            </w:pPr>
            <w:r>
              <w:t>108.50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46.50</w:t>
            </w:r>
          </w:p>
        </w:tc>
        <w:tc>
          <w:tcPr>
            <w:tcW w:w="2551" w:type="dxa"/>
            <w:vAlign w:val="center"/>
          </w:tcPr>
          <w:p>
            <w:pPr>
              <w:pStyle w:val="14"/>
            </w:pPr>
          </w:p>
        </w:tc>
        <w:tc>
          <w:tcPr>
            <w:tcW w:w="2551" w:type="dxa"/>
            <w:vAlign w:val="center"/>
          </w:tcPr>
          <w:p>
            <w:pPr>
              <w:pStyle w:val="14"/>
            </w:pPr>
            <w:r>
              <w:t>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18.00</w:t>
            </w:r>
          </w:p>
        </w:tc>
        <w:tc>
          <w:tcPr>
            <w:tcW w:w="2551" w:type="dxa"/>
            <w:vAlign w:val="center"/>
          </w:tcPr>
          <w:p>
            <w:pPr>
              <w:pStyle w:val="14"/>
            </w:pPr>
          </w:p>
        </w:tc>
        <w:tc>
          <w:tcPr>
            <w:tcW w:w="2551" w:type="dxa"/>
            <w:vAlign w:val="center"/>
          </w:tcPr>
          <w:p>
            <w:pPr>
              <w:pStyle w:val="14"/>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16.00</w:t>
            </w:r>
          </w:p>
        </w:tc>
        <w:tc>
          <w:tcPr>
            <w:tcW w:w="2551" w:type="dxa"/>
            <w:vAlign w:val="center"/>
          </w:tcPr>
          <w:p>
            <w:pPr>
              <w:pStyle w:val="14"/>
            </w:pPr>
          </w:p>
        </w:tc>
        <w:tc>
          <w:tcPr>
            <w:tcW w:w="2551" w:type="dxa"/>
            <w:vAlign w:val="center"/>
          </w:tcPr>
          <w:p>
            <w:pPr>
              <w:pStyle w:val="14"/>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28.00</w:t>
            </w:r>
          </w:p>
        </w:tc>
        <w:tc>
          <w:tcPr>
            <w:tcW w:w="2551" w:type="dxa"/>
            <w:vAlign w:val="center"/>
          </w:tcPr>
          <w:p>
            <w:pPr>
              <w:pStyle w:val="14"/>
            </w:pPr>
          </w:p>
        </w:tc>
        <w:tc>
          <w:tcPr>
            <w:tcW w:w="2551" w:type="dxa"/>
            <w:vAlign w:val="center"/>
          </w:tcPr>
          <w:p>
            <w:pPr>
              <w:pStyle w:val="14"/>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90.00</w:t>
            </w:r>
          </w:p>
        </w:tc>
        <w:tc>
          <w:tcPr>
            <w:tcW w:w="2551" w:type="dxa"/>
            <w:vAlign w:val="center"/>
          </w:tcPr>
          <w:p>
            <w:pPr>
              <w:pStyle w:val="14"/>
            </w:pPr>
            <w:r>
              <w:t>90.00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90.00</w:t>
            </w:r>
          </w:p>
        </w:tc>
        <w:tc>
          <w:tcPr>
            <w:tcW w:w="2551" w:type="dxa"/>
            <w:vAlign w:val="center"/>
          </w:tcPr>
          <w:p>
            <w:pPr>
              <w:pStyle w:val="14"/>
            </w:pPr>
            <w:r>
              <w:t>90.00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101无极县人民代表大会常务委员会</w:t>
            </w:r>
          </w:p>
        </w:tc>
        <w:tc>
          <w:tcPr>
            <w:tcW w:w="2381" w:type="dxa"/>
            <w:tcBorders>
              <w:top w:val="single" w:color="FFFFFF" w:sz="6" w:space="0"/>
              <w:left w:val="single" w:color="FFFFFF" w:sz="6" w:space="0"/>
              <w:right w:val="single" w:color="FFFFFF" w:sz="6" w:space="0"/>
            </w:tcBorders>
            <w:vAlign w:val="center"/>
          </w:tcPr>
          <w:p>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二、公务用车购置及运维费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公务用车运行维护费</w:t>
            </w:r>
          </w:p>
        </w:tc>
        <w:tc>
          <w:tcPr>
            <w:tcW w:w="2381" w:type="dxa"/>
            <w:vAlign w:val="center"/>
          </w:tcPr>
          <w:p>
            <w:pPr>
              <w:pStyle w:val="14"/>
            </w:pPr>
            <w:r>
              <w:t>16.00</w:t>
            </w:r>
          </w:p>
        </w:tc>
        <w:tc>
          <w:tcPr>
            <w:tcW w:w="2381" w:type="dxa"/>
            <w:vAlign w:val="center"/>
          </w:tcPr>
          <w:p>
            <w:pPr>
              <w:pStyle w:val="14"/>
            </w:pPr>
            <w:r>
              <w:t>16.00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无极县人民代表大会常务委员会2023年部门预算信息公开情况说明</w:t>
      </w:r>
    </w:p>
    <w:p>
      <w:pPr>
        <w:jc w:val="center"/>
      </w:pPr>
      <w:r>
        <w:rPr>
          <w:rFonts w:ascii="方正小标宋_GBK" w:hAnsi="方正小标宋_GBK" w:eastAsia="方正小标宋_GBK" w:cs="方正小标宋_GBK"/>
          <w:color w:val="000000"/>
          <w:sz w:val="44"/>
        </w:rPr>
        <w:t>无极县人民代表大会常务委员会2023年部门预算信息公开情况说明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按照《预算法》、《地方预决算公开操作规程》和《关于进一步推进预算公开工作的实施意见》规定，现将无极县人民代表大会常务委员会2023年部门预算公开如下：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0"/>
      </w:pPr>
      <w:r>
        <w:t>根据宪法和地方组织法的规定，县级人民代表大会是地方国家权力机关，主要职能是在本行政区域内，保证宪法、法律行政法规和上级人大及其常委会决议的遵守和执行，保证国家计划和国家预算的执行；审查和批准本行政区域内国民经济和社会发展计划、预算以及它们执行情况的报告；讨论决定本行政区域内的重大事项；选举本级人大常委会的组成人员和一府两院国家机关组成人员，并组织人大代表开展视察、调查、执法检查、评议等活动，充分发扬社会主义民主，反映社会各界意见，促进一府两院工作开展。</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无极县人民代表大会常务委员会办公室本级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eastAsia="方正仿宋_GBK" w:cs="Times New Roman"/>
          <w:color w:val="000000"/>
          <w:sz w:val="28"/>
        </w:rPr>
        <w:t>预算中。无极县人民代表大会常务委员会机关及所属事业单位的收支包含在部门预算中。</w:t>
      </w:r>
    </w:p>
    <w:p>
      <w:pPr>
        <w:pStyle w:val="21"/>
      </w:pPr>
    </w:p>
    <w:p>
      <w:pPr>
        <w:pStyle w:val="21"/>
      </w:pPr>
      <w:r>
        <w:t>1、收入说明</w:t>
      </w:r>
    </w:p>
    <w:p>
      <w:pPr>
        <w:pStyle w:val="21"/>
      </w:pPr>
      <w:r>
        <w:t>反映本部门当年全部收入。2023年</w:t>
      </w:r>
      <w:r>
        <w:rPr>
          <w:rFonts w:hint="eastAsia"/>
          <w:lang w:val="en-US" w:eastAsia="zh-CN"/>
        </w:rPr>
        <w:t>部门</w:t>
      </w:r>
      <w:r>
        <w:t>预算收入747.51万元，其中：一般公共预算收入747.51万元，基金预算收入0万元，财政专户核拨收入0万元，其他来源收入0万元。</w:t>
      </w:r>
    </w:p>
    <w:p>
      <w:pPr>
        <w:pStyle w:val="21"/>
      </w:pPr>
      <w:r>
        <w:t>2、支出说明</w:t>
      </w:r>
    </w:p>
    <w:p>
      <w:pPr>
        <w:pStyle w:val="21"/>
      </w:pPr>
      <w:r>
        <w:t>收支预算总表支出栏、基本支出表、项目支出表按经济分类和支出功能分类科目编制，反映无极县人民代表大会常务委员会办公室年度部门预算中支出预算的总体情况。2023年部门支出预算为747.51万元，其中基本支出668.6万元，包括人员经费560.1万元和日常公用经费108.5万元；项目支出78.91万元：主要为人大会议支出50万元；代表活动经费20万元；人大代表之家(站)建设资金支代表活动经费(质保金）支出8.91万元。</w:t>
      </w:r>
    </w:p>
    <w:p>
      <w:pPr>
        <w:pStyle w:val="21"/>
      </w:pPr>
      <w:r>
        <w:t>3、比上年增减情况</w:t>
      </w:r>
    </w:p>
    <w:p>
      <w:pPr>
        <w:pStyle w:val="21"/>
      </w:pPr>
      <w:r>
        <w:t>2023年部门预算收支安排747.51万元，较2022年增加174.4万元，其中：基本支出增加174.4万元，主要是人员增加，相应增加人员经费和日常公用经费；项目支出无增减变化；其他支出无增减变化。</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2"/>
      </w:pPr>
      <w:r>
        <w:t>2023年，我部门机关运行经费共计安排108.5万元，主要用于保证机关正常运转的办公及印刷费、邮电费、差旅费、会议费、福利费、专用材料及一般设备购置费、办公用房水电费、办公用房取暖费、日常维修费、公务车运行维护费等支出。</w:t>
      </w:r>
    </w:p>
    <w:p>
      <w:pPr>
        <w:spacing w:before="10" w:after="10" w:line="360" w:lineRule="auto"/>
        <w:ind w:firstLine="640"/>
        <w:outlineLvl w:val="2"/>
        <w:rPr>
          <w:rFonts w:ascii="黑体" w:hAnsi="黑体" w:eastAsia="黑体" w:cs="黑体"/>
          <w:color w:val="000000"/>
          <w:sz w:val="32"/>
        </w:rPr>
      </w:pPr>
      <w:bookmarkStart w:id="12" w:name="_Toc_3_3_0000000013"/>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pPr>
        <w:pStyle w:val="23"/>
      </w:pPr>
      <w:r>
        <w:t>2023年，我部门财政拨款“三公”经费预算安排16万元，其中：因公出国（境）费0万元；公务用车购置及运维费16万元（其中：公务用车购置费0万元，公务用车运行维护费16万元；公务接待费0万元。“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s="Times New Roman"/>
          <w:color w:val="000000"/>
          <w:sz w:val="28"/>
          <w:lang w:eastAsia="zh-CN"/>
        </w:rPr>
        <w:t>一、</w:t>
      </w:r>
      <w:r>
        <w:rPr>
          <w:rFonts w:eastAsia="方正仿宋_GBK" w:cs="Times New Roman"/>
          <w:color w:val="000000"/>
          <w:sz w:val="28"/>
        </w:rPr>
        <w:t>总体绩效目标</w:t>
      </w:r>
    </w:p>
    <w:p>
      <w:pPr>
        <w:pStyle w:val="24"/>
      </w:pPr>
      <w:r>
        <w:t>完善各项会议制度，规范会议程序，提高会议质量，提高人大代表及常委会审议水平。进行执法调研和执法检查；围绕政府工作报告和“一府两院”专项工作报告涉及内容开展调查研究，开展专题询问和工作评议；对“一府两院”进行监督。促进各项法律法规、人大决议、报告等的落实；促进“一府两院”改进工作；提高规范性文件质量；促进社会和谐稳定。</w:t>
      </w:r>
    </w:p>
    <w:p>
      <w:pPr>
        <w:pStyle w:val="24"/>
      </w:pPr>
      <w:r>
        <w:t>组织专门委员会委员、各工作委员会及特聘专家进行对法律实施情况进行执法检查；组织县人大常委</w:t>
      </w:r>
      <w:r>
        <w:rPr>
          <w:rFonts w:hint="eastAsia"/>
          <w:lang w:val="en-US" w:eastAsia="zh-CN"/>
        </w:rPr>
        <w:t>会</w:t>
      </w:r>
      <w:bookmarkStart w:id="18" w:name="_GoBack"/>
      <w:bookmarkEnd w:id="18"/>
      <w:r>
        <w:t>及县人大代表进行执法检查和集中视察；开展代表建议督办；组织对常委及代表培训。</w:t>
      </w:r>
    </w:p>
    <w:p>
      <w:pPr>
        <w:pStyle w:val="24"/>
      </w:pPr>
      <w:r>
        <w:t>检查监督代表法、选举法及其实施办法的贯彻实施；承担人大换届选举及人事任免服务工作；负责对县政府组成人员和县级人民法院、县人民检察院主要负责人的目标责任书、述职报告的督办工作。</w:t>
      </w:r>
    </w:p>
    <w:p>
      <w:pPr>
        <w:spacing w:line="500" w:lineRule="exact"/>
        <w:ind w:firstLine="560"/>
      </w:pPr>
      <w:r>
        <w:rPr>
          <w:rFonts w:hint="eastAsia" w:eastAsia="方正仿宋_GBK" w:cs="Times New Roman"/>
          <w:color w:val="000000"/>
          <w:sz w:val="28"/>
          <w:lang w:eastAsia="zh-CN"/>
        </w:rPr>
        <w:t>二、</w:t>
      </w:r>
      <w:r>
        <w:rPr>
          <w:rFonts w:eastAsia="方正仿宋_GBK" w:cs="Times New Roman"/>
          <w:color w:val="000000"/>
          <w:sz w:val="28"/>
        </w:rPr>
        <w:t>分项绩效目标</w:t>
      </w:r>
    </w:p>
    <w:p>
      <w:pPr>
        <w:pStyle w:val="25"/>
      </w:pPr>
      <w:r>
        <w:t>（一）完善各项会议制度，规范会议程序，提高会议质量。</w:t>
      </w:r>
    </w:p>
    <w:p>
      <w:pPr>
        <w:pStyle w:val="25"/>
      </w:pPr>
      <w:r>
        <w:t>绩效目标：保障会议顺利召开；保障人大代表履行职责</w:t>
      </w:r>
    </w:p>
    <w:p>
      <w:pPr>
        <w:pStyle w:val="25"/>
      </w:pPr>
      <w:r>
        <w:t>绩效指标：做好会场安排、食宿安排；收集整理代表提出的议案、建议和意见。</w:t>
      </w:r>
    </w:p>
    <w:p>
      <w:pPr>
        <w:pStyle w:val="25"/>
      </w:pPr>
      <w:r>
        <w:t>（二）保障我县人大代表各项视察、调研和专题询问等活动的顺利开展。</w:t>
      </w:r>
    </w:p>
    <w:p>
      <w:pPr>
        <w:pStyle w:val="25"/>
      </w:pPr>
      <w:r>
        <w:t>绩效目标：充分发挥人大代表积极履行宪法和法律赋予的职能；依法履职，务实作为，深入推进法治建设</w:t>
      </w:r>
    </w:p>
    <w:p>
      <w:pPr>
        <w:pStyle w:val="25"/>
      </w:pPr>
      <w:r>
        <w:t>绩效指标：组织人大代表视察，加强监督，促进“一府两院”改进工作。</w:t>
      </w:r>
    </w:p>
    <w:p>
      <w:pPr>
        <w:pStyle w:val="25"/>
      </w:pPr>
      <w:r>
        <w:t>（三）提高代表履职能力，组织代表活动，加强代表与选民的联系，提升代表之家硬件建设。</w:t>
      </w:r>
    </w:p>
    <w:p>
      <w:pPr>
        <w:pStyle w:val="25"/>
      </w:pPr>
      <w:r>
        <w:t>绩效目标：代表活动与学习培训；提升代表之家建设</w:t>
      </w:r>
    </w:p>
    <w:p>
      <w:pPr>
        <w:pStyle w:val="25"/>
      </w:pPr>
      <w:r>
        <w:t>绩效指标：代表联系选民活动次数完成率；代表之家基础建设完成率90%以上</w:t>
      </w:r>
    </w:p>
    <w:p>
      <w:pPr>
        <w:pStyle w:val="25"/>
      </w:pPr>
      <w:r>
        <w:t>（四）综合业务管理</w:t>
      </w:r>
    </w:p>
    <w:p>
      <w:pPr>
        <w:pStyle w:val="25"/>
      </w:pPr>
      <w:r>
        <w:t>绩效目标：保障各业务工作畅通</w:t>
      </w:r>
    </w:p>
    <w:p>
      <w:pPr>
        <w:pStyle w:val="25"/>
      </w:pPr>
      <w:r>
        <w:t>绩效指标：综合业务管理工作完成率≥90%</w:t>
      </w:r>
    </w:p>
    <w:p>
      <w:pPr>
        <w:pStyle w:val="25"/>
      </w:pPr>
      <w:r>
        <w:t>（五）综合事务管理</w:t>
      </w:r>
    </w:p>
    <w:p>
      <w:pPr>
        <w:pStyle w:val="25"/>
      </w:pPr>
      <w:r>
        <w:t>绩效目标：保障机关正常工作有效运转</w:t>
      </w:r>
    </w:p>
    <w:p>
      <w:pPr>
        <w:pStyle w:val="25"/>
      </w:pPr>
      <w:r>
        <w:t>绩效指标：综合事务管理工作完成率≥90%</w:t>
      </w:r>
    </w:p>
    <w:p>
      <w:pPr>
        <w:spacing w:line="500" w:lineRule="exact"/>
        <w:ind w:firstLine="560"/>
      </w:pPr>
      <w:r>
        <w:rPr>
          <w:rFonts w:hint="eastAsia" w:eastAsia="方正仿宋_GBK" w:cs="Times New Roman"/>
          <w:color w:val="000000"/>
          <w:sz w:val="28"/>
          <w:lang w:eastAsia="zh-CN"/>
        </w:rPr>
        <w:t>三、</w:t>
      </w:r>
      <w:r>
        <w:rPr>
          <w:rFonts w:eastAsia="方正仿宋_GBK" w:cs="Times New Roman"/>
          <w:color w:val="000000"/>
          <w:sz w:val="28"/>
        </w:rPr>
        <w:t>工作保障措施</w:t>
      </w:r>
    </w:p>
    <w:p>
      <w:pPr>
        <w:pStyle w:val="26"/>
      </w:pPr>
      <w:r>
        <w:t>检查监督代表法、选举法及其实施办法的贯彻实施；承担人大换届选举及人事任免服务工作；负责对县政府组成人员和县级人民法院、县人民检察院主要负责人的目标责任书、述职报告的督办工作。</w:t>
      </w:r>
    </w:p>
    <w:p>
      <w:pPr>
        <w:pStyle w:val="26"/>
      </w:pPr>
      <w:r>
        <w:t>承担县人大换届选举、常委会人事任免的服务工作；指导乡人大换届选举工作；负责对政府组成人员和人民法院、人民检察院主要负责人的目标责任书、述职报告的督办工作；对换届选举人员进行培训。</w:t>
      </w:r>
    </w:p>
    <w:p>
      <w:pPr>
        <w:pStyle w:val="26"/>
      </w:pPr>
      <w:r>
        <w:t>发挥常委及代表的作用，集中反映民意，促进依法履职。</w:t>
      </w:r>
    </w:p>
    <w:p>
      <w:pPr>
        <w:pStyle w:val="26"/>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6"/>
      </w:pPr>
      <w:r>
        <w:t>加强支出管理。通过优化支出结构、编细编实预算、加快履行政府采购手续、尽快启动项目、及时支付资金、6月底前细化代编预算、按规定及时下达资金等多种措施，确保支出进度达标。</w:t>
      </w:r>
    </w:p>
    <w:p>
      <w:pPr>
        <w:pStyle w:val="26"/>
      </w:pPr>
      <w:r>
        <w:t>加强绩效运行监控。按要求开展绩效运行监控，发现问题及时采取措施，确保绩效目标如期保质实现。</w:t>
      </w:r>
    </w:p>
    <w:p>
      <w:pPr>
        <w:pStyle w:val="26"/>
      </w:pPr>
      <w:r>
        <w:t>做好绩效自评。按要求开展上年度部门预算绩效自评和重点评价工作，对评价中发现的问题及时整改，调整优化支出结构，提高财政资金使用效益。</w:t>
      </w:r>
    </w:p>
    <w:p>
      <w:pPr>
        <w:pStyle w:val="26"/>
      </w:pPr>
      <w:r>
        <w:t>规范财务资产管理。完善财务管理制度，严格审批程序，加强固定资产登记、使用和报废处置管理，做到支出合理，物尽其用。</w:t>
      </w:r>
    </w:p>
    <w:p>
      <w:pPr>
        <w:pStyle w:val="26"/>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6"/>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ind w:firstLine="640"/>
        <w:rPr>
          <w:rFonts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 xml:space="preserve"> 专项资金绩效目标</w:t>
      </w:r>
    </w:p>
    <w:p>
      <w:pPr>
        <w:ind w:firstLine="560" w:firstLineChars="200"/>
        <w:rPr>
          <w:rFonts w:eastAsia="方正仿宋_GBK" w:cs="Times New Roman"/>
          <w:sz w:val="28"/>
        </w:rPr>
      </w:pPr>
      <w:r>
        <w:rPr>
          <w:rFonts w:hint="eastAsia" w:eastAsia="方正仿宋_GBK" w:cs="Times New Roman"/>
          <w:sz w:val="28"/>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1、2023年代表活动经费绩效目标表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6"/>
            </w:pPr>
            <w:r>
              <w:rPr>
                <w:rFonts w:hint="eastAsia" w:ascii="方正书宋_GBK" w:hAnsi="方正书宋_GBK" w:eastAsia="方正书宋_GBK" w:cs="方正书宋_GBK"/>
                <w:sz w:val="21"/>
                <w:lang w:eastAsia="zh-CN" w:bidi="ar"/>
              </w:rPr>
              <w:t>1.</w:t>
            </w:r>
            <w:r>
              <w:rPr>
                <w:rFonts w:hint="eastAsia" w:ascii="方正书宋_GBK" w:hAnsi="方正书宋_GBK" w:eastAsia="方正书宋_GBK" w:cs="方正书宋_GBK"/>
                <w:sz w:val="21"/>
                <w:lang w:val="uk" w:eastAsia="zh-CN" w:bidi="ar"/>
              </w:rPr>
              <w:t>保障代表活动的正常召开</w:t>
            </w:r>
          </w:p>
          <w:p>
            <w:pPr>
              <w:pStyle w:val="15"/>
              <w:rPr>
                <w:lang w:eastAsia="zh-CN"/>
              </w:rPr>
            </w:pPr>
            <w:r>
              <w:rPr>
                <w:rFonts w:hint="eastAsia"/>
                <w:lang w:eastAsia="zh-CN" w:bidi="ar"/>
              </w:rPr>
              <w:t>2.</w:t>
            </w:r>
            <w:r>
              <w:rPr>
                <w:rFonts w:hint="eastAsia"/>
                <w:lang w:val="uk" w:eastAsia="zh-CN" w:bidi="ar"/>
              </w:rPr>
              <w:t>保障代表的满意度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代表活动数量</w:t>
            </w:r>
          </w:p>
        </w:tc>
        <w:tc>
          <w:tcPr>
            <w:tcW w:w="2835" w:type="dxa"/>
            <w:vAlign w:val="center"/>
          </w:tcPr>
          <w:p>
            <w:pPr>
              <w:pStyle w:val="15"/>
            </w:pPr>
            <w:r>
              <w:t>代表活动数量</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代表活动质量</w:t>
            </w:r>
          </w:p>
        </w:tc>
        <w:tc>
          <w:tcPr>
            <w:tcW w:w="2835" w:type="dxa"/>
            <w:vAlign w:val="center"/>
          </w:tcPr>
          <w:p>
            <w:pPr>
              <w:pStyle w:val="15"/>
            </w:pPr>
            <w:r>
              <w:t>代表活动质量</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代表活动时效</w:t>
            </w:r>
          </w:p>
        </w:tc>
        <w:tc>
          <w:tcPr>
            <w:tcW w:w="2835" w:type="dxa"/>
            <w:vAlign w:val="center"/>
          </w:tcPr>
          <w:p>
            <w:pPr>
              <w:pStyle w:val="15"/>
            </w:pPr>
            <w:r>
              <w:t>代表活动时效</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代表活动成本</w:t>
            </w:r>
          </w:p>
        </w:tc>
        <w:tc>
          <w:tcPr>
            <w:tcW w:w="2835" w:type="dxa"/>
            <w:vAlign w:val="center"/>
          </w:tcPr>
          <w:p>
            <w:pPr>
              <w:pStyle w:val="15"/>
            </w:pPr>
            <w:r>
              <w:t>代表活动成本</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代表活动经济效益</w:t>
            </w:r>
          </w:p>
        </w:tc>
        <w:tc>
          <w:tcPr>
            <w:tcW w:w="2835" w:type="dxa"/>
            <w:vAlign w:val="center"/>
          </w:tcPr>
          <w:p>
            <w:pPr>
              <w:pStyle w:val="15"/>
            </w:pPr>
            <w:r>
              <w:t>代表活动经济效益</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代表活动社会效益</w:t>
            </w:r>
          </w:p>
        </w:tc>
        <w:tc>
          <w:tcPr>
            <w:tcW w:w="2835" w:type="dxa"/>
            <w:vAlign w:val="center"/>
          </w:tcPr>
          <w:p>
            <w:pPr>
              <w:pStyle w:val="15"/>
            </w:pPr>
            <w:r>
              <w:t>代表活动社会效益</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代表活动生态效益</w:t>
            </w:r>
          </w:p>
        </w:tc>
        <w:tc>
          <w:tcPr>
            <w:tcW w:w="2835" w:type="dxa"/>
            <w:vAlign w:val="center"/>
          </w:tcPr>
          <w:p>
            <w:pPr>
              <w:pStyle w:val="15"/>
            </w:pPr>
            <w:r>
              <w:t>代表活动生态效益</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代表活动可持续影响</w:t>
            </w:r>
          </w:p>
        </w:tc>
        <w:tc>
          <w:tcPr>
            <w:tcW w:w="2835" w:type="dxa"/>
            <w:vAlign w:val="center"/>
          </w:tcPr>
          <w:p>
            <w:pPr>
              <w:pStyle w:val="15"/>
            </w:pPr>
            <w:r>
              <w:t>代表活动可持续影响</w:t>
            </w:r>
          </w:p>
        </w:tc>
        <w:tc>
          <w:tcPr>
            <w:tcW w:w="2551" w:type="dxa"/>
            <w:vAlign w:val="center"/>
          </w:tcPr>
          <w:p>
            <w:pPr>
              <w:pStyle w:val="15"/>
            </w:pPr>
            <w:r>
              <w:t>≥98</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代表满意度</w:t>
            </w:r>
          </w:p>
        </w:tc>
        <w:tc>
          <w:tcPr>
            <w:tcW w:w="2835" w:type="dxa"/>
            <w:vAlign w:val="center"/>
          </w:tcPr>
          <w:p>
            <w:pPr>
              <w:pStyle w:val="15"/>
            </w:pPr>
            <w:r>
              <w:t>代表满意度</w:t>
            </w:r>
          </w:p>
        </w:tc>
        <w:tc>
          <w:tcPr>
            <w:tcW w:w="2551" w:type="dxa"/>
            <w:vAlign w:val="center"/>
          </w:tcPr>
          <w:p>
            <w:pPr>
              <w:pStyle w:val="15"/>
            </w:pPr>
            <w:r>
              <w:t>≥98</w:t>
            </w:r>
          </w:p>
        </w:tc>
        <w:tc>
          <w:tcPr>
            <w:tcW w:w="2268" w:type="dxa"/>
            <w:vAlign w:val="center"/>
          </w:tcPr>
          <w:p>
            <w:pPr>
              <w:pStyle w:val="15"/>
            </w:pPr>
            <w:r>
              <w:t>根据文件批示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2、2023年人大代表之家（站）建设质保金绩效目标表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pPr>
            <w:r>
              <w:rPr>
                <w:rFonts w:hint="eastAsia"/>
                <w:lang w:val="uk" w:eastAsia="zh-CN" w:bidi="ar"/>
              </w:rPr>
              <w:t>1.用于支付代表之家（站）建设资金的质保金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质保金数量</w:t>
            </w:r>
          </w:p>
        </w:tc>
        <w:tc>
          <w:tcPr>
            <w:tcW w:w="2835" w:type="dxa"/>
            <w:vAlign w:val="center"/>
          </w:tcPr>
          <w:p>
            <w:pPr>
              <w:pStyle w:val="15"/>
            </w:pPr>
            <w:r>
              <w:t>质保金数量</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质保金质量</w:t>
            </w:r>
          </w:p>
        </w:tc>
        <w:tc>
          <w:tcPr>
            <w:tcW w:w="2835" w:type="dxa"/>
            <w:vAlign w:val="center"/>
          </w:tcPr>
          <w:p>
            <w:pPr>
              <w:pStyle w:val="15"/>
            </w:pPr>
            <w:r>
              <w:t>质保金质量</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质保金时效</w:t>
            </w:r>
          </w:p>
        </w:tc>
        <w:tc>
          <w:tcPr>
            <w:tcW w:w="2835" w:type="dxa"/>
            <w:vAlign w:val="center"/>
          </w:tcPr>
          <w:p>
            <w:pPr>
              <w:pStyle w:val="15"/>
            </w:pPr>
            <w:r>
              <w:t>质保金时效</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质保金成本</w:t>
            </w:r>
          </w:p>
        </w:tc>
        <w:tc>
          <w:tcPr>
            <w:tcW w:w="2835" w:type="dxa"/>
            <w:vAlign w:val="center"/>
          </w:tcPr>
          <w:p>
            <w:pPr>
              <w:pStyle w:val="15"/>
            </w:pPr>
            <w:r>
              <w:t>质保金成本</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质保金经济效益</w:t>
            </w:r>
          </w:p>
        </w:tc>
        <w:tc>
          <w:tcPr>
            <w:tcW w:w="2835" w:type="dxa"/>
            <w:vAlign w:val="center"/>
          </w:tcPr>
          <w:p>
            <w:pPr>
              <w:pStyle w:val="15"/>
            </w:pPr>
            <w:r>
              <w:t>质保金经济效益</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质保金社会效益</w:t>
            </w:r>
          </w:p>
        </w:tc>
        <w:tc>
          <w:tcPr>
            <w:tcW w:w="2835" w:type="dxa"/>
            <w:vAlign w:val="center"/>
          </w:tcPr>
          <w:p>
            <w:pPr>
              <w:pStyle w:val="15"/>
            </w:pPr>
            <w:r>
              <w:t>质保金社会效益</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质保金生态效益</w:t>
            </w:r>
          </w:p>
        </w:tc>
        <w:tc>
          <w:tcPr>
            <w:tcW w:w="2835" w:type="dxa"/>
            <w:vAlign w:val="center"/>
          </w:tcPr>
          <w:p>
            <w:pPr>
              <w:pStyle w:val="15"/>
            </w:pPr>
            <w:r>
              <w:t>质保金生态效益</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质保金可持续影响</w:t>
            </w:r>
          </w:p>
        </w:tc>
        <w:tc>
          <w:tcPr>
            <w:tcW w:w="2835" w:type="dxa"/>
            <w:vAlign w:val="center"/>
          </w:tcPr>
          <w:p>
            <w:pPr>
              <w:pStyle w:val="15"/>
            </w:pPr>
            <w:r>
              <w:t>质保金可持续影响</w:t>
            </w:r>
          </w:p>
        </w:tc>
        <w:tc>
          <w:tcPr>
            <w:tcW w:w="2551" w:type="dxa"/>
            <w:vAlign w:val="center"/>
          </w:tcPr>
          <w:p>
            <w:pPr>
              <w:pStyle w:val="15"/>
            </w:pPr>
            <w:r>
              <w:t>≥100</w:t>
            </w:r>
          </w:p>
        </w:tc>
        <w:tc>
          <w:tcPr>
            <w:tcW w:w="2268" w:type="dxa"/>
            <w:vAlign w:val="center"/>
          </w:tcPr>
          <w:p>
            <w:pPr>
              <w:pStyle w:val="15"/>
            </w:pPr>
            <w:r>
              <w:t>根据文件批示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收费对象满意度</w:t>
            </w:r>
          </w:p>
        </w:tc>
        <w:tc>
          <w:tcPr>
            <w:tcW w:w="2835" w:type="dxa"/>
            <w:vAlign w:val="center"/>
          </w:tcPr>
          <w:p>
            <w:pPr>
              <w:pStyle w:val="15"/>
            </w:pPr>
            <w:r>
              <w:t>收费对象满意度</w:t>
            </w:r>
          </w:p>
        </w:tc>
        <w:tc>
          <w:tcPr>
            <w:tcW w:w="2551" w:type="dxa"/>
            <w:vAlign w:val="center"/>
          </w:tcPr>
          <w:p>
            <w:pPr>
              <w:pStyle w:val="15"/>
            </w:pPr>
            <w:r>
              <w:t>≥100</w:t>
            </w:r>
          </w:p>
        </w:tc>
        <w:tc>
          <w:tcPr>
            <w:tcW w:w="2268" w:type="dxa"/>
            <w:vAlign w:val="center"/>
          </w:tcPr>
          <w:p>
            <w:pPr>
              <w:pStyle w:val="15"/>
            </w:pPr>
            <w:r>
              <w:t>根据文件批示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3、2023年人大第十七届第三次会议经费绩效目标表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3"/>
            </w:pPr>
            <w:r>
              <w:t>绩效目标</w:t>
            </w:r>
          </w:p>
        </w:tc>
        <w:tc>
          <w:tcPr>
            <w:tcW w:w="12756" w:type="dxa"/>
            <w:tcBorders>
              <w:bottom w:val="single" w:color="FFFFFF" w:sz="6" w:space="0"/>
            </w:tcBorders>
            <w:vAlign w:val="center"/>
          </w:tcPr>
          <w:p>
            <w:pPr>
              <w:pStyle w:val="15"/>
              <w:rPr>
                <w:lang w:val="uk" w:eastAsia="zh-CN" w:bidi="ar"/>
              </w:rPr>
            </w:pPr>
            <w:r>
              <w:rPr>
                <w:rFonts w:hint="eastAsia"/>
                <w:lang w:eastAsia="zh-CN" w:bidi="ar"/>
              </w:rPr>
              <w:t>1.</w:t>
            </w:r>
            <w:r>
              <w:rPr>
                <w:rFonts w:hint="eastAsia"/>
                <w:lang w:val="uk" w:eastAsia="zh-CN" w:bidi="ar"/>
              </w:rPr>
              <w:t>保障会议正常召开</w:t>
            </w:r>
            <w:r>
              <w:rPr>
                <w:rFonts w:hint="eastAsia"/>
                <w:lang w:eastAsia="zh-CN" w:bidi="ar"/>
              </w:rPr>
              <w:tab/>
            </w:r>
            <w:r>
              <w:rPr>
                <w:rFonts w:hint="eastAsia"/>
                <w:lang w:eastAsia="zh-CN" w:bidi="ar"/>
              </w:rPr>
              <w:tab/>
            </w:r>
            <w:r>
              <w:rPr>
                <w:rFonts w:hint="eastAsia"/>
                <w:lang w:eastAsia="zh-CN" w:bidi="ar"/>
              </w:rPr>
              <w:tab/>
            </w:r>
            <w:r>
              <w:rPr>
                <w:rFonts w:hint="eastAsia"/>
                <w:lang w:eastAsia="zh-CN" w:bidi="ar"/>
              </w:rPr>
              <w:tab/>
            </w:r>
            <w:r>
              <w:rPr>
                <w:rFonts w:hint="eastAsia"/>
                <w:lang w:eastAsia="zh-CN" w:bidi="ar"/>
              </w:rPr>
              <w:tab/>
            </w:r>
            <w:r>
              <w:rPr>
                <w:rFonts w:hint="eastAsia"/>
                <w:lang w:eastAsia="zh-CN" w:bidi="ar"/>
              </w:rPr>
              <w:tab/>
            </w:r>
          </w:p>
          <w:p>
            <w:pPr>
              <w:pStyle w:val="15"/>
            </w:pPr>
            <w:r>
              <w:rPr>
                <w:rFonts w:hint="eastAsia"/>
                <w:lang w:eastAsia="zh-CN" w:bidi="ar"/>
              </w:rPr>
              <w:t>2.</w:t>
            </w:r>
            <w:r>
              <w:rPr>
                <w:rFonts w:hint="eastAsia"/>
                <w:lang w:val="uk" w:eastAsia="zh-CN" w:bidi="ar"/>
              </w:rPr>
              <w:t>保障会议的后勤正常运行</w:t>
            </w:r>
            <w:r>
              <w:rPr>
                <w:rFonts w:hint="eastAsia"/>
                <w:lang w:eastAsia="zh-CN" w:bidi="ar"/>
              </w:rP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2835" w:type="dxa"/>
            <w:vAlign w:val="center"/>
          </w:tcPr>
          <w:p>
            <w:pPr>
              <w:pStyle w:val="13"/>
            </w:pPr>
            <w:r>
              <w:t>绩效指标描述</w:t>
            </w:r>
          </w:p>
        </w:tc>
        <w:tc>
          <w:tcPr>
            <w:tcW w:w="2551" w:type="dxa"/>
            <w:vAlign w:val="center"/>
          </w:tcPr>
          <w:p>
            <w:pPr>
              <w:pStyle w:val="13"/>
            </w:pPr>
            <w:r>
              <w:t>指标值</w:t>
            </w:r>
          </w:p>
        </w:tc>
        <w:tc>
          <w:tcPr>
            <w:tcW w:w="2268"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大会会议数量</w:t>
            </w:r>
          </w:p>
        </w:tc>
        <w:tc>
          <w:tcPr>
            <w:tcW w:w="2835" w:type="dxa"/>
            <w:vAlign w:val="center"/>
          </w:tcPr>
          <w:p>
            <w:pPr>
              <w:pStyle w:val="15"/>
            </w:pPr>
            <w:r>
              <w:t>大会会议数量</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质量指标</w:t>
            </w:r>
          </w:p>
        </w:tc>
        <w:tc>
          <w:tcPr>
            <w:tcW w:w="2835" w:type="dxa"/>
            <w:vAlign w:val="center"/>
          </w:tcPr>
          <w:p>
            <w:pPr>
              <w:pStyle w:val="15"/>
            </w:pPr>
            <w:r>
              <w:t>大会会议质量</w:t>
            </w:r>
          </w:p>
        </w:tc>
        <w:tc>
          <w:tcPr>
            <w:tcW w:w="2835" w:type="dxa"/>
            <w:vAlign w:val="center"/>
          </w:tcPr>
          <w:p>
            <w:pPr>
              <w:pStyle w:val="15"/>
            </w:pPr>
            <w:r>
              <w:t>大会会议质量</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时效指标</w:t>
            </w:r>
          </w:p>
        </w:tc>
        <w:tc>
          <w:tcPr>
            <w:tcW w:w="2835" w:type="dxa"/>
            <w:vAlign w:val="center"/>
          </w:tcPr>
          <w:p>
            <w:pPr>
              <w:pStyle w:val="15"/>
            </w:pPr>
            <w:r>
              <w:t>大会进行时效</w:t>
            </w:r>
          </w:p>
        </w:tc>
        <w:tc>
          <w:tcPr>
            <w:tcW w:w="2835" w:type="dxa"/>
            <w:vAlign w:val="center"/>
          </w:tcPr>
          <w:p>
            <w:pPr>
              <w:pStyle w:val="15"/>
            </w:pPr>
            <w:r>
              <w:t>大会进行时效</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成本指标</w:t>
            </w:r>
          </w:p>
        </w:tc>
        <w:tc>
          <w:tcPr>
            <w:tcW w:w="2835" w:type="dxa"/>
            <w:vAlign w:val="center"/>
          </w:tcPr>
          <w:p>
            <w:pPr>
              <w:pStyle w:val="15"/>
            </w:pPr>
            <w:r>
              <w:t>大会会议成本</w:t>
            </w:r>
          </w:p>
        </w:tc>
        <w:tc>
          <w:tcPr>
            <w:tcW w:w="2835" w:type="dxa"/>
            <w:vAlign w:val="center"/>
          </w:tcPr>
          <w:p>
            <w:pPr>
              <w:pStyle w:val="15"/>
            </w:pPr>
            <w:r>
              <w:t>大会会议成本</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大会产生经济效益</w:t>
            </w:r>
          </w:p>
        </w:tc>
        <w:tc>
          <w:tcPr>
            <w:tcW w:w="2835" w:type="dxa"/>
            <w:vAlign w:val="center"/>
          </w:tcPr>
          <w:p>
            <w:pPr>
              <w:pStyle w:val="15"/>
            </w:pPr>
            <w:r>
              <w:t>大会产生经济效益</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社会效益指标</w:t>
            </w:r>
          </w:p>
        </w:tc>
        <w:tc>
          <w:tcPr>
            <w:tcW w:w="2835" w:type="dxa"/>
            <w:vAlign w:val="center"/>
          </w:tcPr>
          <w:p>
            <w:pPr>
              <w:pStyle w:val="15"/>
            </w:pPr>
            <w:r>
              <w:t>大会产生社会效益</w:t>
            </w:r>
          </w:p>
        </w:tc>
        <w:tc>
          <w:tcPr>
            <w:tcW w:w="2835" w:type="dxa"/>
            <w:vAlign w:val="center"/>
          </w:tcPr>
          <w:p>
            <w:pPr>
              <w:pStyle w:val="15"/>
            </w:pPr>
            <w:r>
              <w:t>大会产生社会效益</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生态效益指标</w:t>
            </w:r>
          </w:p>
        </w:tc>
        <w:tc>
          <w:tcPr>
            <w:tcW w:w="2835" w:type="dxa"/>
            <w:vAlign w:val="center"/>
          </w:tcPr>
          <w:p>
            <w:pPr>
              <w:pStyle w:val="15"/>
            </w:pPr>
            <w:r>
              <w:t>大会产生生态效益</w:t>
            </w:r>
          </w:p>
        </w:tc>
        <w:tc>
          <w:tcPr>
            <w:tcW w:w="2835" w:type="dxa"/>
            <w:vAlign w:val="center"/>
          </w:tcPr>
          <w:p>
            <w:pPr>
              <w:pStyle w:val="15"/>
            </w:pPr>
            <w:r>
              <w:t>大会产生生态效益</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5"/>
            </w:pPr>
            <w:r>
              <w:t>可持续影响指标</w:t>
            </w:r>
          </w:p>
        </w:tc>
        <w:tc>
          <w:tcPr>
            <w:tcW w:w="2835" w:type="dxa"/>
            <w:vAlign w:val="center"/>
          </w:tcPr>
          <w:p>
            <w:pPr>
              <w:pStyle w:val="15"/>
            </w:pPr>
            <w:r>
              <w:t>大会可持续影响性</w:t>
            </w:r>
          </w:p>
        </w:tc>
        <w:tc>
          <w:tcPr>
            <w:tcW w:w="2835" w:type="dxa"/>
            <w:vAlign w:val="center"/>
          </w:tcPr>
          <w:p>
            <w:pPr>
              <w:pStyle w:val="15"/>
            </w:pPr>
            <w:r>
              <w:t>大会可持续影响性</w:t>
            </w:r>
          </w:p>
        </w:tc>
        <w:tc>
          <w:tcPr>
            <w:tcW w:w="2551" w:type="dxa"/>
            <w:vAlign w:val="center"/>
          </w:tcPr>
          <w:p>
            <w:pPr>
              <w:pStyle w:val="15"/>
            </w:pPr>
            <w:r>
              <w:t>≥98</w:t>
            </w:r>
          </w:p>
        </w:tc>
        <w:tc>
          <w:tcPr>
            <w:tcW w:w="2268" w:type="dxa"/>
            <w:vAlign w:val="center"/>
          </w:tcPr>
          <w:p>
            <w:pPr>
              <w:pStyle w:val="15"/>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大会参会人员满意度</w:t>
            </w:r>
          </w:p>
        </w:tc>
        <w:tc>
          <w:tcPr>
            <w:tcW w:w="2835" w:type="dxa"/>
            <w:vAlign w:val="center"/>
          </w:tcPr>
          <w:p>
            <w:pPr>
              <w:pStyle w:val="15"/>
            </w:pPr>
            <w:r>
              <w:t>大会参会人员满意度</w:t>
            </w:r>
          </w:p>
        </w:tc>
        <w:tc>
          <w:tcPr>
            <w:tcW w:w="2551" w:type="dxa"/>
            <w:vAlign w:val="center"/>
          </w:tcPr>
          <w:p>
            <w:pPr>
              <w:pStyle w:val="15"/>
            </w:pPr>
            <w:r>
              <w:t>≥98</w:t>
            </w:r>
          </w:p>
        </w:tc>
        <w:tc>
          <w:tcPr>
            <w:tcW w:w="2268" w:type="dxa"/>
            <w:vAlign w:val="center"/>
          </w:tcPr>
          <w:p>
            <w:pPr>
              <w:pStyle w:val="15"/>
            </w:pPr>
            <w:r>
              <w:t>根据会议安排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2023年，无极县人民代表大会常务委员会安排政府采购预算0.00万元。具体内容见下表。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101无极县人民代表大会常务委员会</w:t>
            </w:r>
          </w:p>
        </w:tc>
        <w:tc>
          <w:tcPr>
            <w:tcW w:w="8674"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0"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无极县人民代表大会常务委员会（含所属单位）上年末固定资产金额为93.03万元（详见下表）。本年度拟购置固定资产总额为0.00万元，已按要求列入政府采购预算，详见政府采购预算表。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101无极县人民代表大会常务委员会</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93.03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4</w:t>
            </w:r>
          </w:p>
        </w:tc>
        <w:tc>
          <w:tcPr>
            <w:tcW w:w="2835" w:type="dxa"/>
            <w:vAlign w:val="center"/>
          </w:tcPr>
          <w:p>
            <w:pPr>
              <w:pStyle w:val="14"/>
            </w:pPr>
            <w:r>
              <w:t>69.08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r>
              <w:t>23.95</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19C70C"/>
    <w:multiLevelType w:val="singleLevel"/>
    <w:tmpl w:val="6D19C70C"/>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37EB1"/>
    <w:rsid w:val="003B071A"/>
    <w:rsid w:val="00A239BB"/>
    <w:rsid w:val="00D37EB1"/>
    <w:rsid w:val="00E20F16"/>
    <w:rsid w:val="13752AA6"/>
    <w:rsid w:val="19097BAB"/>
    <w:rsid w:val="1BDB09CD"/>
    <w:rsid w:val="1D3A62FC"/>
    <w:rsid w:val="33740C95"/>
    <w:rsid w:val="3B264711"/>
    <w:rsid w:val="47EB4C8B"/>
    <w:rsid w:val="4EF36BB4"/>
    <w:rsid w:val="5A896758"/>
    <w:rsid w:val="62BC58B6"/>
    <w:rsid w:val="651A0D6E"/>
    <w:rsid w:val="68E86C15"/>
    <w:rsid w:val="748773BC"/>
    <w:rsid w:val="77F66ED7"/>
    <w:rsid w:val="7D4002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basedOn w:val="1"/>
    <w:qFormat/>
    <w:uiPriority w:val="0"/>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4">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paragraph" w:customStyle="1" w:styleId="28">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2023-05-15T13:45:45Z</dcterms:created>
  <dcterms:modified xsi:type="dcterms:W3CDTF">2023-05-15T05:45:45Z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2023-05-15T13:45:50Z</dcterms:created>
  <dcterms:modified xsi:type="dcterms:W3CDTF">2023-05-15T05:45:50Z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2023-05-15T13:45:51Z</dcterms:created>
  <dcterms:modified xsi:type="dcterms:W3CDTF">2023-05-15T05:45:51Z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2023-05-15T13:45:47Z</dcterms:created>
  <dcterms:modified xsi:type="dcterms:W3CDTF">2023-05-15T05:45:47Z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2023-05-15T13:45:51Z</dcterms:created>
  <dcterms:modified xsi:type="dcterms:W3CDTF">2023-05-15T05:45:51Z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2023-05-15T13:45:51Z</dcterms:created>
  <dcterms:modified xsi:type="dcterms:W3CDTF">2023-05-15T05:45:51Z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CD0426D-A9AE-4EDB-8E5D-501C06947886}">
  <ds:schemaRefs/>
</ds:datastoreItem>
</file>

<file path=customXml/itemProps10.xml><?xml version="1.0" encoding="utf-8"?>
<ds:datastoreItem xmlns:ds="http://schemas.openxmlformats.org/officeDocument/2006/customXml" ds:itemID="{774554FE-63CA-4251-99FA-BC1503E30D71}">
  <ds:schemaRefs/>
</ds:datastoreItem>
</file>

<file path=customXml/itemProps11.xml><?xml version="1.0" encoding="utf-8"?>
<ds:datastoreItem xmlns:ds="http://schemas.openxmlformats.org/officeDocument/2006/customXml" ds:itemID="{5FB4FE67-4CE2-42F7-A289-3BDA4991D932}">
  <ds:schemaRefs/>
</ds:datastoreItem>
</file>

<file path=customXml/itemProps12.xml><?xml version="1.0" encoding="utf-8"?>
<ds:datastoreItem xmlns:ds="http://schemas.openxmlformats.org/officeDocument/2006/customXml" ds:itemID="{C5A0DA3C-D2AA-4D58-B873-84DE377ED628}">
  <ds:schemaRefs/>
</ds:datastoreItem>
</file>

<file path=customXml/itemProps13.xml><?xml version="1.0" encoding="utf-8"?>
<ds:datastoreItem xmlns:ds="http://schemas.openxmlformats.org/officeDocument/2006/customXml" ds:itemID="{3BFEBE43-E73A-48A7-8115-38BFD1C676E2}">
  <ds:schemaRefs/>
</ds:datastoreItem>
</file>

<file path=customXml/itemProps14.xml><?xml version="1.0" encoding="utf-8"?>
<ds:datastoreItem xmlns:ds="http://schemas.openxmlformats.org/officeDocument/2006/customXml" ds:itemID="{F0738643-A3DD-4CF3-946F-8E928F85F114}">
  <ds:schemaRefs/>
</ds:datastoreItem>
</file>

<file path=customXml/itemProps15.xml><?xml version="1.0" encoding="utf-8"?>
<ds:datastoreItem xmlns:ds="http://schemas.openxmlformats.org/officeDocument/2006/customXml" ds:itemID="{9DBDEB99-5384-4912-B810-D0694D09D943}">
  <ds:schemaRefs/>
</ds:datastoreItem>
</file>

<file path=customXml/itemProps16.xml><?xml version="1.0" encoding="utf-8"?>
<ds:datastoreItem xmlns:ds="http://schemas.openxmlformats.org/officeDocument/2006/customXml" ds:itemID="{D23018E9-04B6-400D-9B5A-0EB1CB4A1AEA}">
  <ds:schemaRefs/>
</ds:datastoreItem>
</file>

<file path=customXml/itemProps17.xml><?xml version="1.0" encoding="utf-8"?>
<ds:datastoreItem xmlns:ds="http://schemas.openxmlformats.org/officeDocument/2006/customXml" ds:itemID="{13143659-0EA0-4C4B-8BC1-6663A2D00AF1}">
  <ds:schemaRefs/>
</ds:datastoreItem>
</file>

<file path=customXml/itemProps18.xml><?xml version="1.0" encoding="utf-8"?>
<ds:datastoreItem xmlns:ds="http://schemas.openxmlformats.org/officeDocument/2006/customXml" ds:itemID="{30BC5D7C-AB5F-4873-BA34-476B9AA8A278}">
  <ds:schemaRefs/>
</ds:datastoreItem>
</file>

<file path=customXml/itemProps19.xml><?xml version="1.0" encoding="utf-8"?>
<ds:datastoreItem xmlns:ds="http://schemas.openxmlformats.org/officeDocument/2006/customXml" ds:itemID="{9C353203-D353-48BC-8995-16E967A88F79}">
  <ds:schemaRefs/>
</ds:datastoreItem>
</file>

<file path=customXml/itemProps2.xml><?xml version="1.0" encoding="utf-8"?>
<ds:datastoreItem xmlns:ds="http://schemas.openxmlformats.org/officeDocument/2006/customXml" ds:itemID="{0AF4EDB7-9CF0-4390-8A28-52C116EAC415}">
  <ds:schemaRefs/>
</ds:datastoreItem>
</file>

<file path=customXml/itemProps20.xml><?xml version="1.0" encoding="utf-8"?>
<ds:datastoreItem xmlns:ds="http://schemas.openxmlformats.org/officeDocument/2006/customXml" ds:itemID="{0F26764A-FF2D-4A36-988E-9DAB7BABBC1E}">
  <ds:schemaRefs/>
</ds:datastoreItem>
</file>

<file path=customXml/itemProps21.xml><?xml version="1.0" encoding="utf-8"?>
<ds:datastoreItem xmlns:ds="http://schemas.openxmlformats.org/officeDocument/2006/customXml" ds:itemID="{8B4B5F78-ADA3-4AF7-8735-816E60DABEC7}">
  <ds:schemaRefs/>
</ds:datastoreItem>
</file>

<file path=customXml/itemProps22.xml><?xml version="1.0" encoding="utf-8"?>
<ds:datastoreItem xmlns:ds="http://schemas.openxmlformats.org/officeDocument/2006/customXml" ds:itemID="{E570F7E2-1CCF-4D66-8237-AB19EE0D78C5}">
  <ds:schemaRefs/>
</ds:datastoreItem>
</file>

<file path=customXml/itemProps3.xml><?xml version="1.0" encoding="utf-8"?>
<ds:datastoreItem xmlns:ds="http://schemas.openxmlformats.org/officeDocument/2006/customXml" ds:itemID="{E17FBC2D-75AD-42B5-A174-B16259226407}">
  <ds:schemaRefs/>
</ds:datastoreItem>
</file>

<file path=customXml/itemProps4.xml><?xml version="1.0" encoding="utf-8"?>
<ds:datastoreItem xmlns:ds="http://schemas.openxmlformats.org/officeDocument/2006/customXml" ds:itemID="{81340F63-F0F8-4981-8377-5D268988CE7F}">
  <ds:schemaRefs/>
</ds:datastoreItem>
</file>

<file path=customXml/itemProps5.xml><?xml version="1.0" encoding="utf-8"?>
<ds:datastoreItem xmlns:ds="http://schemas.openxmlformats.org/officeDocument/2006/customXml" ds:itemID="{763997F6-CCD1-4699-9D17-0FB49D811B18}">
  <ds:schemaRefs/>
</ds:datastoreItem>
</file>

<file path=customXml/itemProps6.xml><?xml version="1.0" encoding="utf-8"?>
<ds:datastoreItem xmlns:ds="http://schemas.openxmlformats.org/officeDocument/2006/customXml" ds:itemID="{5610883E-ACB8-4B76-B120-68805336C65D}">
  <ds:schemaRefs/>
</ds:datastoreItem>
</file>

<file path=customXml/itemProps7.xml><?xml version="1.0" encoding="utf-8"?>
<ds:datastoreItem xmlns:ds="http://schemas.openxmlformats.org/officeDocument/2006/customXml" ds:itemID="{9EE837F6-2A7B-4ABD-AAE6-020C4DC47683}">
  <ds:schemaRefs/>
</ds:datastoreItem>
</file>

<file path=customXml/itemProps8.xml><?xml version="1.0" encoding="utf-8"?>
<ds:datastoreItem xmlns:ds="http://schemas.openxmlformats.org/officeDocument/2006/customXml" ds:itemID="{704125FA-9FE8-4290-9369-8E0B52ABAC1C}">
  <ds:schemaRefs/>
</ds:datastoreItem>
</file>

<file path=customXml/itemProps9.xml><?xml version="1.0" encoding="utf-8"?>
<ds:datastoreItem xmlns:ds="http://schemas.openxmlformats.org/officeDocument/2006/customXml" ds:itemID="{18761115-41EE-4D86-81BF-2BBE0AD88BA9}">
  <ds:schemaRefs/>
</ds:datastoreItem>
</file>

<file path=docProps/app.xml><?xml version="1.0" encoding="utf-8"?>
<Properties xmlns="http://schemas.openxmlformats.org/officeDocument/2006/extended-properties" xmlns:vt="http://schemas.openxmlformats.org/officeDocument/2006/docPropsVTypes">
  <Template>Normal</Template>
  <Pages>51</Pages>
  <Words>3117</Words>
  <Characters>17769</Characters>
  <Lines>148</Lines>
  <Paragraphs>41</Paragraphs>
  <TotalTime>114</TotalTime>
  <ScaleCrop>false</ScaleCrop>
  <LinksUpToDate>false</LinksUpToDate>
  <CharactersWithSpaces>20845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2023-05-15T13:45:00Z</dcterms:created>
  <dc:creator>Administrator</dc:creator>
  <cp:lastModifiedBy>古德纽斯</cp:lastModifiedBy>
  <dcterms:modified xsi:type="dcterms:W3CDTF">2023-09-20T07:52:02Z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E59A19D097C1434BAF5236E906A9CA86</vt:lpwstr>
  </property>
</Properties>
</file>