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一、中共无极县委网络安全和信息化委员会办公室本级收支预算</w:t>
      </w:r>
      <w:r>
        <w:tab/>
      </w:r>
      <w:r>
        <w:fldChar w:fldCharType="begin"/>
      </w:r>
      <w:r>
        <w:instrText xml:space="preserve">PAGEREF _Toc_4_4_0000000019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pP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193.44</w:t>
            </w:r>
          </w:p>
        </w:tc>
        <w:tc>
          <w:tcPr>
            <w:tcW w:w="4535" w:type="dxa"/>
            <w:vAlign w:val="center"/>
          </w:tcPr>
          <w:p>
            <w:pPr>
              <w:pStyle w:val="12"/>
            </w:pPr>
            <w:r>
              <w:t>一、一般公共服务支出</w:t>
            </w:r>
          </w:p>
        </w:tc>
        <w:tc>
          <w:tcPr>
            <w:tcW w:w="2126" w:type="dxa"/>
            <w:vAlign w:val="center"/>
          </w:tcPr>
          <w:p>
            <w:pPr>
              <w:pStyle w:val="11"/>
            </w:pPr>
            <w:r>
              <w:t>177.04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193.44</w:t>
            </w:r>
          </w:p>
        </w:tc>
        <w:tc>
          <w:tcPr>
            <w:tcW w:w="4535" w:type="dxa"/>
            <w:vAlign w:val="center"/>
          </w:tcPr>
          <w:p>
            <w:pPr>
              <w:pStyle w:val="14"/>
            </w:pPr>
            <w:r>
              <w:t>本年支出合计</w:t>
            </w:r>
          </w:p>
        </w:tc>
        <w:tc>
          <w:tcPr>
            <w:tcW w:w="2126" w:type="dxa"/>
            <w:vAlign w:val="center"/>
          </w:tcPr>
          <w:p>
            <w:pPr>
              <w:pStyle w:val="15"/>
            </w:pPr>
            <w:r>
              <w:t>193.44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193.44</w:t>
            </w:r>
          </w:p>
        </w:tc>
        <w:tc>
          <w:tcPr>
            <w:tcW w:w="4535" w:type="dxa"/>
            <w:vAlign w:val="center"/>
          </w:tcPr>
          <w:p>
            <w:pPr>
              <w:pStyle w:val="14"/>
            </w:pPr>
            <w:r>
              <w:t>支出总计</w:t>
            </w:r>
          </w:p>
        </w:tc>
        <w:tc>
          <w:tcPr>
            <w:tcW w:w="2126" w:type="dxa"/>
            <w:vAlign w:val="center"/>
          </w:tcPr>
          <w:p>
            <w:pPr>
              <w:pStyle w:val="15"/>
            </w:pPr>
            <w:r>
              <w:t>193.44</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193.44</w:t>
            </w:r>
          </w:p>
        </w:tc>
        <w:tc>
          <w:tcPr>
            <w:tcW w:w="1134" w:type="dxa"/>
            <w:vAlign w:val="center"/>
          </w:tcPr>
          <w:p>
            <w:pPr>
              <w:pStyle w:val="15"/>
            </w:pPr>
            <w:r>
              <w:t>193.44</w:t>
            </w:r>
          </w:p>
        </w:tc>
        <w:tc>
          <w:tcPr>
            <w:tcW w:w="1134" w:type="dxa"/>
            <w:vAlign w:val="center"/>
          </w:tcPr>
          <w:p>
            <w:pPr>
              <w:pStyle w:val="15"/>
            </w:pPr>
            <w:r>
              <w:t>193.44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117.04</w:t>
            </w:r>
          </w:p>
        </w:tc>
        <w:tc>
          <w:tcPr>
            <w:tcW w:w="1134" w:type="dxa"/>
            <w:vAlign w:val="center"/>
          </w:tcPr>
          <w:p>
            <w:pPr>
              <w:pStyle w:val="11"/>
            </w:pPr>
            <w:r>
              <w:t>117.04</w:t>
            </w:r>
          </w:p>
        </w:tc>
        <w:tc>
          <w:tcPr>
            <w:tcW w:w="1134" w:type="dxa"/>
            <w:vAlign w:val="center"/>
          </w:tcPr>
          <w:p>
            <w:pPr>
              <w:pStyle w:val="11"/>
            </w:pPr>
            <w:r>
              <w:t>117.04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2013799</w:t>
            </w:r>
          </w:p>
        </w:tc>
        <w:tc>
          <w:tcPr>
            <w:tcW w:w="1559" w:type="dxa"/>
            <w:vAlign w:val="center"/>
          </w:tcPr>
          <w:p>
            <w:pPr>
              <w:pStyle w:val="12"/>
            </w:pPr>
            <w:r>
              <w:t>其他网信事务支出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193.44</w:t>
            </w:r>
          </w:p>
        </w:tc>
        <w:tc>
          <w:tcPr>
            <w:tcW w:w="1361" w:type="dxa"/>
            <w:vAlign w:val="center"/>
          </w:tcPr>
          <w:p>
            <w:pPr>
              <w:pStyle w:val="15"/>
            </w:pPr>
            <w:r>
              <w:t>133.44</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177.04</w:t>
            </w:r>
          </w:p>
        </w:tc>
        <w:tc>
          <w:tcPr>
            <w:tcW w:w="1361" w:type="dxa"/>
            <w:vAlign w:val="center"/>
          </w:tcPr>
          <w:p>
            <w:pPr>
              <w:pStyle w:val="11"/>
            </w:pPr>
            <w:r>
              <w:t>117.04</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177.04</w:t>
            </w:r>
          </w:p>
        </w:tc>
        <w:tc>
          <w:tcPr>
            <w:tcW w:w="1361" w:type="dxa"/>
            <w:vAlign w:val="center"/>
          </w:tcPr>
          <w:p>
            <w:pPr>
              <w:pStyle w:val="11"/>
            </w:pPr>
            <w:r>
              <w:t>117.04</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117.04</w:t>
            </w:r>
          </w:p>
        </w:tc>
        <w:tc>
          <w:tcPr>
            <w:tcW w:w="1361" w:type="dxa"/>
            <w:vAlign w:val="center"/>
          </w:tcPr>
          <w:p>
            <w:pPr>
              <w:pStyle w:val="11"/>
            </w:pPr>
            <w:r>
              <w:t>117.04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2013799</w:t>
            </w:r>
          </w:p>
        </w:tc>
        <w:tc>
          <w:tcPr>
            <w:tcW w:w="4535" w:type="dxa"/>
            <w:vAlign w:val="center"/>
          </w:tcPr>
          <w:p>
            <w:pPr>
              <w:pStyle w:val="12"/>
            </w:pPr>
            <w:r>
              <w:t>其他网信事务支出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193.44</w:t>
            </w:r>
          </w:p>
        </w:tc>
        <w:tc>
          <w:tcPr>
            <w:tcW w:w="3402" w:type="dxa"/>
            <w:vAlign w:val="center"/>
          </w:tcPr>
          <w:p>
            <w:pPr>
              <w:pStyle w:val="12"/>
            </w:pPr>
            <w:r>
              <w:t>一、一般公共服务支出</w:t>
            </w:r>
          </w:p>
        </w:tc>
        <w:tc>
          <w:tcPr>
            <w:tcW w:w="1474" w:type="dxa"/>
            <w:vAlign w:val="center"/>
          </w:tcPr>
          <w:p>
            <w:pPr>
              <w:pStyle w:val="11"/>
            </w:pPr>
            <w:r>
              <w:t>177.04</w:t>
            </w:r>
          </w:p>
        </w:tc>
        <w:tc>
          <w:tcPr>
            <w:tcW w:w="1474" w:type="dxa"/>
            <w:vAlign w:val="center"/>
          </w:tcPr>
          <w:p>
            <w:pPr>
              <w:pStyle w:val="11"/>
            </w:pPr>
            <w:r>
              <w:t>177.04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10.60</w:t>
            </w:r>
          </w:p>
        </w:tc>
        <w:tc>
          <w:tcPr>
            <w:tcW w:w="1474" w:type="dxa"/>
            <w:vAlign w:val="center"/>
          </w:tcPr>
          <w:p>
            <w:pPr>
              <w:pStyle w:val="11"/>
            </w:pPr>
            <w:r>
              <w:t>10.60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5.80</w:t>
            </w:r>
          </w:p>
        </w:tc>
        <w:tc>
          <w:tcPr>
            <w:tcW w:w="1474" w:type="dxa"/>
            <w:vAlign w:val="center"/>
          </w:tcPr>
          <w:p>
            <w:pPr>
              <w:pStyle w:val="11"/>
            </w:pPr>
            <w:r>
              <w:t>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193.44</w:t>
            </w:r>
          </w:p>
        </w:tc>
        <w:tc>
          <w:tcPr>
            <w:tcW w:w="3402" w:type="dxa"/>
            <w:vAlign w:val="center"/>
          </w:tcPr>
          <w:p>
            <w:pPr>
              <w:pStyle w:val="14"/>
            </w:pPr>
            <w:r>
              <w:t>本年支出合计</w:t>
            </w:r>
          </w:p>
        </w:tc>
        <w:tc>
          <w:tcPr>
            <w:tcW w:w="1474" w:type="dxa"/>
            <w:vAlign w:val="center"/>
          </w:tcPr>
          <w:p>
            <w:pPr>
              <w:pStyle w:val="15"/>
            </w:pPr>
            <w:r>
              <w:t>193.44</w:t>
            </w:r>
          </w:p>
        </w:tc>
        <w:tc>
          <w:tcPr>
            <w:tcW w:w="1474" w:type="dxa"/>
            <w:vAlign w:val="center"/>
          </w:tcPr>
          <w:p>
            <w:pPr>
              <w:pStyle w:val="15"/>
            </w:pPr>
            <w:r>
              <w:t>193.44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193.44</w:t>
            </w:r>
          </w:p>
        </w:tc>
        <w:tc>
          <w:tcPr>
            <w:tcW w:w="3402" w:type="dxa"/>
            <w:vAlign w:val="center"/>
          </w:tcPr>
          <w:p>
            <w:pPr>
              <w:pStyle w:val="14"/>
            </w:pPr>
            <w:r>
              <w:t>支出总计</w:t>
            </w:r>
          </w:p>
        </w:tc>
        <w:tc>
          <w:tcPr>
            <w:tcW w:w="1474" w:type="dxa"/>
            <w:vAlign w:val="center"/>
          </w:tcPr>
          <w:p>
            <w:pPr>
              <w:pStyle w:val="15"/>
            </w:pPr>
            <w:r>
              <w:t>193.44</w:t>
            </w:r>
          </w:p>
        </w:tc>
        <w:tc>
          <w:tcPr>
            <w:tcW w:w="1474" w:type="dxa"/>
            <w:vAlign w:val="center"/>
          </w:tcPr>
          <w:p>
            <w:pPr>
              <w:pStyle w:val="15"/>
            </w:pPr>
            <w:r>
              <w:t>193.44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193.44</w:t>
            </w:r>
          </w:p>
        </w:tc>
        <w:tc>
          <w:tcPr>
            <w:tcW w:w="2551" w:type="dxa"/>
            <w:vAlign w:val="center"/>
          </w:tcPr>
          <w:p>
            <w:pPr>
              <w:pStyle w:val="15"/>
            </w:pPr>
            <w:r>
              <w:t>133.44</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177.04</w:t>
            </w:r>
          </w:p>
        </w:tc>
        <w:tc>
          <w:tcPr>
            <w:tcW w:w="2551" w:type="dxa"/>
            <w:vAlign w:val="center"/>
          </w:tcPr>
          <w:p>
            <w:pPr>
              <w:pStyle w:val="11"/>
            </w:pPr>
            <w:r>
              <w:t>117.04</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177.04</w:t>
            </w:r>
          </w:p>
        </w:tc>
        <w:tc>
          <w:tcPr>
            <w:tcW w:w="2551" w:type="dxa"/>
            <w:vAlign w:val="center"/>
          </w:tcPr>
          <w:p>
            <w:pPr>
              <w:pStyle w:val="11"/>
            </w:pPr>
            <w:r>
              <w:t>117.04</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117.04</w:t>
            </w:r>
          </w:p>
        </w:tc>
        <w:tc>
          <w:tcPr>
            <w:tcW w:w="2551" w:type="dxa"/>
            <w:vAlign w:val="center"/>
          </w:tcPr>
          <w:p>
            <w:pPr>
              <w:pStyle w:val="11"/>
            </w:pPr>
            <w:r>
              <w:t>117.04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2013799</w:t>
            </w:r>
          </w:p>
        </w:tc>
        <w:tc>
          <w:tcPr>
            <w:tcW w:w="4535" w:type="dxa"/>
            <w:vAlign w:val="center"/>
          </w:tcPr>
          <w:p>
            <w:pPr>
              <w:pStyle w:val="12"/>
            </w:pPr>
            <w:r>
              <w:t>其他网信事务支出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133.44</w:t>
            </w:r>
          </w:p>
        </w:tc>
        <w:tc>
          <w:tcPr>
            <w:tcW w:w="2551" w:type="dxa"/>
            <w:vAlign w:val="center"/>
          </w:tcPr>
          <w:p>
            <w:pPr>
              <w:pStyle w:val="15"/>
            </w:pPr>
            <w:r>
              <w:t>120.20</w:t>
            </w:r>
          </w:p>
        </w:tc>
        <w:tc>
          <w:tcPr>
            <w:tcW w:w="2551" w:type="dxa"/>
            <w:vAlign w:val="center"/>
          </w:tcPr>
          <w:p>
            <w:pPr>
              <w:pStyle w:val="15"/>
            </w:pPr>
            <w:r>
              <w:t>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120.20</w:t>
            </w:r>
          </w:p>
        </w:tc>
        <w:tc>
          <w:tcPr>
            <w:tcW w:w="2551" w:type="dxa"/>
            <w:vAlign w:val="center"/>
          </w:tcPr>
          <w:p>
            <w:pPr>
              <w:pStyle w:val="11"/>
            </w:pPr>
            <w:r>
              <w:t>120.20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20.60</w:t>
            </w:r>
          </w:p>
        </w:tc>
        <w:tc>
          <w:tcPr>
            <w:tcW w:w="2551" w:type="dxa"/>
            <w:vAlign w:val="center"/>
          </w:tcPr>
          <w:p>
            <w:pPr>
              <w:pStyle w:val="11"/>
            </w:pPr>
            <w:r>
              <w:t>20.60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18.50</w:t>
            </w:r>
          </w:p>
        </w:tc>
        <w:tc>
          <w:tcPr>
            <w:tcW w:w="2551" w:type="dxa"/>
            <w:vAlign w:val="center"/>
          </w:tcPr>
          <w:p>
            <w:pPr>
              <w:pStyle w:val="11"/>
            </w:pPr>
            <w:r>
              <w:t>18.50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13.80</w:t>
            </w:r>
          </w:p>
        </w:tc>
        <w:tc>
          <w:tcPr>
            <w:tcW w:w="2551" w:type="dxa"/>
            <w:vAlign w:val="center"/>
          </w:tcPr>
          <w:p>
            <w:pPr>
              <w:pStyle w:val="11"/>
            </w:pPr>
            <w:r>
              <w:t>13.80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13.24</w:t>
            </w:r>
          </w:p>
        </w:tc>
        <w:tc>
          <w:tcPr>
            <w:tcW w:w="2551" w:type="dxa"/>
            <w:vAlign w:val="center"/>
          </w:tcPr>
          <w:p>
            <w:pPr>
              <w:pStyle w:val="11"/>
            </w:pPr>
          </w:p>
        </w:tc>
        <w:tc>
          <w:tcPr>
            <w:tcW w:w="2551" w:type="dxa"/>
            <w:vAlign w:val="center"/>
          </w:tcPr>
          <w:p>
            <w:pPr>
              <w:pStyle w:val="11"/>
            </w:pPr>
            <w:r>
              <w:t>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3.54</w:t>
            </w:r>
          </w:p>
        </w:tc>
        <w:tc>
          <w:tcPr>
            <w:tcW w:w="2551" w:type="dxa"/>
            <w:vAlign w:val="center"/>
          </w:tcPr>
          <w:p>
            <w:pPr>
              <w:pStyle w:val="11"/>
            </w:pPr>
          </w:p>
        </w:tc>
        <w:tc>
          <w:tcPr>
            <w:tcW w:w="2551" w:type="dxa"/>
            <w:vAlign w:val="center"/>
          </w:tcPr>
          <w:p>
            <w:pPr>
              <w:pStyle w:val="11"/>
            </w:pPr>
            <w:r>
              <w:t>3.54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pPr>
    </w:p>
    <w:p>
      <w:pPr>
        <w:jc w:val="center"/>
      </w:pPr>
    </w:p>
    <w:p>
      <w:pPr>
        <w:jc w:val="center"/>
      </w:pPr>
    </w:p>
    <w:p>
      <w:pPr>
        <w:jc w:val="cente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中共无极县委网络安全和信息化委员会办公室本级2023年单位预算信息公开情况说明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按照《预算法》、《地方预决算公开操作规程》和《关于进一步推进预算公开工作的实施意见》规定，现将中共无极县委网络安全和信息化委员会办公室本级2023年单位预算公开如下：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县委网信办要以习近平新时代中国特色社会主义思想为统，认真学习贯彻习近平总书记关于建设网络强国的重要论述，深入贯彻落实党的十九大和全国、</w:t>
      </w:r>
      <w:r>
        <w:rPr>
          <w:rFonts w:hint="eastAsia"/>
          <w:lang w:eastAsia="zh-CN"/>
        </w:rPr>
        <w:t>县</w:t>
      </w:r>
      <w:r>
        <w:t>、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25"/>
      </w:pPr>
      <w:r>
        <w:t>1、负责处理县委网络安全和信息化委员会日常事务工作。</w:t>
      </w:r>
    </w:p>
    <w:p>
      <w:pPr>
        <w:pStyle w:val="25"/>
      </w:pPr>
      <w:r>
        <w:t>2、贯彻落实网络安全和信息化发展战略、宏观规划和重大政策。</w:t>
      </w:r>
    </w:p>
    <w:p>
      <w:pPr>
        <w:pStyle w:val="25"/>
      </w:pPr>
      <w:r>
        <w:t>3、统筹协调全县网络安全保障体系和可信体系建设。</w:t>
      </w:r>
    </w:p>
    <w:p>
      <w:pPr>
        <w:pStyle w:val="25"/>
      </w:pPr>
      <w:r>
        <w:t>4、督促落实涉及政治、经济、文化、社会、生态及军事等各个领域的网络安全和信息化重大事项。</w:t>
      </w:r>
    </w:p>
    <w:p>
      <w:pPr>
        <w:pStyle w:val="25"/>
      </w:pPr>
      <w:r>
        <w:t>5、负责互联网信息内容管理。</w:t>
      </w:r>
    </w:p>
    <w:p>
      <w:pPr>
        <w:pStyle w:val="25"/>
      </w:pPr>
      <w:r>
        <w:t>6、负责指导协调全县舆情信息工作。</w:t>
      </w:r>
    </w:p>
    <w:p>
      <w:pPr>
        <w:pStyle w:val="25"/>
      </w:pPr>
      <w:r>
        <w:t>7、推动全县网络阵地建设和重点新闻网站规划建设。</w:t>
      </w:r>
    </w:p>
    <w:p>
      <w:pPr>
        <w:pStyle w:val="25"/>
      </w:pPr>
      <w:r>
        <w:t>8、协调推动全县网络社会工作和网络文化、网络文明建设。</w:t>
      </w:r>
    </w:p>
    <w:p>
      <w:pPr>
        <w:pStyle w:val="25"/>
      </w:pPr>
      <w:r>
        <w:t>9、落实国家互联网信息服务资本准入和信息网络行业安全审查的有关政策。</w:t>
      </w:r>
    </w:p>
    <w:p>
      <w:pPr>
        <w:pStyle w:val="25"/>
      </w:pPr>
      <w:r>
        <w:t>10、指导网络金融信息服务业务，负责网络金融信息服务市场监管，协调金融监管</w:t>
      </w:r>
      <w:r>
        <w:rPr>
          <w:rFonts w:hint="eastAsia"/>
          <w:lang w:eastAsia="zh-CN"/>
        </w:rPr>
        <w:t>单位</w:t>
      </w:r>
      <w:r>
        <w:t>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val="en-US"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sz w:val="28"/>
          <w:lang w:val="en-US" w:eastAsia="zh-CN"/>
        </w:rPr>
        <w:t>193.44</w:t>
      </w:r>
      <w:r>
        <w:rPr>
          <w:rFonts w:hint="eastAsia" w:eastAsia="方正仿宋_GBK"/>
          <w:color w:val="000000"/>
          <w:sz w:val="28"/>
        </w:rPr>
        <w:t>万元，其中：一般公共预算拨款</w:t>
      </w:r>
      <w:r>
        <w:rPr>
          <w:rFonts w:hint="eastAsia" w:eastAsia="方正仿宋_GBK"/>
          <w:color w:val="000000"/>
          <w:sz w:val="28"/>
          <w:lang w:val="en-US" w:eastAsia="zh-CN"/>
        </w:rPr>
        <w:t>193.44</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pStyle w:val="18"/>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val="en-US" w:eastAsia="zh-CN"/>
        </w:rPr>
        <w:t>无极县委网信办</w:t>
      </w:r>
      <w:r>
        <w:rPr>
          <w:rFonts w:hint="eastAsia" w:eastAsia="方正仿宋_GBK"/>
          <w:color w:val="000000"/>
          <w:sz w:val="28"/>
        </w:rPr>
        <w:t>年度</w:t>
      </w:r>
      <w:r>
        <w:rPr>
          <w:rFonts w:hint="eastAsia"/>
          <w:color w:val="000000"/>
          <w:sz w:val="28"/>
          <w:lang w:eastAsia="zh-CN"/>
        </w:rPr>
        <w:t>单位</w:t>
      </w:r>
      <w:r>
        <w:rPr>
          <w:rFonts w:hint="eastAsia" w:eastAsia="方正仿宋_GBK"/>
          <w:color w:val="000000"/>
          <w:sz w:val="28"/>
        </w:rPr>
        <w:t>预算中支出预算的总体情况。</w:t>
      </w:r>
      <w:r>
        <w:rPr>
          <w:rFonts w:eastAsia="方正仿宋_GBK"/>
          <w:color w:val="000000"/>
          <w:sz w:val="28"/>
        </w:rPr>
        <w:t>2022</w:t>
      </w:r>
      <w:r>
        <w:rPr>
          <w:rFonts w:hint="eastAsia" w:eastAsia="方正仿宋_GBK"/>
          <w:color w:val="000000"/>
          <w:sz w:val="28"/>
        </w:rPr>
        <w:t>年</w:t>
      </w:r>
      <w:r>
        <w:rPr>
          <w:rFonts w:hint="eastAsia"/>
          <w:color w:val="000000"/>
          <w:sz w:val="28"/>
          <w:lang w:val="en-US" w:eastAsia="zh-CN"/>
        </w:rPr>
        <w:t>单位</w:t>
      </w:r>
      <w:r>
        <w:rPr>
          <w:rFonts w:hint="eastAsia" w:eastAsia="方正仿宋_GBK"/>
          <w:color w:val="000000"/>
          <w:sz w:val="28"/>
        </w:rPr>
        <w:t>支出预算为</w:t>
      </w:r>
      <w:r>
        <w:rPr>
          <w:rFonts w:hint="eastAsia" w:eastAsia="方正仿宋_GBK"/>
          <w:sz w:val="28"/>
          <w:lang w:val="en-US" w:eastAsia="zh-CN"/>
        </w:rPr>
        <w:t>193.44</w:t>
      </w:r>
      <w:r>
        <w:rPr>
          <w:rFonts w:hint="eastAsia" w:eastAsia="方正仿宋_GBK"/>
          <w:color w:val="000000"/>
          <w:sz w:val="28"/>
        </w:rPr>
        <w:t>万元，其中基本支出</w:t>
      </w:r>
      <w:r>
        <w:rPr>
          <w:rFonts w:hint="eastAsia" w:eastAsia="方正仿宋_GBK"/>
          <w:sz w:val="28"/>
          <w:lang w:val="en-US" w:eastAsia="zh-CN"/>
        </w:rPr>
        <w:t>133.44</w:t>
      </w:r>
      <w:r>
        <w:rPr>
          <w:rFonts w:hint="eastAsia" w:eastAsia="方正仿宋_GBK"/>
          <w:color w:val="000000"/>
          <w:sz w:val="28"/>
        </w:rPr>
        <w:t>元，包括人员经费</w:t>
      </w:r>
      <w:r>
        <w:rPr>
          <w:rFonts w:hint="eastAsia" w:eastAsia="方正仿宋_GBK"/>
          <w:sz w:val="28"/>
          <w:lang w:val="en-US" w:eastAsia="zh-CN"/>
        </w:rPr>
        <w:t>120.2</w:t>
      </w:r>
      <w:r>
        <w:rPr>
          <w:rFonts w:hint="eastAsia" w:eastAsia="方正仿宋_GBK"/>
          <w:color w:val="000000"/>
          <w:sz w:val="28"/>
        </w:rPr>
        <w:t>万元和日常公用经费</w:t>
      </w:r>
      <w:r>
        <w:rPr>
          <w:rFonts w:hint="eastAsia" w:eastAsia="方正仿宋_GBK"/>
          <w:sz w:val="28"/>
          <w:lang w:val="en-US" w:eastAsia="zh-CN"/>
        </w:rPr>
        <w:t>13.24</w:t>
      </w:r>
      <w:r>
        <w:rPr>
          <w:rFonts w:hint="eastAsia" w:eastAsia="方正仿宋_GBK"/>
          <w:color w:val="000000"/>
          <w:sz w:val="28"/>
        </w:rPr>
        <w:t>万元；</w:t>
      </w:r>
      <w:r>
        <w:rPr>
          <w:rFonts w:hint="eastAsia"/>
        </w:rPr>
        <w:t>项目支出</w:t>
      </w:r>
      <w:r>
        <w:rPr>
          <w:rFonts w:hint="eastAsia"/>
          <w:lang w:val="en-US" w:eastAsia="zh-CN"/>
        </w:rPr>
        <w:t>60</w:t>
      </w:r>
      <w:r>
        <w:rPr>
          <w:rFonts w:hint="eastAsia"/>
        </w:rPr>
        <w:t>万元，主要为</w:t>
      </w:r>
      <w:r>
        <w:rPr>
          <w:rFonts w:hint="eastAsia"/>
          <w:lang w:val="en-US" w:eastAsia="zh-CN"/>
        </w:rPr>
        <w:t>网信事务支出60</w:t>
      </w:r>
      <w:r>
        <w:rPr>
          <w:rFonts w:hint="eastAsia"/>
        </w:rPr>
        <w:t>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ascii="Times New Roman" w:eastAsia="方正仿宋_GBK"/>
          <w:sz w:val="28"/>
        </w:rPr>
      </w:pP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预算支出较</w:t>
      </w:r>
      <w:r>
        <w:rPr>
          <w:rFonts w:eastAsia="方正仿宋_GBK"/>
          <w:color w:val="000000"/>
          <w:sz w:val="28"/>
        </w:rPr>
        <w:t>2021</w:t>
      </w:r>
      <w:r>
        <w:rPr>
          <w:rFonts w:hint="eastAsia" w:eastAsia="方正仿宋_GBK"/>
          <w:sz w:val="28"/>
          <w:lang w:eastAsia="zh-CN"/>
        </w:rPr>
        <w:t>减少</w:t>
      </w:r>
      <w:r>
        <w:rPr>
          <w:rFonts w:hint="eastAsia" w:eastAsia="方正仿宋_GBK"/>
          <w:sz w:val="28"/>
          <w:lang w:val="en-US" w:eastAsia="zh-CN"/>
        </w:rPr>
        <w:t>182.43</w:t>
      </w:r>
      <w:r>
        <w:rPr>
          <w:rFonts w:ascii="Times New Roman" w:eastAsia="方正仿宋_GBK"/>
          <w:sz w:val="28"/>
        </w:rPr>
        <w:t>万元，其中：基本支出</w:t>
      </w:r>
      <w:r>
        <w:rPr>
          <w:rFonts w:hint="eastAsia" w:eastAsia="方正仿宋_GBK"/>
          <w:sz w:val="28"/>
          <w:lang w:val="en-US" w:eastAsia="zh-CN"/>
        </w:rPr>
        <w:t>增加10.01</w:t>
      </w:r>
      <w:r>
        <w:rPr>
          <w:rFonts w:ascii="Times New Roman" w:eastAsia="方正仿宋_GBK"/>
          <w:sz w:val="28"/>
        </w:rPr>
        <w:t>万元</w:t>
      </w:r>
      <w:r>
        <w:rPr>
          <w:rFonts w:hint="eastAsia" w:eastAsia="方正仿宋_GBK"/>
          <w:sz w:val="28"/>
          <w:lang w:eastAsia="zh-CN"/>
        </w:rPr>
        <w:t>，</w:t>
      </w:r>
      <w:r>
        <w:rPr>
          <w:rFonts w:hint="eastAsia" w:eastAsia="方正仿宋_GBK"/>
          <w:sz w:val="28"/>
          <w:lang w:val="en-US" w:eastAsia="zh-CN"/>
        </w:rPr>
        <w:t>主要是人员经费增加</w:t>
      </w:r>
      <w:r>
        <w:rPr>
          <w:rFonts w:ascii="Times New Roman" w:eastAsia="方正仿宋_GBK"/>
          <w:sz w:val="28"/>
        </w:rPr>
        <w:t>；项目支出减少</w:t>
      </w:r>
      <w:r>
        <w:rPr>
          <w:rFonts w:hint="eastAsia" w:eastAsia="方正仿宋_GBK"/>
          <w:sz w:val="28"/>
          <w:lang w:val="en-US" w:eastAsia="zh-CN"/>
        </w:rPr>
        <w:t>192.44</w:t>
      </w:r>
      <w:r>
        <w:rPr>
          <w:rFonts w:ascii="Times New Roman" w:eastAsia="方正仿宋_GBK"/>
          <w:sz w:val="28"/>
        </w:rPr>
        <w:t>万元</w:t>
      </w:r>
      <w:r>
        <w:rPr>
          <w:rFonts w:hint="eastAsia" w:eastAsia="方正仿宋_GBK"/>
          <w:sz w:val="28"/>
          <w:lang w:eastAsia="zh-CN"/>
        </w:rPr>
        <w:t>，</w:t>
      </w:r>
      <w:r>
        <w:rPr>
          <w:rFonts w:hint="eastAsia" w:eastAsia="方正仿宋_GBK"/>
          <w:sz w:val="28"/>
          <w:lang w:val="en-US" w:eastAsia="zh-CN"/>
        </w:rPr>
        <w:t>主要是项目减少了</w:t>
      </w:r>
      <w:r>
        <w:rPr>
          <w:rFonts w:ascii="Times New Roman" w:eastAsia="方正仿宋_GBK"/>
          <w:sz w:val="28"/>
        </w:rPr>
        <w:t>。</w:t>
      </w:r>
    </w:p>
    <w:p>
      <w:pPr>
        <w:spacing w:before="10" w:after="10" w:line="360" w:lineRule="auto"/>
        <w:ind w:firstLine="640"/>
        <w:outlineLvl w:val="2"/>
      </w:pPr>
      <w:r>
        <w:rPr>
          <w:rFonts w:ascii="黑体" w:hAnsi="黑体" w:eastAsia="黑体" w:cs="黑体"/>
          <w:color w:val="000000"/>
          <w:sz w:val="32"/>
        </w:rPr>
        <w:t>三、机关运行经费安排情况</w:t>
      </w:r>
    </w:p>
    <w:p>
      <w:pPr>
        <w:pStyle w:val="19"/>
      </w:pPr>
      <w:r>
        <w:t>2022年，我单位机关运行经费共计安排</w:t>
      </w:r>
      <w:r>
        <w:rPr>
          <w:rFonts w:hint="eastAsia"/>
          <w:lang w:val="en-US" w:eastAsia="zh-CN"/>
        </w:rPr>
        <w:t>13.24</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3万元，其中：因公出国（境）费0元；公务用车购置及运维费3万元（其中：公务用车购置费0万元，公务用车运行费3万元)；公务接待费0万元，与2022年相比持平无增减变化。</w:t>
      </w:r>
    </w:p>
    <w:p>
      <w:pPr>
        <w:spacing w:before="10" w:after="10" w:line="240" w:lineRule="auto"/>
        <w:ind w:firstLine="640"/>
        <w:jc w:val="left"/>
        <w:outlineLvl w:val="5"/>
        <w:sectPr>
          <w:footerReference r:id="rId5" w:type="default"/>
          <w:footerReference r:id="rId6" w:type="even"/>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1、舆情回应基金库绩效目标表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目标内容</w:t>
            </w:r>
            <w:r>
              <w:rPr>
                <w:rFonts w:hint="eastAsia"/>
                <w:lang w:eastAsia="zh-CN"/>
              </w:rPr>
              <w:t>：</w:t>
            </w:r>
            <w:r>
              <w:t>用于重大舆情提供资金支持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舆情回应数量</w:t>
            </w:r>
          </w:p>
        </w:tc>
        <w:tc>
          <w:tcPr>
            <w:tcW w:w="2835" w:type="dxa"/>
            <w:vAlign w:val="center"/>
          </w:tcPr>
          <w:p>
            <w:pPr>
              <w:pStyle w:val="12"/>
            </w:pPr>
            <w:r>
              <w:t>舆情回应数量</w:t>
            </w:r>
          </w:p>
        </w:tc>
        <w:tc>
          <w:tcPr>
            <w:tcW w:w="2551" w:type="dxa"/>
            <w:vAlign w:val="center"/>
          </w:tcPr>
          <w:p>
            <w:pPr>
              <w:pStyle w:val="12"/>
            </w:pPr>
            <w:r>
              <w:t>尽可能的减少</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舆情回应质量</w:t>
            </w:r>
          </w:p>
        </w:tc>
        <w:tc>
          <w:tcPr>
            <w:tcW w:w="2835" w:type="dxa"/>
            <w:vAlign w:val="center"/>
          </w:tcPr>
          <w:p>
            <w:pPr>
              <w:pStyle w:val="12"/>
            </w:pPr>
            <w:r>
              <w:t>舆情回应质量</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舆情处理及时性</w:t>
            </w:r>
          </w:p>
        </w:tc>
        <w:tc>
          <w:tcPr>
            <w:tcW w:w="2835" w:type="dxa"/>
            <w:vAlign w:val="center"/>
          </w:tcPr>
          <w:p>
            <w:pPr>
              <w:pStyle w:val="12"/>
            </w:pPr>
            <w:r>
              <w:t>舆情处理及时性</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节约成本</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舆情事件发生率</w:t>
            </w:r>
          </w:p>
        </w:tc>
        <w:tc>
          <w:tcPr>
            <w:tcW w:w="2835" w:type="dxa"/>
            <w:vAlign w:val="center"/>
          </w:tcPr>
          <w:p>
            <w:pPr>
              <w:pStyle w:val="12"/>
            </w:pPr>
            <w:r>
              <w:t>舆情事件发生率</w:t>
            </w:r>
          </w:p>
        </w:tc>
        <w:tc>
          <w:tcPr>
            <w:tcW w:w="2551" w:type="dxa"/>
            <w:vAlign w:val="center"/>
          </w:tcPr>
          <w:p>
            <w:pPr>
              <w:pStyle w:val="12"/>
            </w:pPr>
            <w:r>
              <w:t>降低舆情事件的发生</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网络环境逐渐向好</w:t>
            </w:r>
          </w:p>
        </w:tc>
        <w:tc>
          <w:tcPr>
            <w:tcW w:w="2835" w:type="dxa"/>
            <w:vAlign w:val="center"/>
          </w:tcPr>
          <w:p>
            <w:pPr>
              <w:pStyle w:val="12"/>
            </w:pPr>
            <w:r>
              <w:t>网络环境逐渐向好</w:t>
            </w:r>
          </w:p>
        </w:tc>
        <w:tc>
          <w:tcPr>
            <w:tcW w:w="2551" w:type="dxa"/>
            <w:vAlign w:val="center"/>
          </w:tcPr>
          <w:p>
            <w:pPr>
              <w:pStyle w:val="12"/>
            </w:pPr>
            <w:r>
              <w:t>网络环境逐渐向好</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2023年，中共无极县委网络安全和信息化委员会办公室本级安排政府采购预算0.00万元。具体内容见下表。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中共无极县委网络安全和信息化委员会办公室本级上年末固定资产金额为21.59万元（详见下表）。本年度拟购置固定资产总额为0.00万元，已按要求列入政府采购预算，详见政府采购预算表。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49</w:t>
            </w:r>
          </w:p>
        </w:tc>
        <w:tc>
          <w:tcPr>
            <w:tcW w:w="2835" w:type="dxa"/>
            <w:vAlign w:val="center"/>
          </w:tcPr>
          <w:p>
            <w:pPr>
              <w:pStyle w:val="11"/>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9" w:name="_GoBack"/>
      <w:bookmarkEnd w:id="9"/>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1NjRmYjc1NTEyNzMwOWFmODc4ZThiNDhkNmNlYzYifQ=="/>
  </w:docVars>
  <w:rsids>
    <w:rsidRoot w:val="00044730"/>
    <w:rsid w:val="00044730"/>
    <w:rsid w:val="001C3C3A"/>
    <w:rsid w:val="00D36AC4"/>
    <w:rsid w:val="01CB3A9E"/>
    <w:rsid w:val="02986570"/>
    <w:rsid w:val="0BA8480B"/>
    <w:rsid w:val="0CA74424"/>
    <w:rsid w:val="132937A0"/>
    <w:rsid w:val="15231341"/>
    <w:rsid w:val="24542CE3"/>
    <w:rsid w:val="2E1672E3"/>
    <w:rsid w:val="2E417F13"/>
    <w:rsid w:val="384D265D"/>
    <w:rsid w:val="42B2277B"/>
    <w:rsid w:val="4E65005F"/>
    <w:rsid w:val="5C9028CF"/>
    <w:rsid w:val="6BDF5B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615F453-E429-42CF-AAAC-B1690CAB073D}">
  <ds:schemaRefs/>
</ds:datastoreItem>
</file>

<file path=customXml/itemProps10.xml><?xml version="1.0" encoding="utf-8"?>
<ds:datastoreItem xmlns:ds="http://schemas.openxmlformats.org/officeDocument/2006/customXml" ds:itemID="{8106E542-286B-4B91-BA2A-53C8C93EB1BC}">
  <ds:schemaRefs/>
</ds:datastoreItem>
</file>

<file path=customXml/itemProps11.xml><?xml version="1.0" encoding="utf-8"?>
<ds:datastoreItem xmlns:ds="http://schemas.openxmlformats.org/officeDocument/2006/customXml" ds:itemID="{A037A573-F6C2-4C43-B6EA-CFD86B9CBE26}">
  <ds:schemaRefs/>
</ds:datastoreItem>
</file>

<file path=customXml/itemProps12.xml><?xml version="1.0" encoding="utf-8"?>
<ds:datastoreItem xmlns:ds="http://schemas.openxmlformats.org/officeDocument/2006/customXml" ds:itemID="{9260BA6C-FFCE-4F31-A205-6D319CF8AB01}">
  <ds:schemaRefs/>
</ds:datastoreItem>
</file>

<file path=customXml/itemProps13.xml><?xml version="1.0" encoding="utf-8"?>
<ds:datastoreItem xmlns:ds="http://schemas.openxmlformats.org/officeDocument/2006/customXml" ds:itemID="{3737FA38-67E6-4EB5-B876-225F2A1184EC}">
  <ds:schemaRefs/>
</ds:datastoreItem>
</file>

<file path=customXml/itemProps14.xml><?xml version="1.0" encoding="utf-8"?>
<ds:datastoreItem xmlns:ds="http://schemas.openxmlformats.org/officeDocument/2006/customXml" ds:itemID="{F7455E4B-6E02-484C-901F-9C0105DAD3F1}">
  <ds:schemaRefs/>
</ds:datastoreItem>
</file>

<file path=customXml/itemProps2.xml><?xml version="1.0" encoding="utf-8"?>
<ds:datastoreItem xmlns:ds="http://schemas.openxmlformats.org/officeDocument/2006/customXml" ds:itemID="{3D46C0B9-8720-4F4D-A410-0F421C01A368}">
  <ds:schemaRefs/>
</ds:datastoreItem>
</file>

<file path=customXml/itemProps3.xml><?xml version="1.0" encoding="utf-8"?>
<ds:datastoreItem xmlns:ds="http://schemas.openxmlformats.org/officeDocument/2006/customXml" ds:itemID="{ED66AF04-0987-4051-8166-31B7B5F2E582}">
  <ds:schemaRefs/>
</ds:datastoreItem>
</file>

<file path=customXml/itemProps4.xml><?xml version="1.0" encoding="utf-8"?>
<ds:datastoreItem xmlns:ds="http://schemas.openxmlformats.org/officeDocument/2006/customXml" ds:itemID="{C9A25CD5-F751-4708-B80E-2F8F2B07B8B1}">
  <ds:schemaRefs/>
</ds:datastoreItem>
</file>

<file path=customXml/itemProps5.xml><?xml version="1.0" encoding="utf-8"?>
<ds:datastoreItem xmlns:ds="http://schemas.openxmlformats.org/officeDocument/2006/customXml" ds:itemID="{F244C3E6-6833-4278-95C4-9CC66FD8160B}">
  <ds:schemaRefs/>
</ds:datastoreItem>
</file>

<file path=customXml/itemProps6.xml><?xml version="1.0" encoding="utf-8"?>
<ds:datastoreItem xmlns:ds="http://schemas.openxmlformats.org/officeDocument/2006/customXml" ds:itemID="{7154BD80-8082-4DF3-B91C-BDC26ED5C918}">
  <ds:schemaRefs/>
</ds:datastoreItem>
</file>

<file path=customXml/itemProps7.xml><?xml version="1.0" encoding="utf-8"?>
<ds:datastoreItem xmlns:ds="http://schemas.openxmlformats.org/officeDocument/2006/customXml" ds:itemID="{8A810D90-F657-43F5-9C07-049D685F029A}">
  <ds:schemaRefs/>
</ds:datastoreItem>
</file>

<file path=customXml/itemProps8.xml><?xml version="1.0" encoding="utf-8"?>
<ds:datastoreItem xmlns:ds="http://schemas.openxmlformats.org/officeDocument/2006/customXml" ds:itemID="{C2C6966E-0842-4B83-9228-08800C563AA5}">
  <ds:schemaRefs/>
</ds:datastoreItem>
</file>

<file path=customXml/itemProps9.xml><?xml version="1.0" encoding="utf-8"?>
<ds:datastoreItem xmlns:ds="http://schemas.openxmlformats.org/officeDocument/2006/customXml" ds:itemID="{4F77F2D4-FC7F-4CD3-8410-11C4B01B2B3D}">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Pages>
  <Words>6370</Words>
  <Characters>7360</Characters>
  <Lines>130</Lines>
  <Paragraphs>36</Paragraphs>
  <TotalTime>7</TotalTime>
  <ScaleCrop>false</ScaleCrop>
  <LinksUpToDate>false</LinksUpToDate>
  <CharactersWithSpaces>7533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2022-06-22T04:13:00Z</dcterms:created>
  <dc:creator>Administrator</dc:creator>
  <cp:lastModifiedBy>lenovo</cp:lastModifiedBy>
  <dcterms:modified xsi:type="dcterms:W3CDTF">2023-08-15T09:30:24Z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C4625CCAA89A4EAA9037B17733C62F3D</vt:lpwstr>
  </property>
</Properties>
</file>