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b/>
          <w:bCs/>
          <w:sz w:val="44"/>
          <w:szCs w:val="44"/>
        </w:rPr>
      </w:pPr>
      <w:bookmarkStart w:id="0" w:name="_GoBack"/>
      <w:bookmarkEnd w:id="0"/>
    </w:p>
    <w:p>
      <w:pPr>
        <w:jc w:val="center"/>
        <w:rPr>
          <w:rFonts w:ascii="宋体"/>
          <w:b/>
          <w:bCs/>
          <w:sz w:val="44"/>
          <w:szCs w:val="44"/>
        </w:rPr>
      </w:pPr>
      <w:r>
        <w:rPr>
          <w:rFonts w:hint="eastAsia" w:ascii="宋体" w:hAnsi="宋体" w:cs="宋体"/>
          <w:b/>
          <w:bCs/>
          <w:sz w:val="44"/>
          <w:szCs w:val="44"/>
        </w:rPr>
        <w:t>无极县委组织部</w:t>
      </w:r>
    </w:p>
    <w:p>
      <w:pPr>
        <w:jc w:val="center"/>
        <w:rPr>
          <w:rFonts w:ascii="宋体"/>
          <w:b/>
          <w:bCs/>
          <w:sz w:val="44"/>
          <w:szCs w:val="44"/>
        </w:rPr>
      </w:pPr>
      <w:r>
        <w:rPr>
          <w:rFonts w:ascii="宋体" w:hAnsi="宋体" w:cs="宋体"/>
          <w:b/>
          <w:bCs/>
          <w:sz w:val="44"/>
          <w:szCs w:val="44"/>
        </w:rPr>
        <w:t>2017</w:t>
      </w:r>
      <w:r>
        <w:rPr>
          <w:rFonts w:hint="eastAsia" w:ascii="宋体" w:hAnsi="宋体" w:cs="宋体"/>
          <w:b/>
          <w:bCs/>
          <w:sz w:val="44"/>
          <w:szCs w:val="44"/>
        </w:rPr>
        <w:t>年部门预算信息公开说明目录</w:t>
      </w:r>
    </w:p>
    <w:p/>
    <w:p/>
    <w:p>
      <w:pPr>
        <w:ind w:firstLine="640" w:firstLineChars="200"/>
        <w:rPr>
          <w:rFonts w:ascii="宋体"/>
          <w:sz w:val="32"/>
          <w:szCs w:val="32"/>
        </w:rPr>
      </w:pPr>
      <w:r>
        <w:rPr>
          <w:rFonts w:hint="eastAsia" w:ascii="宋体" w:hAnsi="宋体" w:cs="宋体"/>
          <w:sz w:val="32"/>
          <w:szCs w:val="32"/>
        </w:rPr>
        <w:t>一、部门职责及机构设置情况</w:t>
      </w:r>
    </w:p>
    <w:p>
      <w:pPr>
        <w:ind w:firstLine="640" w:firstLineChars="200"/>
        <w:rPr>
          <w:rFonts w:ascii="宋体"/>
          <w:sz w:val="32"/>
          <w:szCs w:val="32"/>
        </w:rPr>
      </w:pPr>
      <w:r>
        <w:rPr>
          <w:rFonts w:hint="eastAsia" w:ascii="宋体" w:hAnsi="宋体" w:cs="宋体"/>
          <w:sz w:val="32"/>
          <w:szCs w:val="32"/>
        </w:rPr>
        <w:t>二、部门预算安排的总体情况</w:t>
      </w:r>
    </w:p>
    <w:p>
      <w:pPr>
        <w:ind w:firstLine="640" w:firstLineChars="200"/>
        <w:rPr>
          <w:rFonts w:ascii="宋体"/>
          <w:sz w:val="32"/>
          <w:szCs w:val="32"/>
        </w:rPr>
      </w:pPr>
      <w:r>
        <w:rPr>
          <w:rFonts w:hint="eastAsia" w:ascii="宋体" w:hAnsi="宋体" w:cs="宋体"/>
          <w:sz w:val="32"/>
          <w:szCs w:val="32"/>
        </w:rPr>
        <w:t>三、机关运行经费安排情况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四、财政拨款“三公”经费预算情况及增减变化原因</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五、绩效预算信息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六、政府采购预算情况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七、国有资产信息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九、其他需要说明的事项</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按照《预算法》、《地方预决算公开操作规程》和《河北省省级预算公开办法》规定，现将无极县委组织部</w:t>
      </w:r>
      <w:r>
        <w:rPr>
          <w:rFonts w:ascii="仿宋_GB2312" w:hAnsi="仿宋" w:eastAsia="仿宋_GB2312" w:cs="仿宋_GB2312"/>
          <w:sz w:val="32"/>
          <w:szCs w:val="32"/>
        </w:rPr>
        <w:t>2017</w:t>
      </w:r>
      <w:r>
        <w:rPr>
          <w:rFonts w:hint="eastAsia" w:ascii="仿宋_GB2312" w:hAnsi="仿宋" w:eastAsia="仿宋_GB2312" w:cs="仿宋_GB2312"/>
          <w:sz w:val="32"/>
          <w:szCs w:val="32"/>
        </w:rPr>
        <w:t>年部门预算公开如下：</w:t>
      </w:r>
    </w:p>
    <w:p>
      <w:pPr>
        <w:ind w:firstLine="640" w:firstLineChars="200"/>
        <w:rPr>
          <w:rFonts w:ascii="黑体" w:hAnsi="黑体" w:eastAsia="黑体"/>
          <w:sz w:val="32"/>
          <w:szCs w:val="32"/>
        </w:rPr>
      </w:pPr>
      <w:r>
        <w:rPr>
          <w:rFonts w:hint="eastAsia" w:ascii="黑体" w:hAnsi="黑体" w:eastAsia="黑体" w:cs="黑体"/>
          <w:sz w:val="32"/>
          <w:szCs w:val="32"/>
        </w:rPr>
        <w:t>一、部门职责及机构设置情况</w:t>
      </w:r>
    </w:p>
    <w:p>
      <w:pPr>
        <w:ind w:firstLine="645"/>
        <w:rPr>
          <w:rFonts w:ascii="楷体" w:hAnsi="楷体" w:eastAsia="楷体"/>
          <w:sz w:val="32"/>
          <w:szCs w:val="32"/>
        </w:rPr>
      </w:pPr>
      <w:r>
        <w:rPr>
          <w:rFonts w:hint="eastAsia" w:ascii="楷体" w:hAnsi="楷体" w:eastAsia="楷体" w:cs="楷体"/>
          <w:sz w:val="32"/>
          <w:szCs w:val="32"/>
        </w:rPr>
        <w:t>（一）部门职责</w:t>
      </w:r>
    </w:p>
    <w:p>
      <w:pPr>
        <w:ind w:firstLine="640" w:firstLineChars="200"/>
        <w:rPr>
          <w:rFonts w:ascii="仿宋_GB2312" w:hAnsi="仿宋" w:eastAsia="仿宋_GB2312"/>
          <w:sz w:val="32"/>
          <w:szCs w:val="32"/>
        </w:rPr>
      </w:pPr>
      <w:r>
        <w:rPr>
          <w:rFonts w:ascii="仿宋_GB2312" w:hAnsi="仿宋" w:eastAsia="仿宋_GB2312" w:cs="仿宋_GB2312"/>
          <w:sz w:val="32"/>
          <w:szCs w:val="32"/>
        </w:rPr>
        <w:t>1</w:t>
      </w:r>
      <w:r>
        <w:rPr>
          <w:rFonts w:hint="eastAsia" w:ascii="仿宋_GB2312" w:hAnsi="仿宋" w:eastAsia="仿宋_GB2312" w:cs="仿宋_GB2312"/>
          <w:sz w:val="32"/>
          <w:szCs w:val="32"/>
        </w:rPr>
        <w:t>、认真贯彻执行党的组织、干部、知识分子工作路线、方针、政策，负责全县党的组织建设和干部队伍及知识分子队伍建设，当好县委参谋和助手。</w:t>
      </w:r>
    </w:p>
    <w:p>
      <w:pPr>
        <w:ind w:firstLine="640" w:firstLineChars="200"/>
        <w:rPr>
          <w:rFonts w:ascii="仿宋_GB2312" w:hAnsi="仿宋" w:eastAsia="仿宋_GB2312"/>
          <w:sz w:val="32"/>
          <w:szCs w:val="32"/>
        </w:rPr>
      </w:pPr>
      <w:r>
        <w:rPr>
          <w:rFonts w:ascii="仿宋_GB2312" w:hAnsi="仿宋" w:eastAsia="仿宋_GB2312" w:cs="仿宋_GB2312"/>
          <w:sz w:val="32"/>
          <w:szCs w:val="32"/>
        </w:rPr>
        <w:t>2</w:t>
      </w:r>
      <w:r>
        <w:rPr>
          <w:rFonts w:hint="eastAsia" w:ascii="仿宋_GB2312" w:hAnsi="仿宋" w:eastAsia="仿宋_GB2312" w:cs="仿宋_GB2312"/>
          <w:sz w:val="32"/>
          <w:szCs w:val="32"/>
        </w:rPr>
        <w:t>、对全县乡镇、县直单位领导班子及领导班子成员的实绩考核工作。</w:t>
      </w:r>
    </w:p>
    <w:p>
      <w:pPr>
        <w:ind w:firstLine="645"/>
        <w:rPr>
          <w:rFonts w:ascii="楷体" w:hAnsi="楷体" w:eastAsia="楷体"/>
          <w:sz w:val="32"/>
          <w:szCs w:val="32"/>
        </w:rPr>
      </w:pPr>
      <w:r>
        <w:rPr>
          <w:rFonts w:hint="eastAsia" w:ascii="楷体" w:hAnsi="楷体" w:eastAsia="楷体" w:cs="楷体"/>
          <w:sz w:val="32"/>
          <w:szCs w:val="32"/>
        </w:rPr>
        <w:t>（二）机构设置</w:t>
      </w:r>
    </w:p>
    <w:p>
      <w:pPr>
        <w:jc w:val="center"/>
        <w:outlineLvl w:val="0"/>
        <w:rPr>
          <w:rFonts w:ascii="仿宋" w:hAnsi="仿宋" w:eastAsia="仿宋"/>
          <w:b/>
          <w:bCs/>
          <w:sz w:val="32"/>
          <w:szCs w:val="32"/>
        </w:rPr>
      </w:pPr>
      <w:r>
        <w:rPr>
          <w:rFonts w:hint="eastAsia" w:ascii="仿宋" w:hAnsi="仿宋" w:eastAsia="仿宋" w:cs="仿宋"/>
          <w:sz w:val="32"/>
          <w:szCs w:val="32"/>
        </w:rPr>
        <w:t>部门机构设置情况</w:t>
      </w:r>
    </w:p>
    <w:tbl>
      <w:tblPr>
        <w:tblStyle w:val="4"/>
        <w:tblW w:w="102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1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jc w:val="center"/>
              <w:rPr>
                <w:rFonts w:ascii="宋体" w:cs="宋体"/>
                <w:sz w:val="28"/>
                <w:szCs w:val="28"/>
              </w:rPr>
            </w:pPr>
            <w:r>
              <w:rPr>
                <w:rFonts w:hint="eastAsia" w:ascii="宋体" w:hAnsi="宋体" w:cs="宋体"/>
                <w:b/>
                <w:bCs/>
                <w:sz w:val="28"/>
                <w:szCs w:val="28"/>
              </w:rPr>
              <w:t>单位名称</w:t>
            </w:r>
          </w:p>
        </w:tc>
        <w:tc>
          <w:tcPr>
            <w:tcW w:w="2220" w:type="dxa"/>
            <w:vAlign w:val="center"/>
          </w:tcPr>
          <w:p>
            <w:pPr>
              <w:jc w:val="center"/>
              <w:rPr>
                <w:rFonts w:ascii="宋体" w:cs="宋体"/>
                <w:b/>
                <w:bCs/>
                <w:sz w:val="28"/>
                <w:szCs w:val="28"/>
              </w:rPr>
            </w:pPr>
            <w:r>
              <w:rPr>
                <w:rFonts w:hint="eastAsia" w:ascii="宋体" w:hAnsi="宋体" w:cs="宋体"/>
                <w:b/>
                <w:bCs/>
                <w:sz w:val="28"/>
                <w:szCs w:val="28"/>
              </w:rPr>
              <w:t>单位性质</w:t>
            </w:r>
          </w:p>
        </w:tc>
        <w:tc>
          <w:tcPr>
            <w:tcW w:w="1965" w:type="dxa"/>
            <w:vAlign w:val="center"/>
          </w:tcPr>
          <w:p>
            <w:pPr>
              <w:jc w:val="center"/>
              <w:rPr>
                <w:rFonts w:ascii="宋体" w:cs="宋体"/>
                <w:b/>
                <w:bCs/>
                <w:sz w:val="28"/>
                <w:szCs w:val="28"/>
              </w:rPr>
            </w:pPr>
            <w:r>
              <w:rPr>
                <w:rFonts w:hint="eastAsia" w:ascii="宋体" w:hAnsi="宋体" w:cs="宋体"/>
                <w:b/>
                <w:bCs/>
                <w:sz w:val="28"/>
                <w:szCs w:val="28"/>
              </w:rPr>
              <w:t>单位规格</w:t>
            </w:r>
          </w:p>
        </w:tc>
        <w:tc>
          <w:tcPr>
            <w:tcW w:w="1956" w:type="dxa"/>
            <w:vAlign w:val="center"/>
          </w:tcPr>
          <w:p>
            <w:pPr>
              <w:jc w:val="center"/>
              <w:rPr>
                <w:rFonts w:ascii="宋体" w:cs="宋体"/>
                <w:b/>
                <w:bCs/>
                <w:sz w:val="28"/>
                <w:szCs w:val="28"/>
              </w:rPr>
            </w:pPr>
            <w:r>
              <w:rPr>
                <w:rFonts w:hint="eastAsia" w:ascii="宋体" w:hAnsi="宋体" w:cs="宋体"/>
                <w:b/>
                <w:bCs/>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4068" w:type="dxa"/>
            <w:vAlign w:val="center"/>
          </w:tcPr>
          <w:p>
            <w:pPr>
              <w:jc w:val="center"/>
              <w:rPr>
                <w:sz w:val="28"/>
                <w:szCs w:val="28"/>
              </w:rPr>
            </w:pPr>
            <w:r>
              <w:rPr>
                <w:rFonts w:hint="eastAsia" w:cs="宋体"/>
                <w:sz w:val="28"/>
                <w:szCs w:val="28"/>
              </w:rPr>
              <w:t>无极县委组织部</w:t>
            </w:r>
          </w:p>
        </w:tc>
        <w:tc>
          <w:tcPr>
            <w:tcW w:w="2220" w:type="dxa"/>
            <w:vAlign w:val="center"/>
          </w:tcPr>
          <w:p>
            <w:pPr>
              <w:jc w:val="center"/>
              <w:rPr>
                <w:rFonts w:ascii="仿宋" w:hAnsi="仿宋" w:eastAsia="仿宋"/>
                <w:sz w:val="28"/>
                <w:szCs w:val="28"/>
              </w:rPr>
            </w:pPr>
            <w:r>
              <w:rPr>
                <w:rFonts w:hint="eastAsia" w:ascii="仿宋" w:hAnsi="仿宋" w:eastAsia="仿宋" w:cs="仿宋"/>
                <w:sz w:val="28"/>
                <w:szCs w:val="28"/>
              </w:rPr>
              <w:t>行政</w:t>
            </w:r>
          </w:p>
        </w:tc>
        <w:tc>
          <w:tcPr>
            <w:tcW w:w="1965" w:type="dxa"/>
            <w:vAlign w:val="center"/>
          </w:tcPr>
          <w:p>
            <w:pPr>
              <w:jc w:val="center"/>
              <w:rPr>
                <w:rFonts w:ascii="仿宋" w:hAnsi="仿宋" w:eastAsia="仿宋"/>
                <w:sz w:val="28"/>
                <w:szCs w:val="28"/>
              </w:rPr>
            </w:pPr>
            <w:r>
              <w:rPr>
                <w:rFonts w:hint="eastAsia" w:ascii="仿宋" w:hAnsi="仿宋" w:eastAsia="仿宋" w:cs="仿宋"/>
                <w:sz w:val="28"/>
                <w:szCs w:val="28"/>
              </w:rPr>
              <w:t>正科级</w:t>
            </w:r>
          </w:p>
        </w:tc>
        <w:tc>
          <w:tcPr>
            <w:tcW w:w="1956" w:type="dxa"/>
            <w:vAlign w:val="center"/>
          </w:tcPr>
          <w:p>
            <w:pPr>
              <w:jc w:val="center"/>
              <w:rPr>
                <w:rFonts w:ascii="仿宋" w:hAnsi="仿宋" w:eastAsia="仿宋"/>
                <w:sz w:val="28"/>
                <w:szCs w:val="28"/>
              </w:rPr>
            </w:pPr>
            <w:r>
              <w:rPr>
                <w:rFonts w:hint="eastAsia" w:ascii="仿宋" w:hAnsi="仿宋" w:eastAsia="仿宋" w:cs="仿宋"/>
                <w:sz w:val="28"/>
                <w:szCs w:val="28"/>
              </w:rPr>
              <w:t>财政拨款</w:t>
            </w:r>
          </w:p>
        </w:tc>
      </w:tr>
    </w:tbl>
    <w:p>
      <w:pPr>
        <w:ind w:firstLine="645"/>
        <w:rPr>
          <w:rFonts w:ascii="楷体" w:hAnsi="楷体" w:eastAsia="楷体"/>
          <w:sz w:val="32"/>
          <w:szCs w:val="32"/>
        </w:rPr>
      </w:pPr>
    </w:p>
    <w:p>
      <w:pPr>
        <w:ind w:firstLine="640" w:firstLineChars="200"/>
        <w:rPr>
          <w:rFonts w:ascii="黑体" w:hAnsi="黑体" w:eastAsia="黑体"/>
          <w:sz w:val="32"/>
          <w:szCs w:val="32"/>
        </w:rPr>
      </w:pPr>
      <w:r>
        <w:rPr>
          <w:rFonts w:hint="eastAsia" w:ascii="黑体" w:hAnsi="黑体" w:eastAsia="黑体" w:cs="黑体"/>
          <w:sz w:val="32"/>
          <w:szCs w:val="32"/>
        </w:rPr>
        <w:t>二、部门预算安排的总体情况</w:t>
      </w:r>
    </w:p>
    <w:p>
      <w:pPr>
        <w:ind w:firstLine="640" w:firstLineChars="200"/>
        <w:rPr>
          <w:rFonts w:ascii="仿宋_GB2312" w:hAnsi="仿宋_GB2312" w:eastAsia="仿宋_GB2312"/>
          <w:sz w:val="32"/>
          <w:szCs w:val="32"/>
        </w:rPr>
      </w:pPr>
      <w:r>
        <w:rPr>
          <w:rFonts w:hint="eastAsia" w:ascii="仿宋_GB2312" w:hAnsi="仿宋_GB2312" w:eastAsia="仿宋_GB2312" w:cs="仿宋_GB2312"/>
          <w:sz w:val="32"/>
          <w:szCs w:val="32"/>
        </w:rPr>
        <w:t>按照预算管理有关规定，目前我县部门预算的编制实行综合预算制度，即全部收入和支出都反映在预算里，我部门及所属单位所有收支都包含在部门预算中。</w:t>
      </w:r>
    </w:p>
    <w:p>
      <w:pPr>
        <w:ind w:firstLine="610"/>
        <w:rPr>
          <w:rFonts w:ascii="楷体" w:hAnsi="楷体" w:eastAsia="楷体"/>
          <w:sz w:val="32"/>
          <w:szCs w:val="32"/>
        </w:rPr>
      </w:pPr>
      <w:r>
        <w:rPr>
          <w:rFonts w:hint="eastAsia" w:ascii="楷体" w:hAnsi="楷体" w:eastAsia="楷体" w:cs="楷体"/>
          <w:sz w:val="32"/>
          <w:szCs w:val="32"/>
        </w:rPr>
        <w:t>（一）收入说明</w:t>
      </w:r>
    </w:p>
    <w:p>
      <w:pPr>
        <w:ind w:firstLine="610"/>
        <w:rPr>
          <w:rFonts w:ascii="楷体" w:hAnsi="楷体" w:eastAsia="楷体"/>
          <w:sz w:val="32"/>
          <w:szCs w:val="32"/>
        </w:rPr>
      </w:pPr>
      <w:r>
        <w:rPr>
          <w:rFonts w:hint="eastAsia" w:ascii="仿宋_GB2312" w:hAnsi="仿宋_GB2312" w:eastAsia="仿宋_GB2312" w:cs="仿宋_GB2312"/>
          <w:sz w:val="32"/>
          <w:szCs w:val="32"/>
        </w:rPr>
        <w:t>反映本部门当年全部收入，</w:t>
      </w: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年预算收入</w:t>
      </w:r>
      <w:r>
        <w:rPr>
          <w:rFonts w:ascii="仿宋_GB2312" w:eastAsia="仿宋_GB2312" w:cs="仿宋_GB2312"/>
          <w:sz w:val="32"/>
          <w:szCs w:val="32"/>
        </w:rPr>
        <w:t>2562.54</w:t>
      </w:r>
      <w:r>
        <w:rPr>
          <w:rFonts w:hint="eastAsia" w:ascii="仿宋_GB2312" w:hAnsi="仿宋_GB2312" w:eastAsia="仿宋_GB2312" w:cs="仿宋_GB2312"/>
          <w:sz w:val="32"/>
          <w:szCs w:val="32"/>
        </w:rPr>
        <w:t>万元，均为一般公共预算收入。</w:t>
      </w:r>
    </w:p>
    <w:p>
      <w:pPr>
        <w:rPr>
          <w:rFonts w:ascii="楷体" w:hAnsi="楷体" w:eastAsia="楷体"/>
          <w:sz w:val="32"/>
          <w:szCs w:val="32"/>
        </w:rPr>
      </w:pPr>
      <w:r>
        <w:rPr>
          <w:rFonts w:ascii="楷体" w:hAnsi="楷体" w:eastAsia="楷体" w:cs="楷体"/>
          <w:sz w:val="32"/>
          <w:szCs w:val="32"/>
        </w:rPr>
        <w:t xml:space="preserve">    </w:t>
      </w:r>
      <w:r>
        <w:rPr>
          <w:rFonts w:hint="eastAsia" w:ascii="楷体" w:hAnsi="楷体" w:eastAsia="楷体" w:cs="楷体"/>
          <w:sz w:val="32"/>
          <w:szCs w:val="32"/>
        </w:rPr>
        <w:t>（二）支出说明</w:t>
      </w:r>
    </w:p>
    <w:p>
      <w:pPr>
        <w:ind w:firstLine="640" w:firstLineChars="200"/>
        <w:jc w:val="left"/>
        <w:rPr>
          <w:rFonts w:ascii="楷体" w:hAnsi="楷体" w:eastAsia="楷体"/>
          <w:sz w:val="32"/>
          <w:szCs w:val="32"/>
        </w:rPr>
      </w:pPr>
      <w:r>
        <w:rPr>
          <w:rFonts w:hint="eastAsia" w:ascii="仿宋_GB2312" w:hAnsi="仿宋_GB2312" w:eastAsia="仿宋_GB2312" w:cs="仿宋_GB2312"/>
          <w:sz w:val="32"/>
          <w:szCs w:val="32"/>
        </w:rPr>
        <w:t>反映我部门本年度支出预算的总体情况。</w:t>
      </w:r>
      <w:r>
        <w:rPr>
          <w:rFonts w:ascii="仿宋_GB2312" w:eastAsia="仿宋_GB2312" w:cs="仿宋_GB2312"/>
          <w:sz w:val="32"/>
          <w:szCs w:val="32"/>
        </w:rPr>
        <w:t>2017</w:t>
      </w:r>
      <w:r>
        <w:rPr>
          <w:rFonts w:hint="eastAsia" w:ascii="仿宋_GB2312" w:eastAsia="仿宋_GB2312" w:cs="仿宋_GB2312"/>
          <w:sz w:val="32"/>
          <w:szCs w:val="32"/>
        </w:rPr>
        <w:t>年预算支出</w:t>
      </w:r>
      <w:r>
        <w:rPr>
          <w:rFonts w:ascii="仿宋_GB2312" w:eastAsia="仿宋_GB2312" w:cs="仿宋_GB2312"/>
          <w:sz w:val="32"/>
          <w:szCs w:val="32"/>
        </w:rPr>
        <w:t>2562.54</w:t>
      </w:r>
      <w:r>
        <w:rPr>
          <w:rFonts w:hint="eastAsia" w:ascii="仿宋_GB2312" w:eastAsia="仿宋_GB2312" w:cs="仿宋_GB2312"/>
          <w:sz w:val="32"/>
          <w:szCs w:val="32"/>
        </w:rPr>
        <w:t>万元。其中，人员经费支出</w:t>
      </w:r>
      <w:r>
        <w:rPr>
          <w:rFonts w:ascii="仿宋_GB2312" w:eastAsia="仿宋_GB2312" w:cs="仿宋_GB2312"/>
          <w:sz w:val="32"/>
          <w:szCs w:val="32"/>
        </w:rPr>
        <w:t>175.75</w:t>
      </w:r>
      <w:r>
        <w:rPr>
          <w:rFonts w:hint="eastAsia" w:ascii="仿宋_GB2312" w:eastAsia="仿宋_GB2312" w:cs="仿宋_GB2312"/>
          <w:sz w:val="32"/>
          <w:szCs w:val="32"/>
        </w:rPr>
        <w:t>万元，正常公用经费</w:t>
      </w:r>
      <w:r>
        <w:rPr>
          <w:rFonts w:ascii="仿宋_GB2312" w:eastAsia="仿宋_GB2312" w:cs="仿宋_GB2312"/>
          <w:sz w:val="32"/>
          <w:szCs w:val="32"/>
        </w:rPr>
        <w:t>20</w:t>
      </w:r>
      <w:r>
        <w:rPr>
          <w:rFonts w:hint="eastAsia" w:ascii="仿宋_GB2312" w:eastAsia="仿宋_GB2312" w:cs="仿宋_GB2312"/>
          <w:sz w:val="32"/>
          <w:szCs w:val="32"/>
        </w:rPr>
        <w:t>万元，项目支出</w:t>
      </w:r>
      <w:r>
        <w:rPr>
          <w:rFonts w:ascii="仿宋_GB2312" w:eastAsia="仿宋_GB2312" w:cs="仿宋_GB2312"/>
          <w:sz w:val="32"/>
          <w:szCs w:val="32"/>
        </w:rPr>
        <w:t>2366.79</w:t>
      </w:r>
      <w:r>
        <w:rPr>
          <w:rFonts w:hint="eastAsia" w:ascii="仿宋_GB2312" w:eastAsia="仿宋_GB2312" w:cs="仿宋_GB2312"/>
          <w:sz w:val="32"/>
          <w:szCs w:val="32"/>
        </w:rPr>
        <w:t>万元。</w:t>
      </w:r>
    </w:p>
    <w:p>
      <w:pPr>
        <w:rPr>
          <w:rFonts w:ascii="楷体" w:hAnsi="楷体" w:eastAsia="楷体"/>
          <w:sz w:val="32"/>
          <w:szCs w:val="32"/>
        </w:rPr>
      </w:pPr>
      <w:r>
        <w:rPr>
          <w:rFonts w:ascii="楷体" w:hAnsi="楷体" w:eastAsia="楷体" w:cs="楷体"/>
          <w:sz w:val="32"/>
          <w:szCs w:val="32"/>
        </w:rPr>
        <w:t xml:space="preserve">    </w:t>
      </w:r>
      <w:r>
        <w:rPr>
          <w:rFonts w:hint="eastAsia" w:ascii="楷体" w:hAnsi="楷体" w:eastAsia="楷体" w:cs="楷体"/>
          <w:sz w:val="32"/>
          <w:szCs w:val="32"/>
        </w:rPr>
        <w:t>（三）比上年增减情况</w:t>
      </w:r>
    </w:p>
    <w:p>
      <w:pPr>
        <w:ind w:firstLine="640" w:firstLineChars="200"/>
        <w:rPr>
          <w:rFonts w:ascii="仿宋_GB2312" w:hAnsi="仿宋_GB2312" w:eastAsia="仿宋_GB2312" w:cs="仿宋_GB2312"/>
          <w:sz w:val="32"/>
          <w:szCs w:val="32"/>
        </w:rPr>
      </w:pPr>
      <w:r>
        <w:rPr>
          <w:rFonts w:ascii="楷体" w:hAnsi="楷体" w:eastAsia="楷体" w:cs="楷体"/>
          <w:sz w:val="32"/>
          <w:szCs w:val="32"/>
        </w:rPr>
        <w:t xml:space="preserve"> </w:t>
      </w: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年预算收支安排</w:t>
      </w:r>
      <w:r>
        <w:rPr>
          <w:rFonts w:ascii="仿宋_GB2312" w:eastAsia="仿宋_GB2312" w:cs="仿宋_GB2312"/>
          <w:sz w:val="32"/>
          <w:szCs w:val="32"/>
        </w:rPr>
        <w:t>2562.54</w:t>
      </w:r>
      <w:r>
        <w:rPr>
          <w:rFonts w:hint="eastAsia" w:ascii="仿宋_GB2312" w:hAnsi="仿宋_GB2312" w:eastAsia="仿宋_GB2312" w:cs="仿宋_GB2312"/>
          <w:sz w:val="32"/>
          <w:szCs w:val="32"/>
        </w:rPr>
        <w:t>万元，较</w:t>
      </w:r>
      <w:r>
        <w:rPr>
          <w:rFonts w:ascii="仿宋_GB2312" w:eastAsia="仿宋_GB2312" w:cs="仿宋_GB2312"/>
          <w:sz w:val="32"/>
          <w:szCs w:val="32"/>
        </w:rPr>
        <w:t>2016</w:t>
      </w:r>
      <w:r>
        <w:rPr>
          <w:rFonts w:hint="eastAsia" w:ascii="仿宋_GB2312" w:eastAsia="仿宋_GB2312" w:cs="仿宋_GB2312"/>
          <w:sz w:val="32"/>
          <w:szCs w:val="32"/>
        </w:rPr>
        <w:t>年相比增长</w:t>
      </w:r>
      <w:r>
        <w:rPr>
          <w:rFonts w:ascii="仿宋_GB2312" w:eastAsia="仿宋_GB2312" w:cs="仿宋_GB2312"/>
          <w:sz w:val="32"/>
          <w:szCs w:val="32"/>
        </w:rPr>
        <w:t>1865.02</w:t>
      </w:r>
      <w:r>
        <w:rPr>
          <w:rFonts w:hint="eastAsia" w:ascii="仿宋_GB2312" w:eastAsia="仿宋_GB2312" w:cs="仿宋_GB2312"/>
          <w:sz w:val="32"/>
          <w:szCs w:val="32"/>
        </w:rPr>
        <w:t>万元，增长原因主要为</w:t>
      </w:r>
      <w:r>
        <w:rPr>
          <w:rFonts w:hint="eastAsia" w:ascii="仿宋_GB2312" w:hAnsi="仿宋_GB2312" w:eastAsia="仿宋_GB2312" w:cs="仿宋_GB2312"/>
          <w:sz w:val="32"/>
          <w:szCs w:val="32"/>
        </w:rPr>
        <w:t>村干部基础职务补贴项目增加。</w:t>
      </w:r>
    </w:p>
    <w:p>
      <w:pPr>
        <w:ind w:firstLine="640" w:firstLineChars="200"/>
        <w:rPr>
          <w:rFonts w:ascii="黑体" w:hAnsi="黑体" w:eastAsia="黑体"/>
          <w:sz w:val="32"/>
          <w:szCs w:val="32"/>
        </w:rPr>
      </w:pPr>
      <w:r>
        <w:rPr>
          <w:rFonts w:hint="eastAsia" w:ascii="黑体" w:hAnsi="黑体" w:eastAsia="黑体" w:cs="黑体"/>
          <w:sz w:val="32"/>
          <w:szCs w:val="32"/>
        </w:rPr>
        <w:t>三、机关运行经费安排情况</w:t>
      </w:r>
    </w:p>
    <w:p>
      <w:pPr>
        <w:ind w:firstLine="640" w:firstLineChars="200"/>
        <w:rPr>
          <w:rFonts w:ascii="仿宋" w:hAnsi="仿宋" w:eastAsia="仿宋"/>
          <w:color w:val="FF0000"/>
          <w:sz w:val="32"/>
          <w:szCs w:val="32"/>
        </w:rPr>
      </w:pP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年机关运行经费共计安排</w:t>
      </w:r>
      <w:r>
        <w:rPr>
          <w:rFonts w:ascii="仿宋_GB2312" w:hAnsi="仿宋_GB2312" w:eastAsia="仿宋_GB2312" w:cs="仿宋_GB2312"/>
          <w:sz w:val="32"/>
          <w:szCs w:val="32"/>
        </w:rPr>
        <w:t>9.32</w:t>
      </w:r>
      <w:r>
        <w:rPr>
          <w:rFonts w:hint="eastAsia" w:ascii="仿宋_GB2312" w:hAnsi="仿宋_GB2312" w:eastAsia="仿宋_GB2312" w:cs="仿宋_GB2312"/>
          <w:sz w:val="32"/>
          <w:szCs w:val="32"/>
        </w:rPr>
        <w:t>万元，主要用于我部门日常办公、日常维修等日常运行支出。</w:t>
      </w:r>
    </w:p>
    <w:p>
      <w:pPr>
        <w:autoSpaceDE w:val="0"/>
        <w:autoSpaceDN w:val="0"/>
        <w:jc w:val="left"/>
        <w:rPr>
          <w:rFonts w:ascii="黑体" w:hAnsi="黑体" w:eastAsia="黑体"/>
          <w:sz w:val="32"/>
          <w:szCs w:val="32"/>
        </w:rPr>
      </w:pPr>
      <w:r>
        <w:rPr>
          <w:rFonts w:ascii="黑体" w:hAnsi="黑体" w:eastAsia="黑体" w:cs="黑体"/>
          <w:sz w:val="32"/>
          <w:szCs w:val="32"/>
        </w:rPr>
        <w:t xml:space="preserve">    </w:t>
      </w:r>
      <w:r>
        <w:rPr>
          <w:rFonts w:hint="eastAsia" w:ascii="黑体" w:hAnsi="黑体" w:eastAsia="黑体" w:cs="黑体"/>
          <w:sz w:val="32"/>
          <w:szCs w:val="32"/>
        </w:rPr>
        <w:t>四、财政拨款“三公”经费预算情况及增减变化原因</w:t>
      </w:r>
    </w:p>
    <w:p>
      <w:pPr>
        <w:ind w:firstLine="640" w:firstLineChars="200"/>
        <w:rPr>
          <w:rFonts w:ascii="仿宋_GB2312" w:eastAsia="仿宋_GB2312"/>
          <w:sz w:val="32"/>
          <w:szCs w:val="32"/>
        </w:rPr>
      </w:pPr>
      <w:r>
        <w:rPr>
          <w:rFonts w:ascii="仿宋_GB2312" w:eastAsia="仿宋_GB2312" w:cs="仿宋_GB2312"/>
          <w:sz w:val="32"/>
          <w:szCs w:val="32"/>
        </w:rPr>
        <w:t>2017</w:t>
      </w:r>
      <w:r>
        <w:rPr>
          <w:rFonts w:hint="eastAsia" w:ascii="仿宋_GB2312" w:eastAsia="仿宋_GB2312" w:cs="仿宋_GB2312"/>
          <w:sz w:val="32"/>
          <w:szCs w:val="32"/>
        </w:rPr>
        <w:t>年本部门安排“三公”经费</w:t>
      </w:r>
      <w:r>
        <w:rPr>
          <w:rFonts w:ascii="仿宋_GB2312" w:eastAsia="仿宋_GB2312" w:cs="仿宋_GB2312"/>
          <w:sz w:val="32"/>
          <w:szCs w:val="32"/>
        </w:rPr>
        <w:t>4.3</w:t>
      </w:r>
      <w:r>
        <w:rPr>
          <w:rFonts w:hint="eastAsia" w:ascii="仿宋_GB2312" w:eastAsia="仿宋_GB2312" w:cs="仿宋_GB2312"/>
          <w:sz w:val="32"/>
          <w:szCs w:val="32"/>
        </w:rPr>
        <w:t>万元，与上年相比减少</w:t>
      </w:r>
      <w:r>
        <w:rPr>
          <w:rFonts w:ascii="仿宋_GB2312" w:eastAsia="仿宋_GB2312" w:cs="仿宋_GB2312"/>
          <w:sz w:val="32"/>
          <w:szCs w:val="32"/>
        </w:rPr>
        <w:t>2.03</w:t>
      </w:r>
      <w:r>
        <w:rPr>
          <w:rFonts w:hint="eastAsia" w:ascii="仿宋_GB2312" w:eastAsia="仿宋_GB2312" w:cs="仿宋_GB2312"/>
          <w:sz w:val="32"/>
          <w:szCs w:val="32"/>
        </w:rPr>
        <w:t>万元，下降</w:t>
      </w:r>
      <w:r>
        <w:rPr>
          <w:rFonts w:ascii="仿宋_GB2312" w:eastAsia="仿宋_GB2312" w:cs="仿宋_GB2312"/>
          <w:sz w:val="32"/>
          <w:szCs w:val="32"/>
        </w:rPr>
        <w:t>32%</w:t>
      </w:r>
      <w:r>
        <w:rPr>
          <w:rFonts w:hint="eastAsia" w:ascii="仿宋_GB2312" w:eastAsia="仿宋_GB2312" w:cs="仿宋_GB2312"/>
          <w:sz w:val="32"/>
          <w:szCs w:val="32"/>
        </w:rPr>
        <w:t>，减少原因为公务用车运行维护减少。其中：</w:t>
      </w:r>
    </w:p>
    <w:p>
      <w:pPr>
        <w:ind w:firstLine="640" w:firstLineChars="200"/>
        <w:rPr>
          <w:rFonts w:ascii="仿宋_GB2312" w:eastAsia="仿宋_GB2312"/>
          <w:sz w:val="32"/>
          <w:szCs w:val="32"/>
        </w:rPr>
      </w:pPr>
      <w:r>
        <w:rPr>
          <w:rFonts w:ascii="仿宋_GB2312" w:eastAsia="仿宋_GB2312" w:cs="仿宋_GB2312"/>
          <w:sz w:val="32"/>
          <w:szCs w:val="32"/>
        </w:rPr>
        <w:t>1</w:t>
      </w:r>
      <w:r>
        <w:rPr>
          <w:rFonts w:hint="eastAsia" w:ascii="仿宋_GB2312" w:eastAsia="仿宋_GB2312" w:cs="仿宋_GB2312"/>
          <w:sz w:val="32"/>
          <w:szCs w:val="32"/>
        </w:rPr>
        <w:t>、因公出国（境）费</w:t>
      </w:r>
      <w:r>
        <w:rPr>
          <w:rFonts w:ascii="仿宋_GB2312" w:eastAsia="仿宋_GB2312" w:cs="仿宋_GB2312"/>
          <w:sz w:val="32"/>
          <w:szCs w:val="32"/>
        </w:rPr>
        <w:t>0</w:t>
      </w:r>
      <w:r>
        <w:rPr>
          <w:rFonts w:hint="eastAsia" w:ascii="仿宋_GB2312" w:eastAsia="仿宋_GB2312" w:cs="仿宋_GB2312"/>
          <w:sz w:val="32"/>
          <w:szCs w:val="32"/>
        </w:rPr>
        <w:t>万元，与上年相比持平</w:t>
      </w:r>
      <w:r>
        <w:rPr>
          <w:rFonts w:ascii="仿宋_GB2312" w:eastAsia="仿宋_GB2312" w:cs="仿宋_GB2312"/>
          <w:sz w:val="32"/>
          <w:szCs w:val="32"/>
        </w:rPr>
        <w:t>,</w:t>
      </w:r>
      <w:r>
        <w:rPr>
          <w:rFonts w:hint="eastAsia" w:ascii="仿宋_GB2312" w:eastAsia="仿宋_GB2312" w:cs="仿宋_GB2312"/>
          <w:sz w:val="32"/>
          <w:szCs w:val="32"/>
        </w:rPr>
        <w:t>无增减变化。</w:t>
      </w:r>
    </w:p>
    <w:p>
      <w:pPr>
        <w:ind w:firstLine="640" w:firstLineChars="200"/>
        <w:rPr>
          <w:rFonts w:ascii="仿宋_GB2312" w:eastAsia="仿宋_GB2312"/>
          <w:sz w:val="32"/>
          <w:szCs w:val="32"/>
        </w:rPr>
      </w:pPr>
      <w:r>
        <w:rPr>
          <w:rFonts w:ascii="仿宋_GB2312" w:eastAsia="仿宋_GB2312" w:cs="仿宋_GB2312"/>
          <w:sz w:val="32"/>
          <w:szCs w:val="32"/>
        </w:rPr>
        <w:t>2</w:t>
      </w:r>
      <w:r>
        <w:rPr>
          <w:rFonts w:hint="eastAsia" w:ascii="仿宋_GB2312" w:eastAsia="仿宋_GB2312" w:cs="仿宋_GB2312"/>
          <w:sz w:val="32"/>
          <w:szCs w:val="32"/>
        </w:rPr>
        <w:t>、公务用车购置</w:t>
      </w:r>
      <w:r>
        <w:rPr>
          <w:rFonts w:ascii="仿宋_GB2312" w:eastAsia="仿宋_GB2312" w:cs="仿宋_GB2312"/>
          <w:sz w:val="32"/>
          <w:szCs w:val="32"/>
        </w:rPr>
        <w:t>0</w:t>
      </w:r>
      <w:r>
        <w:rPr>
          <w:rFonts w:hint="eastAsia" w:ascii="仿宋_GB2312" w:eastAsia="仿宋_GB2312" w:cs="仿宋_GB2312"/>
          <w:sz w:val="32"/>
          <w:szCs w:val="32"/>
        </w:rPr>
        <w:t>万元及运行维护费</w:t>
      </w:r>
      <w:r>
        <w:rPr>
          <w:rFonts w:ascii="仿宋_GB2312" w:eastAsia="仿宋_GB2312" w:cs="仿宋_GB2312"/>
          <w:sz w:val="32"/>
          <w:szCs w:val="32"/>
        </w:rPr>
        <w:t xml:space="preserve"> 3</w:t>
      </w:r>
      <w:r>
        <w:rPr>
          <w:rFonts w:hint="eastAsia" w:ascii="仿宋_GB2312" w:eastAsia="仿宋_GB2312" w:cs="仿宋_GB2312"/>
          <w:sz w:val="32"/>
          <w:szCs w:val="32"/>
        </w:rPr>
        <w:t>万元，与上年相比减少</w:t>
      </w:r>
      <w:r>
        <w:rPr>
          <w:rFonts w:ascii="仿宋_GB2312" w:eastAsia="仿宋_GB2312" w:cs="仿宋_GB2312"/>
          <w:sz w:val="32"/>
          <w:szCs w:val="32"/>
        </w:rPr>
        <w:t>1.27</w:t>
      </w:r>
      <w:r>
        <w:rPr>
          <w:rFonts w:hint="eastAsia" w:ascii="仿宋_GB2312" w:eastAsia="仿宋_GB2312" w:cs="仿宋_GB2312"/>
          <w:sz w:val="32"/>
          <w:szCs w:val="32"/>
        </w:rPr>
        <w:t>万元。</w:t>
      </w:r>
    </w:p>
    <w:p>
      <w:pPr>
        <w:ind w:firstLine="640" w:firstLineChars="200"/>
        <w:rPr>
          <w:rFonts w:ascii="黑体" w:hAnsi="黑体" w:eastAsia="黑体"/>
          <w:sz w:val="32"/>
          <w:szCs w:val="32"/>
        </w:rPr>
      </w:pPr>
      <w:r>
        <w:rPr>
          <w:rFonts w:ascii="仿宋_GB2312" w:eastAsia="仿宋_GB2312" w:cs="仿宋_GB2312"/>
          <w:sz w:val="32"/>
          <w:szCs w:val="32"/>
        </w:rPr>
        <w:t>3</w:t>
      </w:r>
      <w:r>
        <w:rPr>
          <w:rFonts w:hint="eastAsia" w:ascii="仿宋_GB2312" w:eastAsia="仿宋_GB2312" w:cs="仿宋_GB2312"/>
          <w:sz w:val="32"/>
          <w:szCs w:val="32"/>
        </w:rPr>
        <w:t>、公务接待费</w:t>
      </w:r>
      <w:r>
        <w:rPr>
          <w:rFonts w:ascii="仿宋_GB2312" w:eastAsia="仿宋_GB2312" w:cs="仿宋_GB2312"/>
          <w:sz w:val="32"/>
          <w:szCs w:val="32"/>
        </w:rPr>
        <w:t>1.3</w:t>
      </w:r>
      <w:r>
        <w:rPr>
          <w:rFonts w:hint="eastAsia" w:ascii="仿宋_GB2312" w:eastAsia="仿宋_GB2312" w:cs="仿宋_GB2312"/>
          <w:sz w:val="32"/>
          <w:szCs w:val="32"/>
        </w:rPr>
        <w:t>万元，与上年相比持平</w:t>
      </w:r>
      <w:r>
        <w:rPr>
          <w:rFonts w:ascii="仿宋_GB2312" w:eastAsia="仿宋_GB2312" w:cs="仿宋_GB2312"/>
          <w:sz w:val="32"/>
          <w:szCs w:val="32"/>
        </w:rPr>
        <w:t>,</w:t>
      </w:r>
      <w:r>
        <w:rPr>
          <w:rFonts w:hint="eastAsia" w:ascii="仿宋_GB2312" w:eastAsia="仿宋_GB2312" w:cs="仿宋_GB2312"/>
          <w:sz w:val="32"/>
          <w:szCs w:val="32"/>
        </w:rPr>
        <w:t>无增减变化。</w:t>
      </w:r>
    </w:p>
    <w:p>
      <w:pPr>
        <w:autoSpaceDE w:val="0"/>
        <w:autoSpaceDN w:val="0"/>
        <w:ind w:firstLine="640" w:firstLineChars="200"/>
        <w:jc w:val="left"/>
        <w:rPr>
          <w:rFonts w:ascii="黑体" w:hAnsi="黑体" w:eastAsia="黑体"/>
          <w:sz w:val="32"/>
          <w:szCs w:val="32"/>
        </w:rPr>
      </w:pPr>
      <w:r>
        <w:rPr>
          <w:rFonts w:hint="eastAsia" w:ascii="黑体" w:hAnsi="黑体" w:eastAsia="黑体" w:cs="黑体"/>
          <w:sz w:val="32"/>
          <w:szCs w:val="32"/>
        </w:rPr>
        <w:t>五、绩效预算信息</w:t>
      </w:r>
    </w:p>
    <w:p>
      <w:pPr>
        <w:ind w:firstLine="640" w:firstLineChars="200"/>
        <w:rPr>
          <w:rFonts w:ascii="楷体" w:hAnsi="楷体" w:eastAsia="楷体"/>
          <w:sz w:val="32"/>
          <w:szCs w:val="32"/>
        </w:rPr>
      </w:pPr>
      <w:r>
        <w:rPr>
          <w:rFonts w:hint="eastAsia" w:ascii="楷体" w:hAnsi="楷体" w:eastAsia="楷体" w:cs="楷体"/>
          <w:sz w:val="32"/>
          <w:szCs w:val="32"/>
        </w:rPr>
        <w:t>（一）总体绩效目标</w:t>
      </w:r>
    </w:p>
    <w:p>
      <w:pPr>
        <w:ind w:firstLine="640" w:firstLineChars="200"/>
        <w:rPr>
          <w:rFonts w:ascii="仿宋_GB2312" w:eastAsia="仿宋_GB2312"/>
          <w:sz w:val="32"/>
          <w:szCs w:val="32"/>
        </w:rPr>
      </w:pPr>
      <w:r>
        <w:rPr>
          <w:rFonts w:ascii="楷体" w:hAnsi="楷体" w:eastAsia="楷体" w:cs="楷体"/>
          <w:sz w:val="32"/>
          <w:szCs w:val="32"/>
        </w:rPr>
        <w:t xml:space="preserve"> </w:t>
      </w:r>
      <w:r>
        <w:rPr>
          <w:rFonts w:ascii="仿宋_GB2312" w:eastAsia="仿宋_GB2312" w:cs="仿宋_GB2312"/>
          <w:sz w:val="32"/>
          <w:szCs w:val="32"/>
        </w:rPr>
        <w:t>2017</w:t>
      </w:r>
      <w:r>
        <w:rPr>
          <w:rFonts w:hint="eastAsia" w:ascii="仿宋_GB2312" w:eastAsia="仿宋_GB2312" w:cs="仿宋_GB2312"/>
          <w:sz w:val="32"/>
          <w:szCs w:val="32"/>
        </w:rPr>
        <w:t>年，我县组织工作将以习近平系列</w:t>
      </w:r>
      <w:r>
        <w:rPr>
          <w:rFonts w:hint="eastAsia" w:ascii="仿宋_GB2312" w:eastAsia="仿宋_GB2312" w:cs="仿宋_GB2312"/>
          <w:sz w:val="32"/>
          <w:szCs w:val="32"/>
          <w:lang w:eastAsia="zh-CN"/>
        </w:rPr>
        <w:t>重要讲话精神</w:t>
      </w:r>
      <w:r>
        <w:rPr>
          <w:rFonts w:hint="eastAsia" w:ascii="仿宋_GB2312" w:eastAsia="仿宋_GB2312" w:cs="仿宋_GB2312"/>
          <w:sz w:val="32"/>
          <w:szCs w:val="32"/>
        </w:rPr>
        <w:t>为指导，紧紧围绕全县经济社会发展稳定大局，坚持改革创新，狠抓工作落实，为推进经济社会发展提供坚强的组织保证。</w:t>
      </w:r>
    </w:p>
    <w:p>
      <w:pPr>
        <w:ind w:firstLine="640" w:firstLineChars="200"/>
        <w:rPr>
          <w:rFonts w:ascii="仿宋_GB2312" w:eastAsia="仿宋_GB2312"/>
          <w:sz w:val="32"/>
          <w:szCs w:val="32"/>
        </w:rPr>
      </w:pPr>
      <w:r>
        <w:rPr>
          <w:rFonts w:ascii="仿宋_GB2312" w:eastAsia="仿宋_GB2312" w:cs="仿宋_GB2312"/>
          <w:sz w:val="32"/>
          <w:szCs w:val="32"/>
        </w:rPr>
        <w:t>1</w:t>
      </w:r>
      <w:r>
        <w:rPr>
          <w:rFonts w:hint="eastAsia" w:ascii="仿宋_GB2312" w:eastAsia="仿宋_GB2312" w:cs="仿宋_GB2312"/>
          <w:sz w:val="32"/>
          <w:szCs w:val="32"/>
        </w:rPr>
        <w:t>、深化“两学一做”学习教育。突出日常经常学习，把握做合格党员关键，坚持问题导向，以学带做、学用结合、知行合一，把从严治党落实到每个支部、每名党员。</w:t>
      </w:r>
    </w:p>
    <w:p>
      <w:pPr>
        <w:ind w:firstLine="640" w:firstLineChars="200"/>
        <w:rPr>
          <w:rFonts w:ascii="仿宋_GB2312" w:eastAsia="仿宋_GB2312"/>
          <w:sz w:val="32"/>
          <w:szCs w:val="32"/>
        </w:rPr>
      </w:pPr>
      <w:r>
        <w:rPr>
          <w:rFonts w:ascii="仿宋_GB2312" w:eastAsia="仿宋_GB2312" w:cs="仿宋_GB2312"/>
          <w:sz w:val="32"/>
          <w:szCs w:val="32"/>
        </w:rPr>
        <w:t>2</w:t>
      </w:r>
      <w:r>
        <w:rPr>
          <w:rFonts w:hint="eastAsia" w:ascii="仿宋_GB2312" w:eastAsia="仿宋_GB2312" w:cs="仿宋_GB2312"/>
          <w:sz w:val="32"/>
          <w:szCs w:val="32"/>
        </w:rPr>
        <w:t>、加强领导班子和干部队伍建设。突出正确用人导向、严格选任程序，不断优化领导班子和干部队伍结构。推进干部人事制度改革，大力培养选拔优秀年轻干部。狠抓干部思想政治教育，创新方式大规模培训干部。坚持从严管理监督干部，建立健全分类考核方式，做好乡局级领导班子和领导干部实绩考核。</w:t>
      </w:r>
    </w:p>
    <w:p>
      <w:pPr>
        <w:rPr>
          <w:rFonts w:ascii="仿宋_GB2312" w:eastAsia="仿宋_GB2312"/>
          <w:sz w:val="32"/>
          <w:szCs w:val="32"/>
        </w:rPr>
      </w:pPr>
      <w:r>
        <w:rPr>
          <w:rFonts w:ascii="仿宋_GB2312" w:eastAsia="仿宋_GB2312" w:cs="仿宋_GB2312"/>
          <w:sz w:val="32"/>
          <w:szCs w:val="32"/>
        </w:rPr>
        <w:t xml:space="preserve">    3</w:t>
      </w:r>
      <w:r>
        <w:rPr>
          <w:rFonts w:hint="eastAsia" w:ascii="仿宋_GB2312" w:eastAsia="仿宋_GB2312" w:cs="仿宋_GB2312"/>
          <w:sz w:val="32"/>
          <w:szCs w:val="32"/>
        </w:rPr>
        <w:t>、不断夯实党的基层组织建设。落实基层党建工作责任制，切实搞好基层党建示范片区创建、农村“三支队伍”建设、后进村整治转化、服务型党组织建设、农村两委班子队伍建设和大学生村官交通与管理，完善农村干部“一定三有”，落实乡镇党委书记基层党建专项述职、村党组织书记“双述双评”、“四议两公开一监督”工作机制和基层党组织“三会一课”制度，开展农村干部素质工程，加强对农村干部、入党积极分子和广大党员的教育管理，做好党员远程教育中心的日常管理和培训。</w:t>
      </w:r>
    </w:p>
    <w:p>
      <w:pPr>
        <w:ind w:firstLine="640" w:firstLineChars="200"/>
        <w:rPr>
          <w:rFonts w:ascii="仿宋_GB2312" w:eastAsia="仿宋_GB2312"/>
          <w:sz w:val="32"/>
          <w:szCs w:val="32"/>
        </w:rPr>
      </w:pPr>
      <w:r>
        <w:rPr>
          <w:rFonts w:ascii="仿宋_GB2312" w:eastAsia="仿宋_GB2312" w:cs="仿宋_GB2312"/>
          <w:sz w:val="32"/>
          <w:szCs w:val="32"/>
        </w:rPr>
        <w:t>4</w:t>
      </w:r>
      <w:r>
        <w:rPr>
          <w:rFonts w:hint="eastAsia" w:ascii="仿宋_GB2312" w:eastAsia="仿宋_GB2312" w:cs="仿宋_GB2312"/>
          <w:sz w:val="32"/>
          <w:szCs w:val="32"/>
        </w:rPr>
        <w:t>、统筹推进人才队伍建设。坚持党管人才，落实国家和市县中长期人才发展规划纲要，健全完善人才发展的配套制度，构建运转高效、富有活力的工作机制。积极实施“双创”人才集聚工程，加大各类人才锻炼培养，加速高层次人才引进，为全县经济社会转型跨越发展提供强有力的人才保证和智力支撑。</w:t>
      </w:r>
    </w:p>
    <w:p>
      <w:pPr>
        <w:ind w:firstLine="640" w:firstLineChars="200"/>
        <w:rPr>
          <w:rFonts w:ascii="楷体" w:hAnsi="楷体" w:eastAsia="楷体"/>
          <w:sz w:val="32"/>
          <w:szCs w:val="32"/>
        </w:rPr>
      </w:pPr>
      <w:r>
        <w:rPr>
          <w:rFonts w:ascii="仿宋_GB2312" w:eastAsia="仿宋_GB2312" w:cs="仿宋_GB2312"/>
          <w:sz w:val="32"/>
          <w:szCs w:val="32"/>
        </w:rPr>
        <w:t>5</w:t>
      </w:r>
      <w:r>
        <w:rPr>
          <w:rFonts w:hint="eastAsia" w:ascii="仿宋_GB2312" w:eastAsia="仿宋_GB2312" w:cs="仿宋_GB2312"/>
          <w:sz w:val="32"/>
          <w:szCs w:val="32"/>
        </w:rPr>
        <w:t>、切实加强机关设备维护。搞好部机关各种办公设备的更新、维护，重点做好大组工网和党员远程教育中心两个主要网点的日常维护与管理、使用。</w:t>
      </w:r>
    </w:p>
    <w:p>
      <w:pPr>
        <w:rPr>
          <w:rFonts w:ascii="楷体" w:hAnsi="楷体" w:eastAsia="楷体"/>
          <w:sz w:val="32"/>
          <w:szCs w:val="32"/>
        </w:rPr>
      </w:pPr>
      <w:r>
        <w:rPr>
          <w:rFonts w:ascii="楷体" w:hAnsi="楷体" w:eastAsia="楷体" w:cs="楷体"/>
          <w:sz w:val="32"/>
          <w:szCs w:val="32"/>
        </w:rPr>
        <w:t xml:space="preserve">    </w:t>
      </w:r>
      <w:r>
        <w:rPr>
          <w:rFonts w:hint="eastAsia" w:ascii="楷体" w:hAnsi="楷体" w:eastAsia="楷体" w:cs="楷体"/>
          <w:sz w:val="32"/>
          <w:szCs w:val="32"/>
        </w:rPr>
        <w:t>（二）职责分类绩效目标</w:t>
      </w:r>
    </w:p>
    <w:p>
      <w:pPr>
        <w:ind w:firstLine="640" w:firstLineChars="200"/>
        <w:rPr>
          <w:rFonts w:ascii="仿宋_GB2312" w:eastAsia="仿宋_GB2312"/>
          <w:sz w:val="32"/>
          <w:szCs w:val="32"/>
        </w:rPr>
      </w:pPr>
      <w:r>
        <w:rPr>
          <w:rFonts w:ascii="仿宋_GB2312" w:eastAsia="仿宋_GB2312" w:cs="仿宋_GB2312"/>
          <w:sz w:val="32"/>
          <w:szCs w:val="32"/>
        </w:rPr>
        <w:t>1</w:t>
      </w:r>
      <w:r>
        <w:rPr>
          <w:rFonts w:hint="eastAsia" w:ascii="仿宋_GB2312" w:eastAsia="仿宋_GB2312" w:cs="仿宋_GB2312"/>
          <w:sz w:val="32"/>
          <w:szCs w:val="32"/>
        </w:rPr>
        <w:t>、党员和党组织建设。加强基层领导班子建设；切实搞好基层党建示范片区创建、农村“三支队伍”建设、后进村整治转化、服务型党组织建设、农村两委班子队伍建设和大学生村官交通与管理，完善农村干部“一定三有”；落实基层党组织“三会一课”制度，开展农村干部素质工程，加强对农村干部、入党积极分子和广大党员的教育管理，做好党员远程教育中心的日常管理和培训。健全全县党的组织制度、党内生活制度建设；加强民主集中制建设和民主生活会宏观指导；协调和指导县党代会、人代会、政协会和乡镇党代会、人代会；做好代表补选、罢免等事宜；</w:t>
      </w:r>
    </w:p>
    <w:p>
      <w:pPr>
        <w:ind w:firstLine="640"/>
        <w:rPr>
          <w:rFonts w:ascii="仿宋_GB2312" w:eastAsia="仿宋_GB2312"/>
          <w:sz w:val="32"/>
          <w:szCs w:val="32"/>
        </w:rPr>
      </w:pPr>
      <w:r>
        <w:rPr>
          <w:rFonts w:ascii="仿宋_GB2312" w:eastAsia="仿宋_GB2312" w:cs="仿宋_GB2312"/>
          <w:sz w:val="32"/>
          <w:szCs w:val="32"/>
        </w:rPr>
        <w:t>2</w:t>
      </w:r>
      <w:r>
        <w:rPr>
          <w:rFonts w:hint="eastAsia" w:ascii="仿宋_GB2312" w:eastAsia="仿宋_GB2312" w:cs="仿宋_GB2312"/>
          <w:sz w:val="32"/>
          <w:szCs w:val="32"/>
        </w:rPr>
        <w:t>、干部管理。深化干部人事制度改革，优化干部队伍结构，落实国家工资和涉及领导干部收入分配政策；培养锻炼年轻干部；落实援边人才政策待遇，为受援地经济发展和社会稳定</w:t>
      </w:r>
      <w:r>
        <w:rPr>
          <w:rFonts w:hint="eastAsia" w:ascii="仿宋_GB2312" w:eastAsia="仿宋_GB2312" w:cs="仿宋_GB2312"/>
          <w:sz w:val="32"/>
          <w:szCs w:val="32"/>
          <w:lang w:eastAsia="zh-CN"/>
        </w:rPr>
        <w:t>作出贡献</w:t>
      </w:r>
      <w:r>
        <w:rPr>
          <w:rFonts w:hint="eastAsia" w:ascii="仿宋_GB2312" w:eastAsia="仿宋_GB2312" w:cs="仿宋_GB2312"/>
          <w:sz w:val="32"/>
          <w:szCs w:val="32"/>
        </w:rPr>
        <w:t>；进一步加强我县干部管理和教育培训工作，不断提高干部素质和业务能力。</w:t>
      </w:r>
    </w:p>
    <w:p>
      <w:pPr>
        <w:ind w:firstLine="640"/>
        <w:rPr>
          <w:rFonts w:ascii="仿宋_GB2312" w:eastAsia="仿宋_GB2312"/>
          <w:sz w:val="32"/>
          <w:szCs w:val="32"/>
        </w:rPr>
      </w:pPr>
      <w:r>
        <w:rPr>
          <w:rFonts w:ascii="仿宋_GB2312" w:eastAsia="仿宋_GB2312" w:cs="仿宋_GB2312"/>
          <w:sz w:val="32"/>
          <w:szCs w:val="32"/>
        </w:rPr>
        <w:t>3</w:t>
      </w:r>
      <w:r>
        <w:rPr>
          <w:rFonts w:hint="eastAsia" w:ascii="仿宋_GB2312" w:eastAsia="仿宋_GB2312" w:cs="仿宋_GB2312"/>
          <w:sz w:val="32"/>
          <w:szCs w:val="32"/>
        </w:rPr>
        <w:t>、人才工作及人才队伍建设。加强人才队伍建设，积极引进、培养高层次人才，建立完善全县人才队伍信息库；推荐市管拔尖人才，评选县管拔尖人才队伍；加强重点人才工程建设、建立专业门类齐全的全县人才队伍。</w:t>
      </w:r>
    </w:p>
    <w:p>
      <w:pPr>
        <w:rPr>
          <w:rFonts w:ascii="楷体" w:hAnsi="楷体" w:eastAsia="楷体"/>
          <w:sz w:val="32"/>
          <w:szCs w:val="32"/>
        </w:rPr>
      </w:pPr>
      <w:r>
        <w:rPr>
          <w:rFonts w:ascii="仿宋_GB2312" w:eastAsia="仿宋_GB2312" w:cs="仿宋_GB2312"/>
          <w:sz w:val="32"/>
          <w:szCs w:val="32"/>
        </w:rPr>
        <w:t xml:space="preserve">    4</w:t>
      </w:r>
      <w:r>
        <w:rPr>
          <w:rFonts w:hint="eastAsia" w:ascii="仿宋_GB2312" w:eastAsia="仿宋_GB2312" w:cs="仿宋_GB2312"/>
          <w:sz w:val="32"/>
          <w:szCs w:val="32"/>
        </w:rPr>
        <w:t>、组织事务管理。做好部机关机要、文秘、信访、会议、固定资产等工作的计划安排和管理；干部、人事政策科学合理；做好老干部综合服务和保障工作；做到新闻工作网宣与舆情监控到位、处置及时；完成组织史征编工作；信息系统运行无障碍。</w:t>
      </w:r>
    </w:p>
    <w:p>
      <w:pPr>
        <w:rPr>
          <w:rFonts w:ascii="楷体" w:hAnsi="楷体" w:eastAsia="楷体"/>
          <w:sz w:val="32"/>
          <w:szCs w:val="32"/>
        </w:rPr>
      </w:pPr>
      <w:r>
        <w:rPr>
          <w:rFonts w:ascii="楷体" w:hAnsi="楷体" w:eastAsia="楷体" w:cs="楷体"/>
          <w:sz w:val="32"/>
          <w:szCs w:val="32"/>
        </w:rPr>
        <w:t xml:space="preserve">    </w:t>
      </w:r>
      <w:r>
        <w:rPr>
          <w:rFonts w:hint="eastAsia" w:ascii="楷体" w:hAnsi="楷体" w:eastAsia="楷体" w:cs="楷体"/>
          <w:sz w:val="32"/>
          <w:szCs w:val="32"/>
        </w:rPr>
        <w:t>（三）部门职责</w:t>
      </w:r>
      <w:r>
        <w:rPr>
          <w:rFonts w:ascii="楷体" w:hAnsi="楷体" w:eastAsia="楷体" w:cs="楷体"/>
          <w:sz w:val="32"/>
          <w:szCs w:val="32"/>
        </w:rPr>
        <w:t>-</w:t>
      </w:r>
      <w:r>
        <w:rPr>
          <w:rFonts w:hint="eastAsia" w:ascii="楷体" w:hAnsi="楷体" w:eastAsia="楷体" w:cs="楷体"/>
          <w:sz w:val="32"/>
          <w:szCs w:val="32"/>
        </w:rPr>
        <w:t>工作活动绩效目标</w:t>
      </w:r>
    </w:p>
    <w:p>
      <w:pPr>
        <w:ind w:firstLine="645"/>
        <w:jc w:val="center"/>
        <w:rPr>
          <w:rFonts w:ascii="方正小标宋_GBK" w:eastAsia="方正小标宋_GBK"/>
          <w:sz w:val="32"/>
          <w:szCs w:val="32"/>
        </w:rPr>
      </w:pPr>
      <w:r>
        <w:rPr>
          <w:rFonts w:ascii="楷体" w:hAnsi="楷体" w:eastAsia="楷体" w:cs="楷体"/>
          <w:sz w:val="32"/>
          <w:szCs w:val="32"/>
        </w:rPr>
        <w:t xml:space="preserve"> </w:t>
      </w:r>
      <w:r>
        <w:rPr>
          <w:rFonts w:hint="eastAsia" w:ascii="仿宋" w:hAnsi="仿宋" w:eastAsia="仿宋" w:cs="仿宋"/>
          <w:sz w:val="32"/>
          <w:szCs w:val="32"/>
        </w:rPr>
        <w:t>部门职责</w:t>
      </w:r>
      <w:r>
        <w:rPr>
          <w:rFonts w:ascii="仿宋" w:hAnsi="仿宋" w:eastAsia="仿宋" w:cs="仿宋"/>
          <w:sz w:val="32"/>
          <w:szCs w:val="32"/>
        </w:rPr>
        <w:t>-</w:t>
      </w:r>
      <w:r>
        <w:rPr>
          <w:rFonts w:hint="eastAsia" w:ascii="仿宋" w:hAnsi="仿宋" w:eastAsia="仿宋" w:cs="仿宋"/>
          <w:sz w:val="32"/>
          <w:szCs w:val="32"/>
        </w:rPr>
        <w:t>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szCs w:val="24"/>
              </w:rPr>
            </w:pPr>
            <w:r>
              <w:rPr>
                <w:rFonts w:ascii="方正小标宋_GBK" w:eastAsia="方正小标宋_GBK" w:cs="方正小标宋_GBK"/>
                <w:sz w:val="24"/>
                <w:szCs w:val="24"/>
              </w:rPr>
              <w:t>203</w:t>
            </w:r>
            <w:r>
              <w:rPr>
                <w:rFonts w:hint="eastAsia" w:ascii="方正小标宋_GBK" w:eastAsia="方正小标宋_GBK" w:cs="方正小标宋_GBK"/>
                <w:sz w:val="24"/>
                <w:szCs w:val="24"/>
              </w:rPr>
              <w:t>组织部</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_GBK" w:eastAsia="Times New Roman"/>
                <w:sz w:val="24"/>
                <w:szCs w:val="24"/>
              </w:rPr>
            </w:pPr>
            <w:r>
              <w:rPr>
                <w:rFonts w:ascii="????_GBK" w:eastAsia="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_GBK" w:eastAsia="Times New Roman"/>
                <w:b/>
                <w:bCs/>
              </w:rPr>
            </w:pPr>
            <w:r>
              <w:rPr>
                <w:rFonts w:ascii="????_GBK" w:eastAsia="Times New Roman"/>
                <w:b/>
                <w:bCs/>
              </w:rPr>
              <w:t>职责活动</w:t>
            </w:r>
          </w:p>
        </w:tc>
        <w:tc>
          <w:tcPr>
            <w:tcW w:w="1276" w:type="dxa"/>
            <w:vMerge w:val="restart"/>
            <w:vAlign w:val="center"/>
          </w:tcPr>
          <w:p>
            <w:pPr>
              <w:spacing w:line="300" w:lineRule="exact"/>
              <w:jc w:val="center"/>
              <w:rPr>
                <w:rFonts w:ascii="????_GBK" w:eastAsia="Times New Roman"/>
                <w:b/>
                <w:bCs/>
              </w:rPr>
            </w:pPr>
            <w:r>
              <w:rPr>
                <w:rFonts w:ascii="????_GBK" w:eastAsia="Times New Roman"/>
                <w:b/>
                <w:bCs/>
              </w:rPr>
              <w:t>年度预算数</w:t>
            </w:r>
          </w:p>
        </w:tc>
        <w:tc>
          <w:tcPr>
            <w:tcW w:w="2976" w:type="dxa"/>
            <w:vMerge w:val="restart"/>
            <w:vAlign w:val="center"/>
          </w:tcPr>
          <w:p>
            <w:pPr>
              <w:spacing w:line="300" w:lineRule="exact"/>
              <w:jc w:val="center"/>
              <w:rPr>
                <w:rFonts w:ascii="????_GBK" w:eastAsia="Times New Roman"/>
                <w:b/>
                <w:bCs/>
              </w:rPr>
            </w:pPr>
            <w:r>
              <w:rPr>
                <w:rFonts w:ascii="????_GBK" w:eastAsia="Times New Roman"/>
                <w:b/>
                <w:bCs/>
              </w:rPr>
              <w:t>内容描述</w:t>
            </w:r>
          </w:p>
        </w:tc>
        <w:tc>
          <w:tcPr>
            <w:tcW w:w="2976" w:type="dxa"/>
            <w:vMerge w:val="restart"/>
            <w:vAlign w:val="center"/>
          </w:tcPr>
          <w:p>
            <w:pPr>
              <w:spacing w:line="300" w:lineRule="exact"/>
              <w:jc w:val="center"/>
              <w:rPr>
                <w:rFonts w:ascii="????_GBK" w:eastAsia="Times New Roman"/>
                <w:b/>
                <w:bCs/>
              </w:rPr>
            </w:pPr>
            <w:r>
              <w:rPr>
                <w:rFonts w:ascii="????_GBK" w:eastAsia="Times New Roman"/>
                <w:b/>
                <w:bCs/>
              </w:rPr>
              <w:t>绩效目标</w:t>
            </w:r>
          </w:p>
        </w:tc>
        <w:tc>
          <w:tcPr>
            <w:tcW w:w="1417" w:type="dxa"/>
            <w:vMerge w:val="restart"/>
            <w:vAlign w:val="center"/>
          </w:tcPr>
          <w:p>
            <w:pPr>
              <w:spacing w:line="300" w:lineRule="exact"/>
              <w:jc w:val="center"/>
              <w:rPr>
                <w:rFonts w:ascii="????_GBK" w:eastAsia="Times New Roman"/>
                <w:b/>
                <w:bCs/>
              </w:rPr>
            </w:pPr>
            <w:r>
              <w:rPr>
                <w:rFonts w:ascii="????_GBK" w:eastAsia="Times New Roman"/>
                <w:b/>
                <w:bCs/>
              </w:rPr>
              <w:t>绩效指标</w:t>
            </w:r>
          </w:p>
        </w:tc>
        <w:tc>
          <w:tcPr>
            <w:tcW w:w="2948" w:type="dxa"/>
            <w:gridSpan w:val="4"/>
            <w:vAlign w:val="center"/>
          </w:tcPr>
          <w:p>
            <w:pPr>
              <w:spacing w:line="300" w:lineRule="exact"/>
              <w:jc w:val="center"/>
              <w:rPr>
                <w:rFonts w:ascii="????_GBK" w:eastAsia="Times New Roman"/>
                <w:b/>
                <w:bCs/>
              </w:rPr>
            </w:pPr>
            <w:r>
              <w:rPr>
                <w:rFonts w:ascii="????_GBK" w:eastAsia="Times New Roman"/>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_GBK" w:eastAsia="Times New Roman"/>
                <w:b/>
                <w:bCs/>
              </w:rPr>
            </w:pPr>
            <w:r>
              <w:rPr>
                <w:rFonts w:ascii="????_GBK" w:eastAsia="Times New Roman"/>
                <w:b/>
                <w:bCs/>
              </w:rPr>
              <w:t>优</w:t>
            </w:r>
          </w:p>
        </w:tc>
        <w:tc>
          <w:tcPr>
            <w:tcW w:w="737" w:type="dxa"/>
            <w:vAlign w:val="center"/>
          </w:tcPr>
          <w:p>
            <w:pPr>
              <w:spacing w:line="300" w:lineRule="exact"/>
              <w:jc w:val="center"/>
              <w:rPr>
                <w:rFonts w:ascii="????_GBK" w:eastAsia="Times New Roman"/>
                <w:b/>
                <w:bCs/>
              </w:rPr>
            </w:pPr>
            <w:r>
              <w:rPr>
                <w:rFonts w:ascii="????_GBK" w:eastAsia="Times New Roman"/>
                <w:b/>
                <w:bCs/>
              </w:rPr>
              <w:t>良</w:t>
            </w:r>
          </w:p>
        </w:tc>
        <w:tc>
          <w:tcPr>
            <w:tcW w:w="737" w:type="dxa"/>
            <w:vAlign w:val="center"/>
          </w:tcPr>
          <w:p>
            <w:pPr>
              <w:spacing w:line="300" w:lineRule="exact"/>
              <w:jc w:val="center"/>
              <w:rPr>
                <w:rFonts w:ascii="????_GBK" w:eastAsia="Times New Roman"/>
                <w:b/>
                <w:bCs/>
              </w:rPr>
            </w:pPr>
            <w:r>
              <w:rPr>
                <w:rFonts w:ascii="????_GBK" w:eastAsia="Times New Roman"/>
                <w:b/>
                <w:bCs/>
              </w:rPr>
              <w:t>中</w:t>
            </w:r>
          </w:p>
        </w:tc>
        <w:tc>
          <w:tcPr>
            <w:tcW w:w="737" w:type="dxa"/>
            <w:vAlign w:val="center"/>
          </w:tcPr>
          <w:p>
            <w:pPr>
              <w:spacing w:line="300" w:lineRule="exact"/>
              <w:jc w:val="center"/>
              <w:rPr>
                <w:rFonts w:ascii="????_GBK" w:eastAsia="Times New Roman"/>
                <w:b/>
                <w:bCs/>
              </w:rPr>
            </w:pPr>
            <w:r>
              <w:rPr>
                <w:rFonts w:ascii="????_GBK" w:eastAsia="Times New Roman"/>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_GBK" w:eastAsia="Times New Roman"/>
                <w:b/>
                <w:bCs/>
              </w:rPr>
            </w:pPr>
            <w:r>
              <w:rPr>
                <w:rFonts w:ascii="????_GBK" w:eastAsia="Times New Roman"/>
                <w:b/>
                <w:bCs/>
              </w:rPr>
              <w:t>党员和党组织建设</w:t>
            </w:r>
          </w:p>
        </w:tc>
        <w:tc>
          <w:tcPr>
            <w:tcW w:w="1276" w:type="dxa"/>
            <w:vAlign w:val="center"/>
          </w:tcPr>
          <w:p>
            <w:pPr>
              <w:spacing w:line="300" w:lineRule="exact"/>
              <w:jc w:val="left"/>
              <w:rPr>
                <w:rFonts w:ascii="????_GBK" w:eastAsia="Times New Roman" w:cs="????_GBK"/>
              </w:rPr>
            </w:pPr>
            <w:r>
              <w:rPr>
                <w:rFonts w:ascii="????_GBK" w:eastAsia="Times New Roman" w:cs="????_GBK"/>
              </w:rPr>
              <w:t>2272.10</w:t>
            </w:r>
          </w:p>
        </w:tc>
        <w:tc>
          <w:tcPr>
            <w:tcW w:w="2976" w:type="dxa"/>
            <w:vAlign w:val="center"/>
          </w:tcPr>
          <w:p>
            <w:pPr>
              <w:spacing w:line="300" w:lineRule="exact"/>
              <w:jc w:val="left"/>
              <w:rPr>
                <w:rFonts w:ascii="????_GBK" w:eastAsia="Times New Roman"/>
              </w:rPr>
            </w:pPr>
            <w:r>
              <w:rPr>
                <w:rFonts w:ascii="????_GBK" w:eastAsia="Times New Roman"/>
              </w:rPr>
              <w:t>负责全县党组织建设；负责县委基层组织建设</w:t>
            </w:r>
            <w:r>
              <w:rPr>
                <w:rFonts w:hint="eastAsia" w:ascii="????_GBK"/>
                <w:lang w:eastAsia="zh-CN"/>
              </w:rPr>
              <w:t>联席会议</w:t>
            </w:r>
            <w:r>
              <w:rPr>
                <w:rFonts w:ascii="????_GBK" w:eastAsia="Times New Roman"/>
              </w:rPr>
              <w:t>党的牵头抓总工作；研究和提出党内生活制度建设的意见；协调、规划和指导全县党员教育工作；主管党员的管理和发展工作。</w:t>
            </w:r>
          </w:p>
        </w:tc>
        <w:tc>
          <w:tcPr>
            <w:tcW w:w="2976" w:type="dxa"/>
            <w:vAlign w:val="center"/>
          </w:tcPr>
          <w:p>
            <w:pPr>
              <w:spacing w:line="300" w:lineRule="exact"/>
              <w:jc w:val="left"/>
              <w:rPr>
                <w:rFonts w:ascii="????_GBK" w:eastAsia="Times New Roman"/>
              </w:rPr>
            </w:pPr>
            <w:r>
              <w:rPr>
                <w:rFonts w:ascii="????_GBK" w:eastAsia="Times New Roman"/>
              </w:rPr>
              <w:t>加强基层领导班子建设；加强非公经济组织和社会组织党建工作；加强全县大学生村官队伍建设；健全全县党的组织制度、党内生活制度建设；加强民主集中制建设和民主生活会宏观指导；乡镇党代会、人代会；做好代表补选、罢免等事宜。</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bCs/>
              </w:rPr>
            </w:pPr>
            <w:r>
              <w:rPr>
                <w:rFonts w:ascii="????_GBK" w:eastAsia="Times New Roman"/>
                <w:b/>
                <w:bCs/>
              </w:rPr>
              <w:t>　　党组织建设及党员教育管理</w:t>
            </w:r>
          </w:p>
        </w:tc>
        <w:tc>
          <w:tcPr>
            <w:tcW w:w="1276" w:type="dxa"/>
            <w:vMerge w:val="restart"/>
            <w:vAlign w:val="center"/>
          </w:tcPr>
          <w:p>
            <w:pPr>
              <w:spacing w:line="300" w:lineRule="exact"/>
              <w:jc w:val="left"/>
              <w:rPr>
                <w:rFonts w:ascii="????_GBK" w:eastAsia="Times New Roman" w:cs="????_GBK"/>
              </w:rPr>
            </w:pPr>
            <w:r>
              <w:rPr>
                <w:rFonts w:ascii="????_GBK" w:eastAsia="Times New Roman" w:cs="????_GBK"/>
              </w:rPr>
              <w:t>2272.10</w:t>
            </w:r>
          </w:p>
        </w:tc>
        <w:tc>
          <w:tcPr>
            <w:tcW w:w="2976" w:type="dxa"/>
            <w:vMerge w:val="restart"/>
            <w:vAlign w:val="center"/>
          </w:tcPr>
          <w:p>
            <w:pPr>
              <w:spacing w:line="300" w:lineRule="exact"/>
              <w:jc w:val="left"/>
              <w:rPr>
                <w:rFonts w:ascii="????_GBK" w:eastAsia="Times New Roman"/>
              </w:rPr>
            </w:pPr>
            <w:r>
              <w:rPr>
                <w:rFonts w:ascii="????_GBK" w:eastAsia="Times New Roman"/>
              </w:rPr>
              <w:t>负责全县党组织建设；负责县委非公经济和县委基层组织建设</w:t>
            </w:r>
            <w:r>
              <w:rPr>
                <w:rFonts w:hint="eastAsia" w:ascii="????_GBK"/>
                <w:lang w:eastAsia="zh-CN"/>
              </w:rPr>
              <w:t>联席会议</w:t>
            </w:r>
            <w:r>
              <w:rPr>
                <w:rFonts w:ascii="????_GBK" w:eastAsia="Times New Roman"/>
              </w:rPr>
              <w:t>党的牵头抓总工作；研究和提出党内生活制度建设的意见；协调、规划和指导全县党员教育工作。</w:t>
            </w:r>
          </w:p>
        </w:tc>
        <w:tc>
          <w:tcPr>
            <w:tcW w:w="2976" w:type="dxa"/>
            <w:vMerge w:val="restart"/>
            <w:vAlign w:val="center"/>
          </w:tcPr>
          <w:p>
            <w:pPr>
              <w:spacing w:line="300" w:lineRule="exact"/>
              <w:jc w:val="left"/>
              <w:rPr>
                <w:rFonts w:ascii="????_GBK" w:eastAsia="Times New Roman"/>
              </w:rPr>
            </w:pPr>
            <w:r>
              <w:rPr>
                <w:rFonts w:ascii="????_GBK" w:eastAsia="Times New Roman"/>
              </w:rPr>
              <w:t>加强党组织建设和党员管理</w:t>
            </w:r>
            <w:r>
              <w:rPr>
                <w:rFonts w:ascii="????_GBK" w:eastAsia="Times New Roman" w:cs="????_GBK"/>
              </w:rPr>
              <w:t>,</w:t>
            </w:r>
            <w:r>
              <w:rPr>
                <w:rFonts w:ascii="????_GBK" w:eastAsia="Times New Roman"/>
              </w:rPr>
              <w:t>不断提高执政能力和领导水平</w:t>
            </w:r>
          </w:p>
        </w:tc>
        <w:tc>
          <w:tcPr>
            <w:tcW w:w="1417" w:type="dxa"/>
            <w:vAlign w:val="center"/>
          </w:tcPr>
          <w:p>
            <w:pPr>
              <w:spacing w:line="300" w:lineRule="exact"/>
              <w:jc w:val="left"/>
              <w:rPr>
                <w:rFonts w:ascii="????_GBK" w:eastAsia="Times New Roman"/>
              </w:rPr>
            </w:pPr>
            <w:r>
              <w:rPr>
                <w:rFonts w:ascii="????_GBK" w:eastAsia="Times New Roman"/>
              </w:rPr>
              <w:t>农村党组织换届工作完成率</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98%</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非公经济组织和社会组织党的组织和工作覆盖率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党员现代远程教育课时量完成情况（部</w:t>
            </w:r>
            <w:r>
              <w:rPr>
                <w:rFonts w:ascii="????_GBK" w:eastAsia="Times New Roman" w:cs="????_GBK"/>
              </w:rPr>
              <w:t>/</w:t>
            </w:r>
            <w:r>
              <w:rPr>
                <w:rFonts w:ascii="????_GBK" w:eastAsia="Times New Roman"/>
              </w:rPr>
              <w:t>集）</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40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30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20</w:t>
            </w:r>
          </w:p>
        </w:tc>
        <w:tc>
          <w:tcPr>
            <w:tcW w:w="737" w:type="dxa"/>
            <w:vAlign w:val="center"/>
          </w:tcPr>
          <w:p>
            <w:pPr>
              <w:spacing w:line="300" w:lineRule="exact"/>
              <w:jc w:val="center"/>
              <w:rPr>
                <w:rFonts w:ascii="????_GBK" w:eastAsia="Times New Roman" w:cs="????_GBK"/>
              </w:rPr>
            </w:pPr>
            <w:r>
              <w:rPr>
                <w:rFonts w:ascii="????_GBK" w:eastAsia="Times New Roman" w:cs="????_GBK"/>
              </w:rPr>
              <w:t>&lt;20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大学生村官到岗率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_GBK" w:eastAsia="Times New Roman"/>
                <w:b/>
                <w:bCs/>
              </w:rPr>
            </w:pPr>
            <w:r>
              <w:rPr>
                <w:rFonts w:ascii="????_GBK" w:eastAsia="Times New Roman"/>
                <w:b/>
                <w:bCs/>
              </w:rPr>
              <w:t>干部管理</w:t>
            </w:r>
          </w:p>
        </w:tc>
        <w:tc>
          <w:tcPr>
            <w:tcW w:w="1276" w:type="dxa"/>
            <w:vAlign w:val="center"/>
          </w:tcPr>
          <w:p>
            <w:pPr>
              <w:spacing w:line="300" w:lineRule="exact"/>
              <w:jc w:val="left"/>
              <w:rPr>
                <w:rFonts w:ascii="????_GBK" w:eastAsia="Times New Roman" w:cs="????_GBK"/>
              </w:rPr>
            </w:pPr>
            <w:r>
              <w:rPr>
                <w:rFonts w:ascii="????_GBK" w:eastAsia="Times New Roman" w:cs="????_GBK"/>
              </w:rPr>
              <w:t>33.00</w:t>
            </w:r>
          </w:p>
        </w:tc>
        <w:tc>
          <w:tcPr>
            <w:tcW w:w="2976" w:type="dxa"/>
            <w:vAlign w:val="center"/>
          </w:tcPr>
          <w:p>
            <w:pPr>
              <w:spacing w:line="300" w:lineRule="exact"/>
              <w:jc w:val="left"/>
              <w:rPr>
                <w:rFonts w:ascii="????_GBK" w:eastAsia="Times New Roman"/>
              </w:rPr>
            </w:pPr>
            <w:r>
              <w:rPr>
                <w:rFonts w:ascii="????_GBK" w:eastAsia="Times New Roman"/>
              </w:rPr>
              <w:t>做好换届工作，选优配强各级领导班子；负责省市及县委管理干部及全县干部队伍管理、干部培养选拔、干部调配、挂职、交流和安置；对县委管理领导班子和领导干部的考核工作，以及全县干部考核工作的督导检查；指导领导班子的思想作风建设；负责对全县组织部门干部监督工作的综合、协调。</w:t>
            </w:r>
          </w:p>
        </w:tc>
        <w:tc>
          <w:tcPr>
            <w:tcW w:w="2976" w:type="dxa"/>
            <w:vAlign w:val="center"/>
          </w:tcPr>
          <w:p>
            <w:pPr>
              <w:spacing w:line="300" w:lineRule="exact"/>
              <w:jc w:val="left"/>
              <w:rPr>
                <w:rFonts w:ascii="????_GBK" w:eastAsia="Times New Roman"/>
              </w:rPr>
            </w:pPr>
            <w:r>
              <w:rPr>
                <w:rFonts w:ascii="????_GBK" w:eastAsia="Times New Roman"/>
              </w:rPr>
              <w:t>落实国家工资政策和涉及领导干部收入分配的相关政策，准确高效办理县委管理干部的工资及退休费审批；培养锻炼干部，提高干部整体素质；为各级领导班子储配人才；进一步增强我县干部教育培训工作的统筹性、针对性、有效性，不断提高干部素质和业务能力。</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bCs/>
              </w:rPr>
            </w:pPr>
            <w:r>
              <w:rPr>
                <w:rFonts w:ascii="????_GBK" w:eastAsia="Times New Roman"/>
                <w:b/>
                <w:bCs/>
              </w:rPr>
              <w:t>　　省市及县委管理干部管理</w:t>
            </w:r>
          </w:p>
        </w:tc>
        <w:tc>
          <w:tcPr>
            <w:tcW w:w="1276" w:type="dxa"/>
            <w:vMerge w:val="restart"/>
            <w:vAlign w:val="center"/>
          </w:tcPr>
          <w:p>
            <w:pPr>
              <w:spacing w:line="300" w:lineRule="exact"/>
              <w:jc w:val="left"/>
              <w:rPr>
                <w:rFonts w:ascii="????_GBK" w:eastAsia="Times New Roman" w:cs="????_GBK"/>
              </w:rPr>
            </w:pPr>
            <w:r>
              <w:rPr>
                <w:rFonts w:ascii="????_GBK" w:eastAsia="Times New Roman" w:cs="????_GBK"/>
              </w:rPr>
              <w:t>23.00</w:t>
            </w:r>
          </w:p>
        </w:tc>
        <w:tc>
          <w:tcPr>
            <w:tcW w:w="2976" w:type="dxa"/>
            <w:vMerge w:val="restart"/>
            <w:vAlign w:val="center"/>
          </w:tcPr>
          <w:p>
            <w:pPr>
              <w:spacing w:line="300" w:lineRule="exact"/>
              <w:jc w:val="left"/>
              <w:rPr>
                <w:rFonts w:ascii="????_GBK" w:eastAsia="Times New Roman"/>
              </w:rPr>
            </w:pPr>
            <w:r>
              <w:rPr>
                <w:rFonts w:ascii="????_GBK" w:eastAsia="Times New Roman"/>
              </w:rPr>
              <w:t>配合省市组织部做好干部任职考察；做好乡镇领导班子换届工作；负责县委管理干部的考察和办理任免、工资、待遇、退（离）休审批手续；参与研究全县干部工资政策和县管干部离退休待遇政策；落实省市管理干部工资、审批县管干部工资及退休费。</w:t>
            </w:r>
          </w:p>
        </w:tc>
        <w:tc>
          <w:tcPr>
            <w:tcW w:w="2976" w:type="dxa"/>
            <w:vMerge w:val="restart"/>
            <w:vAlign w:val="center"/>
          </w:tcPr>
          <w:p>
            <w:pPr>
              <w:spacing w:line="300" w:lineRule="exact"/>
              <w:jc w:val="left"/>
              <w:rPr>
                <w:rFonts w:ascii="????_GBK" w:eastAsia="Times New Roman"/>
              </w:rPr>
            </w:pPr>
            <w:r>
              <w:rPr>
                <w:rFonts w:ascii="????_GBK" w:eastAsia="Times New Roman"/>
              </w:rPr>
              <w:t>落实好省市、县管干部相关待遇政策；研究制定换届政策和文件，组织全县换届工作会议，认真组织换届考察工作，提出乡镇班子换届人事安排方案，指导乡镇进行换届选举。</w:t>
            </w:r>
          </w:p>
        </w:tc>
        <w:tc>
          <w:tcPr>
            <w:tcW w:w="1417" w:type="dxa"/>
            <w:vAlign w:val="center"/>
          </w:tcPr>
          <w:p>
            <w:pPr>
              <w:spacing w:line="300" w:lineRule="exact"/>
              <w:jc w:val="left"/>
              <w:rPr>
                <w:rFonts w:ascii="????_GBK" w:eastAsia="Times New Roman"/>
              </w:rPr>
            </w:pPr>
            <w:r>
              <w:rPr>
                <w:rFonts w:ascii="????_GBK" w:eastAsia="Times New Roman"/>
              </w:rPr>
              <w:t>省市、县管干部规范管理率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cs="????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乡镇领导班子组织换届率</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98%</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省市、县管干部个人待遇政策落实率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cs="????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bCs/>
              </w:rPr>
            </w:pPr>
            <w:r>
              <w:rPr>
                <w:rFonts w:ascii="????_GBK" w:eastAsia="Times New Roman"/>
                <w:b/>
                <w:bCs/>
              </w:rPr>
              <w:t>　　干部队伍管理</w:t>
            </w:r>
          </w:p>
        </w:tc>
        <w:tc>
          <w:tcPr>
            <w:tcW w:w="1276" w:type="dxa"/>
            <w:vAlign w:val="center"/>
          </w:tcPr>
          <w:p>
            <w:pPr>
              <w:spacing w:line="300" w:lineRule="exact"/>
              <w:jc w:val="left"/>
              <w:rPr>
                <w:rFonts w:ascii="????_GBK" w:eastAsia="Times New Roman"/>
              </w:rPr>
            </w:pPr>
          </w:p>
        </w:tc>
        <w:tc>
          <w:tcPr>
            <w:tcW w:w="2976" w:type="dxa"/>
            <w:vAlign w:val="center"/>
          </w:tcPr>
          <w:p>
            <w:pPr>
              <w:spacing w:line="300" w:lineRule="exact"/>
              <w:jc w:val="left"/>
              <w:rPr>
                <w:rFonts w:ascii="????_GBK" w:eastAsia="Times New Roman"/>
              </w:rPr>
            </w:pPr>
            <w:r>
              <w:rPr>
                <w:rFonts w:ascii="????_GBK" w:eastAsia="Times New Roman"/>
              </w:rPr>
              <w:t>负责组织对全县干部考核工作的指导和督导检查</w:t>
            </w:r>
            <w:r>
              <w:rPr>
                <w:rFonts w:ascii="????_GBK" w:eastAsia="Times New Roman" w:cs="????_GBK"/>
              </w:rPr>
              <w:t>,</w:t>
            </w:r>
            <w:r>
              <w:rPr>
                <w:rFonts w:ascii="????_GBK" w:eastAsia="Times New Roman"/>
              </w:rPr>
              <w:t>组织实施县委管理领导班子和领导干部的年度综合考核评价工作；负责对全县组织部门干部监督工作的综合、协调和宏观指导；承办部分干部的调配、交流及安置事宜；承办选调优秀应届大学毕业生到基层工作。</w:t>
            </w:r>
          </w:p>
        </w:tc>
        <w:tc>
          <w:tcPr>
            <w:tcW w:w="2976" w:type="dxa"/>
            <w:vAlign w:val="center"/>
          </w:tcPr>
          <w:p>
            <w:pPr>
              <w:spacing w:line="300" w:lineRule="exact"/>
              <w:jc w:val="left"/>
              <w:rPr>
                <w:rFonts w:ascii="????_GBK" w:eastAsia="Times New Roman"/>
              </w:rPr>
            </w:pPr>
            <w:r>
              <w:rPr>
                <w:rFonts w:ascii="????_GBK" w:eastAsia="Times New Roman"/>
              </w:rPr>
              <w:t>完成县管领导班子和领导干部年度综合考核评价工作，加强干部调研。</w:t>
            </w:r>
          </w:p>
        </w:tc>
        <w:tc>
          <w:tcPr>
            <w:tcW w:w="1417" w:type="dxa"/>
            <w:vAlign w:val="center"/>
          </w:tcPr>
          <w:p>
            <w:pPr>
              <w:spacing w:line="300" w:lineRule="exact"/>
              <w:jc w:val="left"/>
              <w:rPr>
                <w:rFonts w:ascii="????_GBK" w:eastAsia="Times New Roman"/>
              </w:rPr>
            </w:pPr>
            <w:r>
              <w:rPr>
                <w:rFonts w:ascii="????_GBK" w:eastAsia="Times New Roman"/>
              </w:rPr>
              <w:t>县管领导班子和领导干部年度综合考核评价工作完成率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cs="????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bCs/>
              </w:rPr>
            </w:pPr>
            <w:r>
              <w:rPr>
                <w:rFonts w:ascii="????_GBK" w:eastAsia="Times New Roman"/>
                <w:b/>
                <w:bCs/>
              </w:rPr>
              <w:t>　　干部培养选拔</w:t>
            </w:r>
          </w:p>
        </w:tc>
        <w:tc>
          <w:tcPr>
            <w:tcW w:w="1276" w:type="dxa"/>
            <w:vMerge w:val="restart"/>
            <w:vAlign w:val="center"/>
          </w:tcPr>
          <w:p>
            <w:pPr>
              <w:spacing w:line="300" w:lineRule="exact"/>
              <w:jc w:val="left"/>
              <w:rPr>
                <w:rFonts w:ascii="????_GBK" w:eastAsia="Times New Roman"/>
              </w:rPr>
            </w:pPr>
          </w:p>
        </w:tc>
        <w:tc>
          <w:tcPr>
            <w:tcW w:w="2976" w:type="dxa"/>
            <w:vMerge w:val="restart"/>
            <w:vAlign w:val="center"/>
          </w:tcPr>
          <w:p>
            <w:pPr>
              <w:spacing w:line="300" w:lineRule="exact"/>
              <w:jc w:val="left"/>
              <w:rPr>
                <w:rFonts w:ascii="????_GBK" w:eastAsia="Times New Roman"/>
              </w:rPr>
            </w:pPr>
            <w:r>
              <w:rPr>
                <w:rFonts w:ascii="????_GBK" w:eastAsia="Times New Roman"/>
              </w:rPr>
              <w:t>组织落实培养选拔后备干部、妇女干部、少数民族干部、党外干部和年轻干部工作。</w:t>
            </w:r>
          </w:p>
        </w:tc>
        <w:tc>
          <w:tcPr>
            <w:tcW w:w="2976" w:type="dxa"/>
            <w:vMerge w:val="restart"/>
            <w:vAlign w:val="center"/>
          </w:tcPr>
          <w:p>
            <w:pPr>
              <w:spacing w:line="300" w:lineRule="exact"/>
              <w:jc w:val="left"/>
              <w:rPr>
                <w:rFonts w:ascii="????_GBK" w:eastAsia="Times New Roman"/>
              </w:rPr>
            </w:pPr>
            <w:r>
              <w:rPr>
                <w:rFonts w:ascii="????_GBK" w:eastAsia="Times New Roman"/>
              </w:rPr>
              <w:t>完成县管领导班子和领导干部年度综合考核评价工作，加强干部调研。</w:t>
            </w:r>
          </w:p>
        </w:tc>
        <w:tc>
          <w:tcPr>
            <w:tcW w:w="1417" w:type="dxa"/>
            <w:vAlign w:val="center"/>
          </w:tcPr>
          <w:p>
            <w:pPr>
              <w:spacing w:line="300" w:lineRule="exact"/>
              <w:jc w:val="left"/>
              <w:rPr>
                <w:rFonts w:ascii="????_GBK" w:eastAsia="Times New Roman"/>
              </w:rPr>
            </w:pPr>
            <w:r>
              <w:rPr>
                <w:rFonts w:ascii="????_GBK" w:eastAsia="Times New Roman"/>
              </w:rPr>
              <w:t>干部选拔工作完成率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对《干部任用条例》及有关党内法规贯彻执行情况进行监督检查工作的完成率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cs="????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bCs/>
              </w:rPr>
            </w:pPr>
            <w:r>
              <w:rPr>
                <w:rFonts w:ascii="????_GBK" w:eastAsia="Times New Roman"/>
                <w:b/>
                <w:bCs/>
              </w:rPr>
              <w:t>　　干部教育培训</w:t>
            </w:r>
          </w:p>
        </w:tc>
        <w:tc>
          <w:tcPr>
            <w:tcW w:w="1276" w:type="dxa"/>
            <w:vAlign w:val="center"/>
          </w:tcPr>
          <w:p>
            <w:pPr>
              <w:spacing w:line="300" w:lineRule="exact"/>
              <w:jc w:val="left"/>
              <w:rPr>
                <w:rFonts w:ascii="????_GBK" w:eastAsia="Times New Roman" w:cs="????_GBK"/>
              </w:rPr>
            </w:pPr>
            <w:r>
              <w:rPr>
                <w:rFonts w:ascii="????_GBK" w:eastAsia="Times New Roman" w:cs="????_GBK"/>
              </w:rPr>
              <w:t>10.00</w:t>
            </w:r>
          </w:p>
        </w:tc>
        <w:tc>
          <w:tcPr>
            <w:tcW w:w="2976" w:type="dxa"/>
            <w:vAlign w:val="center"/>
          </w:tcPr>
          <w:p>
            <w:pPr>
              <w:spacing w:line="300" w:lineRule="exact"/>
              <w:jc w:val="left"/>
              <w:rPr>
                <w:rFonts w:ascii="????_GBK" w:eastAsia="Times New Roman"/>
              </w:rPr>
            </w:pPr>
            <w:r>
              <w:rPr>
                <w:rFonts w:ascii="????_GBK" w:eastAsia="Times New Roman"/>
              </w:rPr>
              <w:t>主管全县的干部教育培训工作。承担县委干部教育工作领导小组办公室的职责任务；研究和探索适合我县情况的干部培训制度。</w:t>
            </w:r>
          </w:p>
        </w:tc>
        <w:tc>
          <w:tcPr>
            <w:tcW w:w="2976" w:type="dxa"/>
            <w:vAlign w:val="center"/>
          </w:tcPr>
          <w:p>
            <w:pPr>
              <w:spacing w:line="300" w:lineRule="exact"/>
              <w:jc w:val="left"/>
              <w:rPr>
                <w:rFonts w:ascii="????_GBK" w:eastAsia="Times New Roman"/>
              </w:rPr>
            </w:pPr>
            <w:r>
              <w:rPr>
                <w:rFonts w:ascii="????_GBK" w:eastAsia="Times New Roman"/>
              </w:rPr>
              <w:t>建立规范的干部教育培训体系。</w:t>
            </w:r>
          </w:p>
        </w:tc>
        <w:tc>
          <w:tcPr>
            <w:tcW w:w="1417" w:type="dxa"/>
            <w:vAlign w:val="center"/>
          </w:tcPr>
          <w:p>
            <w:pPr>
              <w:spacing w:line="300" w:lineRule="exact"/>
              <w:jc w:val="left"/>
              <w:rPr>
                <w:rFonts w:ascii="????_GBK" w:eastAsia="Times New Roman"/>
              </w:rPr>
            </w:pPr>
            <w:r>
              <w:rPr>
                <w:rFonts w:ascii="????_GBK" w:eastAsia="Times New Roman"/>
              </w:rPr>
              <w:t>干部教育培训计划完成情况</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3</w:t>
            </w:r>
          </w:p>
        </w:tc>
        <w:tc>
          <w:tcPr>
            <w:tcW w:w="737" w:type="dxa"/>
            <w:vAlign w:val="center"/>
          </w:tcPr>
          <w:p>
            <w:pPr>
              <w:spacing w:line="300" w:lineRule="exact"/>
              <w:jc w:val="center"/>
              <w:rPr>
                <w:rFonts w:ascii="????_GBK" w:eastAsia="Times New Roman" w:cs="????_GBK"/>
              </w:rPr>
            </w:pPr>
            <w:r>
              <w:rPr>
                <w:rFonts w:ascii="????_GBK" w:eastAsia="Times New Roman" w:cs="????_GBK"/>
              </w:rPr>
              <w:t>2</w:t>
            </w:r>
          </w:p>
        </w:tc>
        <w:tc>
          <w:tcPr>
            <w:tcW w:w="737" w:type="dxa"/>
            <w:vAlign w:val="center"/>
          </w:tcPr>
          <w:p>
            <w:pPr>
              <w:spacing w:line="300" w:lineRule="exact"/>
              <w:jc w:val="center"/>
              <w:rPr>
                <w:rFonts w:ascii="????_GBK" w:eastAsia="Times New Roman" w:cs="????_GBK"/>
              </w:rPr>
            </w:pPr>
            <w:r>
              <w:rPr>
                <w:rFonts w:ascii="????_GBK" w:eastAsia="Times New Roman" w:cs="????_GBK"/>
              </w:rPr>
              <w:t>1</w:t>
            </w:r>
          </w:p>
        </w:tc>
        <w:tc>
          <w:tcPr>
            <w:tcW w:w="737" w:type="dxa"/>
            <w:vAlign w:val="center"/>
          </w:tcPr>
          <w:p>
            <w:pPr>
              <w:spacing w:line="300" w:lineRule="exact"/>
              <w:jc w:val="center"/>
              <w:rPr>
                <w:rFonts w:ascii="????_GBK" w:eastAsia="Times New Roman" w:cs="????_GBK"/>
              </w:rPr>
            </w:pPr>
            <w:r>
              <w:rPr>
                <w:rFonts w:ascii="????_GBK" w:eastAsia="Times New Roman" w:cs="????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bCs/>
              </w:rPr>
            </w:pPr>
            <w:r>
              <w:rPr>
                <w:rFonts w:ascii="????_GBK" w:cs="????_GBK"/>
                <w:b/>
                <w:bCs/>
              </w:rPr>
              <w:t xml:space="preserve">    </w:t>
            </w:r>
            <w:r>
              <w:rPr>
                <w:rFonts w:ascii="????_GBK" w:eastAsia="Times New Roman"/>
                <w:b/>
                <w:bCs/>
              </w:rPr>
              <w:t>全县人才工作及队伍建设</w:t>
            </w:r>
          </w:p>
        </w:tc>
        <w:tc>
          <w:tcPr>
            <w:tcW w:w="1276" w:type="dxa"/>
            <w:vAlign w:val="center"/>
          </w:tcPr>
          <w:p>
            <w:pPr>
              <w:spacing w:line="300" w:lineRule="exact"/>
              <w:jc w:val="left"/>
              <w:rPr>
                <w:rFonts w:ascii="????_GBK" w:eastAsia="Times New Roman" w:cs="????_GBK"/>
              </w:rPr>
            </w:pPr>
            <w:r>
              <w:rPr>
                <w:rFonts w:ascii="????_GBK" w:eastAsia="Times New Roman" w:cs="????_GBK"/>
              </w:rPr>
              <w:t>14.60</w:t>
            </w:r>
          </w:p>
        </w:tc>
        <w:tc>
          <w:tcPr>
            <w:tcW w:w="2976" w:type="dxa"/>
            <w:vAlign w:val="center"/>
          </w:tcPr>
          <w:p>
            <w:pPr>
              <w:spacing w:line="300" w:lineRule="exact"/>
              <w:jc w:val="left"/>
              <w:rPr>
                <w:rFonts w:ascii="????_GBK" w:eastAsia="Times New Roman"/>
              </w:rPr>
            </w:pPr>
            <w:r>
              <w:rPr>
                <w:rFonts w:ascii="????_GBK" w:eastAsia="Times New Roman"/>
              </w:rPr>
              <w:t>负责全县人才工作牵头抓总职能的落实，对全县人才工作和人才队伍建设进行指导、协调和督促检查；负责全县有关专项人才支持计划组织实施工作；负责收集、掌握、反映全县人才工作动态。</w:t>
            </w:r>
          </w:p>
        </w:tc>
        <w:tc>
          <w:tcPr>
            <w:tcW w:w="2976" w:type="dxa"/>
            <w:vAlign w:val="center"/>
          </w:tcPr>
          <w:p>
            <w:pPr>
              <w:spacing w:line="300" w:lineRule="exact"/>
              <w:jc w:val="left"/>
              <w:rPr>
                <w:rFonts w:ascii="????_GBK" w:eastAsia="Times New Roman"/>
              </w:rPr>
            </w:pPr>
            <w:r>
              <w:rPr>
                <w:rFonts w:ascii="????_GBK" w:eastAsia="Times New Roman"/>
              </w:rPr>
              <w:t>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bCs/>
              </w:rPr>
            </w:pPr>
            <w:r>
              <w:rPr>
                <w:rFonts w:ascii="????_GBK" w:eastAsia="Times New Roman"/>
                <w:b/>
                <w:bCs/>
              </w:rPr>
              <w:t>　　全县人才工作及队伍建设</w:t>
            </w:r>
          </w:p>
        </w:tc>
        <w:tc>
          <w:tcPr>
            <w:tcW w:w="1276" w:type="dxa"/>
            <w:vMerge w:val="restart"/>
            <w:vAlign w:val="center"/>
          </w:tcPr>
          <w:p>
            <w:pPr>
              <w:spacing w:line="300" w:lineRule="exact"/>
              <w:jc w:val="left"/>
              <w:rPr>
                <w:rFonts w:ascii="????_GBK" w:eastAsia="Times New Roman" w:cs="????_GBK"/>
              </w:rPr>
            </w:pPr>
            <w:r>
              <w:rPr>
                <w:rFonts w:ascii="????_GBK" w:eastAsia="Times New Roman" w:cs="????_GBK"/>
              </w:rPr>
              <w:t>14.60</w:t>
            </w:r>
          </w:p>
        </w:tc>
        <w:tc>
          <w:tcPr>
            <w:tcW w:w="2976" w:type="dxa"/>
            <w:vMerge w:val="restart"/>
            <w:vAlign w:val="center"/>
          </w:tcPr>
          <w:p>
            <w:pPr>
              <w:spacing w:line="300" w:lineRule="exact"/>
              <w:jc w:val="left"/>
              <w:rPr>
                <w:rFonts w:ascii="????_GBK" w:eastAsia="Times New Roman"/>
              </w:rPr>
            </w:pPr>
            <w:r>
              <w:rPr>
                <w:rFonts w:ascii="????_GBK" w:eastAsia="Times New Roman"/>
              </w:rPr>
              <w:t>负责全县人才工作牵头抓总职能的落实，对全县人才工作和人才队伍建设进行指导、协调和督促检查；负责全县有关专项人才支持计划组织实施工作；负责收集、掌握、反映全县人才工作动态。</w:t>
            </w:r>
          </w:p>
        </w:tc>
        <w:tc>
          <w:tcPr>
            <w:tcW w:w="2976" w:type="dxa"/>
            <w:vMerge w:val="restart"/>
            <w:vAlign w:val="center"/>
          </w:tcPr>
          <w:p>
            <w:pPr>
              <w:spacing w:line="300" w:lineRule="exact"/>
              <w:jc w:val="left"/>
              <w:rPr>
                <w:rFonts w:ascii="????_GBK" w:eastAsia="Times New Roman"/>
              </w:rPr>
            </w:pPr>
            <w:r>
              <w:rPr>
                <w:rFonts w:ascii="????_GBK" w:eastAsia="Times New Roman"/>
              </w:rPr>
              <w:t>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tc>
        <w:tc>
          <w:tcPr>
            <w:tcW w:w="1417" w:type="dxa"/>
            <w:vAlign w:val="center"/>
          </w:tcPr>
          <w:p>
            <w:pPr>
              <w:spacing w:line="300" w:lineRule="exact"/>
              <w:jc w:val="left"/>
              <w:rPr>
                <w:rFonts w:ascii="????_GBK" w:eastAsia="Times New Roman"/>
              </w:rPr>
            </w:pPr>
            <w:r>
              <w:rPr>
                <w:rFonts w:ascii="????_GBK" w:eastAsia="Times New Roman"/>
              </w:rPr>
              <w:t>重点人才工程年度目标任务完成率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县委人才工作要点工作完成率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pPr>
              <w:spacing w:line="300" w:lineRule="exact"/>
              <w:jc w:val="center"/>
              <w:rPr>
                <w:rFonts w:ascii="????_GBK" w:eastAsia="Times New Roman" w:cs="????_GBK"/>
              </w:rPr>
            </w:pPr>
            <w:r>
              <w:rPr>
                <w:rFonts w:ascii="????_GBK" w:eastAsia="Times New Roman" w:cs="????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center"/>
              <w:rPr>
                <w:rFonts w:ascii="????_GBK" w:eastAsia="Times New Roman"/>
                <w:b/>
                <w:bCs/>
              </w:rPr>
            </w:pPr>
            <w:r>
              <w:rPr>
                <w:rFonts w:ascii="????_GBK" w:eastAsia="Times New Roman"/>
                <w:b/>
                <w:bCs/>
              </w:rPr>
              <w:t>组织事务管理</w:t>
            </w:r>
          </w:p>
        </w:tc>
        <w:tc>
          <w:tcPr>
            <w:tcW w:w="1276" w:type="dxa"/>
            <w:vAlign w:val="center"/>
          </w:tcPr>
          <w:p>
            <w:pPr>
              <w:spacing w:line="300" w:lineRule="exact"/>
              <w:jc w:val="left"/>
              <w:rPr>
                <w:rFonts w:ascii="????_GBK" w:eastAsia="Times New Roman" w:cs="????_GBK"/>
              </w:rPr>
            </w:pPr>
            <w:r>
              <w:rPr>
                <w:rFonts w:ascii="????_GBK" w:eastAsia="Times New Roman" w:cs="????_GBK"/>
              </w:rPr>
              <w:t>49.85</w:t>
            </w:r>
          </w:p>
        </w:tc>
        <w:tc>
          <w:tcPr>
            <w:tcW w:w="2976" w:type="dxa"/>
            <w:vAlign w:val="center"/>
          </w:tcPr>
          <w:p>
            <w:pPr>
              <w:spacing w:line="300" w:lineRule="exact"/>
              <w:jc w:val="left"/>
              <w:rPr>
                <w:rFonts w:ascii="????_GBK" w:eastAsia="Times New Roman"/>
              </w:rPr>
            </w:pPr>
            <w:r>
              <w:rPr>
                <w:rFonts w:ascii="????_GBK" w:eastAsia="Times New Roman"/>
              </w:rPr>
              <w:t>负责做好部机关机要、文秘、信访、会议、固定资产等工作的计划安排和管理；负责机关自身建设；负责老干部综合服务和保障工作；负责组织史征编工作；组织系统信息化建设。</w:t>
            </w:r>
          </w:p>
        </w:tc>
        <w:tc>
          <w:tcPr>
            <w:tcW w:w="2976" w:type="dxa"/>
            <w:vAlign w:val="center"/>
          </w:tcPr>
          <w:p>
            <w:pPr>
              <w:spacing w:line="300" w:lineRule="exact"/>
              <w:jc w:val="left"/>
              <w:rPr>
                <w:rFonts w:ascii="????_GBK" w:eastAsia="Times New Roman"/>
              </w:rPr>
            </w:pPr>
            <w:r>
              <w:rPr>
                <w:rFonts w:ascii="????_GBK" w:eastAsia="Times New Roman"/>
              </w:rPr>
              <w:t>做好部机关机要、文秘、信访、会议、固定资产等工作的计划安排和管理；干部、人事政策科学合理；做好老干部综合服务和保障工作；完成组织史征编工作；信息系统运行无障碍。</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bCs/>
              </w:rPr>
            </w:pPr>
            <w:r>
              <w:rPr>
                <w:rFonts w:ascii="????_GBK" w:eastAsia="Times New Roman"/>
                <w:b/>
                <w:bCs/>
              </w:rPr>
              <w:t>　　综合事务管理</w:t>
            </w:r>
          </w:p>
        </w:tc>
        <w:tc>
          <w:tcPr>
            <w:tcW w:w="1276" w:type="dxa"/>
            <w:vMerge w:val="restart"/>
            <w:vAlign w:val="center"/>
          </w:tcPr>
          <w:p>
            <w:pPr>
              <w:spacing w:line="300" w:lineRule="exact"/>
              <w:jc w:val="left"/>
              <w:rPr>
                <w:rFonts w:ascii="????_GBK" w:eastAsia="Times New Roman" w:cs="????_GBK"/>
              </w:rPr>
            </w:pPr>
            <w:r>
              <w:rPr>
                <w:rFonts w:ascii="????_GBK" w:eastAsia="Times New Roman" w:cs="????_GBK"/>
              </w:rPr>
              <w:t>49.85</w:t>
            </w:r>
          </w:p>
        </w:tc>
        <w:tc>
          <w:tcPr>
            <w:tcW w:w="2976" w:type="dxa"/>
            <w:vMerge w:val="restart"/>
            <w:vAlign w:val="center"/>
          </w:tcPr>
          <w:p>
            <w:pPr>
              <w:spacing w:line="300" w:lineRule="exact"/>
              <w:jc w:val="left"/>
              <w:rPr>
                <w:rFonts w:ascii="????_GBK" w:eastAsia="Times New Roman"/>
              </w:rPr>
            </w:pPr>
            <w:r>
              <w:rPr>
                <w:rFonts w:ascii="????_GBK" w:eastAsia="Times New Roman"/>
              </w:rPr>
              <w:t>组织史资料征编；组织、干部工作综合研究，相关政策法规起草、制定、审核；信息、信访工作。</w:t>
            </w:r>
          </w:p>
        </w:tc>
        <w:tc>
          <w:tcPr>
            <w:tcW w:w="2976" w:type="dxa"/>
            <w:vMerge w:val="restart"/>
            <w:vAlign w:val="center"/>
          </w:tcPr>
          <w:p>
            <w:pPr>
              <w:spacing w:line="300" w:lineRule="exact"/>
              <w:jc w:val="left"/>
              <w:rPr>
                <w:rFonts w:ascii="????_GBK" w:eastAsia="Times New Roman"/>
              </w:rPr>
            </w:pPr>
            <w:r>
              <w:rPr>
                <w:rFonts w:ascii="????_GBK" w:eastAsia="Times New Roman"/>
              </w:rPr>
              <w:t>组织史资料征编；组织、干部工作综合研究，相关政策法规起草、制定、审核；信息、信访工作。</w:t>
            </w:r>
          </w:p>
        </w:tc>
        <w:tc>
          <w:tcPr>
            <w:tcW w:w="1417" w:type="dxa"/>
            <w:vAlign w:val="center"/>
          </w:tcPr>
          <w:p>
            <w:pPr>
              <w:spacing w:line="300" w:lineRule="exact"/>
              <w:jc w:val="left"/>
              <w:rPr>
                <w:rFonts w:ascii="????_GBK" w:eastAsia="Times New Roman"/>
              </w:rPr>
            </w:pPr>
            <w:r>
              <w:rPr>
                <w:rFonts w:ascii="????_GBK" w:eastAsia="Times New Roman"/>
              </w:rPr>
              <w:t>大组工网出现故障次数</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 xml:space="preserve"> 1</w:t>
            </w:r>
          </w:p>
        </w:tc>
        <w:tc>
          <w:tcPr>
            <w:tcW w:w="737" w:type="dxa"/>
            <w:vAlign w:val="center"/>
          </w:tcPr>
          <w:p>
            <w:pPr>
              <w:spacing w:line="300" w:lineRule="exact"/>
              <w:jc w:val="center"/>
              <w:rPr>
                <w:rFonts w:ascii="????_GBK" w:eastAsia="Times New Roman" w:cs="????_GBK"/>
              </w:rPr>
            </w:pPr>
            <w:r>
              <w:rPr>
                <w:rFonts w:ascii="????_GBK" w:eastAsia="Times New Roman" w:cs="????_GBK"/>
              </w:rPr>
              <w:t>2</w:t>
            </w:r>
          </w:p>
        </w:tc>
        <w:tc>
          <w:tcPr>
            <w:tcW w:w="737" w:type="dxa"/>
            <w:vAlign w:val="center"/>
          </w:tcPr>
          <w:p>
            <w:pPr>
              <w:spacing w:line="300" w:lineRule="exact"/>
              <w:jc w:val="center"/>
              <w:rPr>
                <w:rFonts w:ascii="????_GBK" w:eastAsia="Times New Roman" w:cs="????_GBK"/>
              </w:rPr>
            </w:pPr>
            <w:r>
              <w:rPr>
                <w:rFonts w:ascii="????_GBK" w:eastAsia="Times New Roman" w:cs="????_GBK"/>
              </w:rPr>
              <w:t>3</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bCs/>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各项综合事务工作完成率</w:t>
            </w:r>
          </w:p>
        </w:tc>
        <w:tc>
          <w:tcPr>
            <w:tcW w:w="737" w:type="dxa"/>
            <w:vAlign w:val="center"/>
          </w:tcPr>
          <w:p>
            <w:pPr>
              <w:spacing w:line="300" w:lineRule="exact"/>
              <w:jc w:val="center"/>
              <w:rPr>
                <w:rFonts w:ascii="????_GBK" w:eastAsia="Times New Roman" w:cs="????_GBK"/>
              </w:rPr>
            </w:pPr>
            <w:r>
              <w:rPr>
                <w:rFonts w:ascii="????_GBK" w:eastAsia="Times New Roman" w:cs="????_GBK"/>
              </w:rPr>
              <w:t>100%</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pPr>
              <w:spacing w:line="300" w:lineRule="exact"/>
              <w:jc w:val="center"/>
              <w:rPr>
                <w:rFonts w:ascii="????_GBK" w:eastAsia="Times New Roman" w:cs="????_GBK"/>
              </w:rPr>
            </w:pPr>
            <w:r>
              <w:rPr>
                <w:rFonts w:ascii="????_GBK" w:eastAsia="Times New Roman" w:cs="????_GBK"/>
              </w:rPr>
              <w:t>&lt;90%</w:t>
            </w:r>
          </w:p>
        </w:tc>
      </w:tr>
    </w:tbl>
    <w:p>
      <w:pPr>
        <w:rPr>
          <w:rFonts w:ascii="楷体" w:hAnsi="楷体" w:eastAsia="楷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六、政府采购预算情况</w:t>
      </w:r>
    </w:p>
    <w:p>
      <w:pPr>
        <w:ind w:firstLine="645" w:firstLineChars="215"/>
        <w:rPr>
          <w:rFonts w:ascii="仿宋_GB2312" w:eastAsia="仿宋_GB2312"/>
          <w:sz w:val="30"/>
          <w:szCs w:val="30"/>
        </w:rPr>
      </w:pPr>
      <w:r>
        <w:rPr>
          <w:rFonts w:ascii="仿宋_GB2312" w:eastAsia="仿宋_GB2312" w:cs="仿宋_GB2312"/>
          <w:sz w:val="30"/>
          <w:szCs w:val="30"/>
        </w:rPr>
        <w:t>2017</w:t>
      </w:r>
      <w:r>
        <w:rPr>
          <w:rFonts w:hint="eastAsia" w:ascii="仿宋_GB2312" w:eastAsia="仿宋_GB2312" w:cs="仿宋_GB2312"/>
          <w:sz w:val="30"/>
          <w:szCs w:val="30"/>
        </w:rPr>
        <w:t>年我部门安排政府采购预算</w:t>
      </w:r>
      <w:r>
        <w:rPr>
          <w:rFonts w:ascii="仿宋_GB2312" w:eastAsia="仿宋_GB2312" w:cs="仿宋_GB2312"/>
          <w:sz w:val="30"/>
          <w:szCs w:val="30"/>
        </w:rPr>
        <w:t>0</w:t>
      </w:r>
      <w:r>
        <w:rPr>
          <w:rFonts w:hint="eastAsia" w:ascii="仿宋_GB2312" w:eastAsia="仿宋_GB2312" w:cs="仿宋_GB2312"/>
          <w:sz w:val="30"/>
          <w:szCs w:val="30"/>
        </w:rPr>
        <w:t>万元。</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七、国有资产信息</w:t>
      </w:r>
    </w:p>
    <w:p>
      <w:pPr>
        <w:ind w:firstLine="688" w:firstLineChars="215"/>
        <w:rPr>
          <w:rFonts w:ascii="仿宋_GB2312" w:hAnsi="仿宋_GB2312" w:eastAsia="仿宋_GB2312"/>
          <w:sz w:val="32"/>
          <w:szCs w:val="32"/>
        </w:rPr>
      </w:pPr>
      <w:r>
        <w:rPr>
          <w:rFonts w:hint="eastAsia" w:ascii="仿宋_GB2312" w:hAnsi="仿宋_GB2312" w:eastAsia="仿宋_GB2312" w:cs="仿宋_GB2312"/>
          <w:sz w:val="32"/>
          <w:szCs w:val="32"/>
        </w:rPr>
        <w:t>无极县委组织部上年末固定资产金额为</w:t>
      </w:r>
      <w:r>
        <w:rPr>
          <w:rFonts w:ascii="仿宋_GB2312" w:hAnsi="仿宋_GB2312" w:eastAsia="仿宋_GB2312" w:cs="仿宋_GB2312"/>
          <w:sz w:val="32"/>
          <w:szCs w:val="32"/>
        </w:rPr>
        <w:t>26</w:t>
      </w:r>
      <w:r>
        <w:rPr>
          <w:rFonts w:hint="eastAsia" w:ascii="仿宋_GB2312" w:hAnsi="仿宋_GB2312" w:eastAsia="仿宋_GB2312" w:cs="仿宋_GB2312"/>
          <w:sz w:val="32"/>
          <w:szCs w:val="32"/>
        </w:rPr>
        <w:t>万元（详见下表）。本年度拟购置固定资产金额为</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w:t>
      </w:r>
    </w:p>
    <w:p>
      <w:pPr>
        <w:autoSpaceDE w:val="0"/>
        <w:autoSpaceDN w:val="0"/>
        <w:adjustRightInd w:val="0"/>
        <w:ind w:left="420" w:leftChars="200"/>
        <w:jc w:val="center"/>
        <w:rPr>
          <w:rFonts w:ascii="仿宋" w:hAnsi="仿宋" w:eastAsia="仿宋" w:cs="仿宋"/>
          <w:sz w:val="32"/>
          <w:szCs w:val="32"/>
        </w:rPr>
      </w:pPr>
    </w:p>
    <w:p>
      <w:pPr>
        <w:autoSpaceDE w:val="0"/>
        <w:autoSpaceDN w:val="0"/>
        <w:adjustRightInd w:val="0"/>
        <w:ind w:left="420" w:leftChars="200"/>
        <w:jc w:val="center"/>
        <w:rPr>
          <w:rFonts w:ascii="仿宋" w:hAnsi="仿宋" w:eastAsia="仿宋"/>
          <w:sz w:val="32"/>
          <w:szCs w:val="32"/>
        </w:rPr>
      </w:pPr>
      <w:r>
        <w:rPr>
          <w:rFonts w:hint="eastAsia" w:ascii="仿宋" w:hAnsi="仿宋" w:eastAsia="仿宋" w:cs="仿宋"/>
          <w:sz w:val="32"/>
          <w:szCs w:val="32"/>
        </w:rPr>
        <w:t>县委组织部固定资产占用情况表</w:t>
      </w:r>
    </w:p>
    <w:tbl>
      <w:tblPr>
        <w:tblStyle w:val="4"/>
        <w:tblW w:w="11970" w:type="dxa"/>
        <w:tblInd w:w="1052" w:type="dxa"/>
        <w:tblLayout w:type="fixed"/>
        <w:tblCellMar>
          <w:top w:w="0" w:type="dxa"/>
          <w:left w:w="108" w:type="dxa"/>
          <w:bottom w:w="0" w:type="dxa"/>
          <w:right w:w="108" w:type="dxa"/>
        </w:tblCellMar>
      </w:tblPr>
      <w:tblGrid>
        <w:gridCol w:w="4620"/>
        <w:gridCol w:w="2312"/>
        <w:gridCol w:w="5038"/>
      </w:tblGrid>
      <w:tr>
        <w:tblPrEx>
          <w:tblCellMar>
            <w:top w:w="0" w:type="dxa"/>
            <w:left w:w="108" w:type="dxa"/>
            <w:bottom w:w="0" w:type="dxa"/>
            <w:right w:w="108" w:type="dxa"/>
          </w:tblCellMar>
        </w:tblPrEx>
        <w:trPr>
          <w:trHeight w:val="608" w:hRule="atLeast"/>
        </w:trPr>
        <w:tc>
          <w:tcPr>
            <w:tcW w:w="6932" w:type="dxa"/>
            <w:gridSpan w:val="2"/>
            <w:tcBorders>
              <w:top w:val="nil"/>
              <w:left w:val="nil"/>
              <w:bottom w:val="nil"/>
              <w:right w:val="nil"/>
            </w:tcBorders>
            <w:vAlign w:val="center"/>
          </w:tcPr>
          <w:p>
            <w:pPr>
              <w:widowControl/>
              <w:jc w:val="left"/>
              <w:rPr>
                <w:rFonts w:ascii="宋体"/>
                <w:kern w:val="0"/>
                <w:sz w:val="28"/>
                <w:szCs w:val="28"/>
              </w:rPr>
            </w:pPr>
            <w:r>
              <w:rPr>
                <w:rFonts w:hint="eastAsia" w:ascii="宋体" w:hAnsi="宋体" w:cs="宋体"/>
                <w:kern w:val="0"/>
                <w:sz w:val="28"/>
                <w:szCs w:val="28"/>
              </w:rPr>
              <w:t>编制部门：</w:t>
            </w:r>
            <w:r>
              <w:rPr>
                <w:rFonts w:hint="eastAsia" w:cs="宋体"/>
                <w:sz w:val="28"/>
                <w:szCs w:val="28"/>
              </w:rPr>
              <w:t>无极县组织部</w:t>
            </w:r>
          </w:p>
        </w:tc>
        <w:tc>
          <w:tcPr>
            <w:tcW w:w="5038" w:type="dxa"/>
            <w:tcBorders>
              <w:top w:val="nil"/>
              <w:left w:val="nil"/>
              <w:bottom w:val="nil"/>
              <w:right w:val="nil"/>
            </w:tcBorders>
            <w:vAlign w:val="center"/>
          </w:tcPr>
          <w:p>
            <w:pPr>
              <w:widowControl/>
              <w:jc w:val="left"/>
              <w:rPr>
                <w:rFonts w:ascii="宋体"/>
                <w:kern w:val="0"/>
                <w:sz w:val="28"/>
                <w:szCs w:val="28"/>
              </w:rPr>
            </w:pPr>
            <w:r>
              <w:rPr>
                <w:rFonts w:hint="eastAsia" w:ascii="宋体" w:hAnsi="宋体" w:cs="宋体"/>
                <w:kern w:val="0"/>
                <w:sz w:val="28"/>
                <w:szCs w:val="28"/>
              </w:rPr>
              <w:t>截止时间：</w:t>
            </w:r>
            <w:r>
              <w:rPr>
                <w:rFonts w:ascii="宋体" w:hAnsi="宋体" w:cs="宋体"/>
                <w:kern w:val="0"/>
                <w:sz w:val="28"/>
                <w:szCs w:val="28"/>
              </w:rPr>
              <w:t>2016</w:t>
            </w:r>
            <w:r>
              <w:rPr>
                <w:rFonts w:hint="eastAsia" w:ascii="宋体" w:hAnsi="宋体" w:cs="宋体"/>
                <w:kern w:val="0"/>
                <w:sz w:val="28"/>
                <w:szCs w:val="28"/>
              </w:rPr>
              <w:t>年</w:t>
            </w:r>
            <w:r>
              <w:rPr>
                <w:rFonts w:ascii="宋体" w:hAnsi="宋体" w:cs="宋体"/>
                <w:kern w:val="0"/>
                <w:sz w:val="28"/>
                <w:szCs w:val="28"/>
              </w:rPr>
              <w:t>12</w:t>
            </w:r>
            <w:r>
              <w:rPr>
                <w:rFonts w:hint="eastAsia" w:ascii="宋体" w:hAnsi="宋体" w:cs="宋体"/>
                <w:kern w:val="0"/>
                <w:sz w:val="28"/>
                <w:szCs w:val="28"/>
              </w:rPr>
              <w:t>月</w:t>
            </w:r>
            <w:r>
              <w:rPr>
                <w:rFonts w:ascii="宋体" w:hAnsi="宋体" w:cs="宋体"/>
                <w:kern w:val="0"/>
                <w:sz w:val="28"/>
                <w:szCs w:val="28"/>
              </w:rPr>
              <w:t>31</w:t>
            </w:r>
            <w:r>
              <w:rPr>
                <w:rFonts w:hint="eastAsia" w:ascii="宋体" w:hAnsi="宋体" w:cs="宋体"/>
                <w:kern w:val="0"/>
                <w:sz w:val="28"/>
                <w:szCs w:val="28"/>
              </w:rPr>
              <w:t>日</w:t>
            </w:r>
            <w:r>
              <w:rPr>
                <w:rFonts w:ascii="宋体" w:hAnsi="宋体" w:cs="宋体"/>
                <w:kern w:val="0"/>
                <w:sz w:val="28"/>
                <w:szCs w:val="28"/>
              </w:rPr>
              <w:t xml:space="preserve">  </w:t>
            </w:r>
          </w:p>
        </w:tc>
      </w:tr>
      <w:tr>
        <w:tblPrEx>
          <w:tblCellMar>
            <w:top w:w="0" w:type="dxa"/>
            <w:left w:w="108" w:type="dxa"/>
            <w:bottom w:w="0" w:type="dxa"/>
            <w:right w:w="108" w:type="dxa"/>
          </w:tblCellMar>
        </w:tblPrEx>
        <w:trPr>
          <w:trHeight w:val="639" w:hRule="atLeast"/>
        </w:trPr>
        <w:tc>
          <w:tcPr>
            <w:tcW w:w="46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8"/>
                <w:szCs w:val="28"/>
              </w:rPr>
            </w:pPr>
            <w:r>
              <w:rPr>
                <w:rFonts w:hint="eastAsia" w:ascii="宋体" w:hAnsi="宋体" w:cs="宋体"/>
                <w:b/>
                <w:bCs/>
                <w:kern w:val="0"/>
                <w:sz w:val="28"/>
                <w:szCs w:val="28"/>
              </w:rPr>
              <w:t>项</w:t>
            </w:r>
            <w:r>
              <w:rPr>
                <w:rFonts w:ascii="宋体" w:hAnsi="宋体" w:cs="宋体"/>
                <w:b/>
                <w:bCs/>
                <w:kern w:val="0"/>
                <w:sz w:val="28"/>
                <w:szCs w:val="28"/>
              </w:rPr>
              <w:t xml:space="preserve">   </w:t>
            </w:r>
            <w:r>
              <w:rPr>
                <w:rFonts w:hint="eastAsia" w:ascii="宋体" w:hAnsi="宋体" w:cs="宋体"/>
                <w:b/>
                <w:bCs/>
                <w:kern w:val="0"/>
                <w:sz w:val="28"/>
                <w:szCs w:val="28"/>
              </w:rPr>
              <w:t>目</w:t>
            </w:r>
          </w:p>
        </w:tc>
        <w:tc>
          <w:tcPr>
            <w:tcW w:w="2312"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8"/>
                <w:szCs w:val="28"/>
              </w:rPr>
            </w:pPr>
            <w:r>
              <w:rPr>
                <w:rFonts w:hint="eastAsia" w:ascii="宋体" w:hAnsi="宋体" w:cs="宋体"/>
                <w:b/>
                <w:bCs/>
                <w:kern w:val="0"/>
                <w:sz w:val="28"/>
                <w:szCs w:val="28"/>
              </w:rPr>
              <w:t>数量</w:t>
            </w:r>
          </w:p>
        </w:tc>
        <w:tc>
          <w:tcPr>
            <w:tcW w:w="5038"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8"/>
                <w:szCs w:val="28"/>
              </w:rPr>
            </w:pPr>
            <w:r>
              <w:rPr>
                <w:rFonts w:hint="eastAsia" w:ascii="宋体" w:hAnsi="宋体" w:cs="宋体"/>
                <w:b/>
                <w:bCs/>
                <w:kern w:val="0"/>
                <w:sz w:val="28"/>
                <w:szCs w:val="28"/>
              </w:rPr>
              <w:t>价值（金额单位：万元）</w:t>
            </w:r>
          </w:p>
        </w:tc>
      </w:tr>
      <w:tr>
        <w:tblPrEx>
          <w:tblCellMar>
            <w:top w:w="0" w:type="dxa"/>
            <w:left w:w="108" w:type="dxa"/>
            <w:bottom w:w="0" w:type="dxa"/>
            <w:right w:w="108" w:type="dxa"/>
          </w:tblCellMar>
        </w:tblPrEx>
        <w:trPr>
          <w:trHeight w:val="639" w:hRule="atLeast"/>
        </w:trPr>
        <w:tc>
          <w:tcPr>
            <w:tcW w:w="4620"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8"/>
                <w:szCs w:val="28"/>
              </w:rPr>
            </w:pPr>
            <w:r>
              <w:rPr>
                <w:rFonts w:hint="eastAsia" w:ascii="宋体" w:hAnsi="宋体" w:cs="宋体"/>
                <w:kern w:val="0"/>
                <w:sz w:val="28"/>
                <w:szCs w:val="28"/>
              </w:rPr>
              <w:t>资产总额</w:t>
            </w:r>
          </w:p>
        </w:tc>
        <w:tc>
          <w:tcPr>
            <w:tcW w:w="2312" w:type="dxa"/>
            <w:tcBorders>
              <w:top w:val="nil"/>
              <w:left w:val="nil"/>
              <w:bottom w:val="single" w:color="auto" w:sz="4" w:space="0"/>
              <w:right w:val="single" w:color="auto" w:sz="4" w:space="0"/>
            </w:tcBorders>
            <w:vAlign w:val="center"/>
          </w:tcPr>
          <w:p>
            <w:pPr>
              <w:widowControl/>
              <w:jc w:val="center"/>
              <w:rPr>
                <w:rFonts w:ascii="宋体"/>
                <w:kern w:val="0"/>
                <w:sz w:val="28"/>
                <w:szCs w:val="28"/>
              </w:rPr>
            </w:pPr>
            <w:r>
              <w:rPr>
                <w:rFonts w:ascii="宋体" w:hAnsi="宋体" w:cs="宋体"/>
                <w:kern w:val="0"/>
                <w:sz w:val="28"/>
                <w:szCs w:val="28"/>
              </w:rPr>
              <w:t>——</w:t>
            </w:r>
          </w:p>
        </w:tc>
        <w:tc>
          <w:tcPr>
            <w:tcW w:w="5038" w:type="dxa"/>
            <w:tcBorders>
              <w:top w:val="nil"/>
              <w:left w:val="nil"/>
              <w:bottom w:val="single" w:color="auto" w:sz="4" w:space="0"/>
              <w:right w:val="single" w:color="auto" w:sz="4" w:space="0"/>
            </w:tcBorders>
            <w:vAlign w:val="center"/>
          </w:tcPr>
          <w:p>
            <w:pPr>
              <w:widowControl/>
              <w:jc w:val="center"/>
              <w:rPr>
                <w:rFonts w:ascii="宋体" w:cs="宋体"/>
                <w:kern w:val="0"/>
                <w:sz w:val="28"/>
                <w:szCs w:val="28"/>
              </w:rPr>
            </w:pPr>
            <w:r>
              <w:rPr>
                <w:rFonts w:ascii="宋体" w:cs="宋体"/>
                <w:kern w:val="0"/>
                <w:sz w:val="28"/>
                <w:szCs w:val="28"/>
              </w:rPr>
              <w:t>26</w:t>
            </w:r>
          </w:p>
        </w:tc>
      </w:tr>
      <w:tr>
        <w:tblPrEx>
          <w:tblCellMar>
            <w:top w:w="0" w:type="dxa"/>
            <w:left w:w="108" w:type="dxa"/>
            <w:bottom w:w="0" w:type="dxa"/>
            <w:right w:w="108" w:type="dxa"/>
          </w:tblCellMar>
        </w:tblPrEx>
        <w:trPr>
          <w:trHeight w:val="639" w:hRule="atLeast"/>
        </w:trPr>
        <w:tc>
          <w:tcPr>
            <w:tcW w:w="4620" w:type="dxa"/>
            <w:tcBorders>
              <w:top w:val="nil"/>
              <w:left w:val="single" w:color="auto" w:sz="4" w:space="0"/>
              <w:bottom w:val="single" w:color="auto" w:sz="4" w:space="0"/>
              <w:right w:val="single" w:color="auto" w:sz="4" w:space="0"/>
            </w:tcBorders>
            <w:vAlign w:val="center"/>
          </w:tcPr>
          <w:p>
            <w:pPr>
              <w:widowControl/>
              <w:jc w:val="left"/>
              <w:rPr>
                <w:rFonts w:ascii="宋体"/>
                <w:kern w:val="0"/>
                <w:sz w:val="28"/>
                <w:szCs w:val="28"/>
              </w:rPr>
            </w:pPr>
            <w:r>
              <w:rPr>
                <w:rFonts w:ascii="宋体" w:hAnsi="宋体" w:cs="宋体"/>
                <w:kern w:val="0"/>
                <w:sz w:val="28"/>
                <w:szCs w:val="28"/>
              </w:rPr>
              <w:t>1</w:t>
            </w:r>
            <w:r>
              <w:rPr>
                <w:rFonts w:hint="eastAsia" w:ascii="宋体" w:hAnsi="宋体" w:cs="宋体"/>
                <w:kern w:val="0"/>
                <w:sz w:val="28"/>
                <w:szCs w:val="28"/>
              </w:rPr>
              <w:t>、房屋（平方米）</w:t>
            </w:r>
          </w:p>
        </w:tc>
        <w:tc>
          <w:tcPr>
            <w:tcW w:w="2312" w:type="dxa"/>
            <w:tcBorders>
              <w:top w:val="nil"/>
              <w:left w:val="nil"/>
              <w:bottom w:val="single" w:color="auto" w:sz="4" w:space="0"/>
              <w:right w:val="single" w:color="auto" w:sz="4" w:space="0"/>
            </w:tcBorders>
            <w:vAlign w:val="center"/>
          </w:tcPr>
          <w:p>
            <w:pPr>
              <w:widowControl/>
              <w:jc w:val="center"/>
              <w:rPr>
                <w:rFonts w:ascii="宋体"/>
                <w:kern w:val="0"/>
                <w:sz w:val="28"/>
                <w:szCs w:val="28"/>
              </w:rPr>
            </w:pPr>
          </w:p>
        </w:tc>
        <w:tc>
          <w:tcPr>
            <w:tcW w:w="5038" w:type="dxa"/>
            <w:tcBorders>
              <w:top w:val="nil"/>
              <w:left w:val="nil"/>
              <w:bottom w:val="single" w:color="auto" w:sz="4" w:space="0"/>
              <w:right w:val="single" w:color="auto" w:sz="4" w:space="0"/>
            </w:tcBorders>
            <w:vAlign w:val="center"/>
          </w:tcPr>
          <w:p>
            <w:pPr>
              <w:widowControl/>
              <w:jc w:val="center"/>
              <w:rPr>
                <w:rFonts w:ascii="宋体"/>
                <w:kern w:val="0"/>
                <w:sz w:val="28"/>
                <w:szCs w:val="28"/>
              </w:rPr>
            </w:pPr>
          </w:p>
        </w:tc>
      </w:tr>
      <w:tr>
        <w:tblPrEx>
          <w:tblCellMar>
            <w:top w:w="0" w:type="dxa"/>
            <w:left w:w="108" w:type="dxa"/>
            <w:bottom w:w="0" w:type="dxa"/>
            <w:right w:w="108" w:type="dxa"/>
          </w:tblCellMar>
        </w:tblPrEx>
        <w:trPr>
          <w:trHeight w:val="639" w:hRule="atLeast"/>
        </w:trPr>
        <w:tc>
          <w:tcPr>
            <w:tcW w:w="4620" w:type="dxa"/>
            <w:tcBorders>
              <w:top w:val="nil"/>
              <w:left w:val="single" w:color="auto" w:sz="4" w:space="0"/>
              <w:bottom w:val="single" w:color="auto" w:sz="4" w:space="0"/>
              <w:right w:val="single" w:color="auto" w:sz="4" w:space="0"/>
            </w:tcBorders>
            <w:vAlign w:val="center"/>
          </w:tcPr>
          <w:p>
            <w:pPr>
              <w:widowControl/>
              <w:jc w:val="left"/>
              <w:rPr>
                <w:rFonts w:ascii="宋体"/>
                <w:kern w:val="0"/>
                <w:sz w:val="28"/>
                <w:szCs w:val="28"/>
              </w:rPr>
            </w:pPr>
            <w:r>
              <w:rPr>
                <w:rFonts w:ascii="宋体" w:hAnsi="宋体" w:cs="宋体"/>
                <w:kern w:val="0"/>
                <w:sz w:val="28"/>
                <w:szCs w:val="28"/>
              </w:rPr>
              <w:t xml:space="preserve">  </w:t>
            </w:r>
            <w:r>
              <w:rPr>
                <w:rFonts w:hint="eastAsia" w:ascii="宋体" w:hAnsi="宋体" w:cs="宋体"/>
                <w:kern w:val="0"/>
                <w:sz w:val="28"/>
                <w:szCs w:val="28"/>
              </w:rPr>
              <w:t>其中：办公用房（平方米）</w:t>
            </w:r>
          </w:p>
        </w:tc>
        <w:tc>
          <w:tcPr>
            <w:tcW w:w="2312" w:type="dxa"/>
            <w:tcBorders>
              <w:top w:val="nil"/>
              <w:left w:val="nil"/>
              <w:bottom w:val="single" w:color="auto" w:sz="4" w:space="0"/>
              <w:right w:val="single" w:color="auto" w:sz="4" w:space="0"/>
            </w:tcBorders>
            <w:vAlign w:val="center"/>
          </w:tcPr>
          <w:p>
            <w:pPr>
              <w:widowControl/>
              <w:jc w:val="center"/>
              <w:rPr>
                <w:rFonts w:ascii="宋体"/>
                <w:kern w:val="0"/>
                <w:sz w:val="28"/>
                <w:szCs w:val="28"/>
              </w:rPr>
            </w:pPr>
          </w:p>
        </w:tc>
        <w:tc>
          <w:tcPr>
            <w:tcW w:w="5038" w:type="dxa"/>
            <w:tcBorders>
              <w:top w:val="nil"/>
              <w:left w:val="nil"/>
              <w:bottom w:val="single" w:color="auto" w:sz="4" w:space="0"/>
              <w:right w:val="single" w:color="auto" w:sz="4" w:space="0"/>
            </w:tcBorders>
            <w:vAlign w:val="center"/>
          </w:tcPr>
          <w:p>
            <w:pPr>
              <w:widowControl/>
              <w:jc w:val="center"/>
              <w:rPr>
                <w:rFonts w:ascii="宋体"/>
                <w:kern w:val="0"/>
                <w:sz w:val="28"/>
                <w:szCs w:val="28"/>
              </w:rPr>
            </w:pPr>
          </w:p>
        </w:tc>
      </w:tr>
      <w:tr>
        <w:tblPrEx>
          <w:tblCellMar>
            <w:top w:w="0" w:type="dxa"/>
            <w:left w:w="108" w:type="dxa"/>
            <w:bottom w:w="0" w:type="dxa"/>
            <w:right w:w="108" w:type="dxa"/>
          </w:tblCellMar>
        </w:tblPrEx>
        <w:trPr>
          <w:trHeight w:val="639" w:hRule="atLeast"/>
        </w:trPr>
        <w:tc>
          <w:tcPr>
            <w:tcW w:w="4620" w:type="dxa"/>
            <w:tcBorders>
              <w:top w:val="nil"/>
              <w:left w:val="single" w:color="auto" w:sz="4" w:space="0"/>
              <w:bottom w:val="single" w:color="auto" w:sz="4" w:space="0"/>
              <w:right w:val="single" w:color="auto" w:sz="4" w:space="0"/>
            </w:tcBorders>
            <w:vAlign w:val="center"/>
          </w:tcPr>
          <w:p>
            <w:pPr>
              <w:widowControl/>
              <w:jc w:val="left"/>
              <w:rPr>
                <w:rFonts w:ascii="宋体"/>
                <w:kern w:val="0"/>
                <w:sz w:val="28"/>
                <w:szCs w:val="28"/>
              </w:rPr>
            </w:pPr>
            <w:r>
              <w:rPr>
                <w:rFonts w:ascii="宋体" w:hAnsi="宋体" w:cs="宋体"/>
                <w:kern w:val="0"/>
                <w:sz w:val="28"/>
                <w:szCs w:val="28"/>
              </w:rPr>
              <w:t>2</w:t>
            </w:r>
            <w:r>
              <w:rPr>
                <w:rFonts w:hint="eastAsia" w:ascii="宋体" w:hAnsi="宋体" w:cs="宋体"/>
                <w:kern w:val="0"/>
                <w:sz w:val="28"/>
                <w:szCs w:val="28"/>
              </w:rPr>
              <w:t>、车辆（台、辆）</w:t>
            </w:r>
          </w:p>
        </w:tc>
        <w:tc>
          <w:tcPr>
            <w:tcW w:w="2312" w:type="dxa"/>
            <w:tcBorders>
              <w:top w:val="nil"/>
              <w:left w:val="nil"/>
              <w:bottom w:val="single" w:color="auto" w:sz="4" w:space="0"/>
              <w:right w:val="single" w:color="auto" w:sz="4" w:space="0"/>
            </w:tcBorders>
            <w:vAlign w:val="center"/>
          </w:tcPr>
          <w:p>
            <w:pPr>
              <w:widowControl/>
              <w:jc w:val="center"/>
              <w:rPr>
                <w:rFonts w:ascii="宋体" w:cs="宋体"/>
                <w:kern w:val="0"/>
                <w:sz w:val="28"/>
                <w:szCs w:val="28"/>
              </w:rPr>
            </w:pPr>
            <w:r>
              <w:rPr>
                <w:rFonts w:ascii="宋体" w:cs="宋体"/>
                <w:kern w:val="0"/>
                <w:sz w:val="28"/>
                <w:szCs w:val="28"/>
              </w:rPr>
              <w:t>1</w:t>
            </w:r>
          </w:p>
        </w:tc>
        <w:tc>
          <w:tcPr>
            <w:tcW w:w="5038" w:type="dxa"/>
            <w:tcBorders>
              <w:top w:val="nil"/>
              <w:left w:val="nil"/>
              <w:bottom w:val="single" w:color="auto" w:sz="4" w:space="0"/>
              <w:right w:val="single" w:color="auto" w:sz="4" w:space="0"/>
            </w:tcBorders>
            <w:vAlign w:val="center"/>
          </w:tcPr>
          <w:p>
            <w:pPr>
              <w:widowControl/>
              <w:jc w:val="center"/>
              <w:rPr>
                <w:rFonts w:ascii="宋体" w:cs="宋体"/>
                <w:kern w:val="0"/>
                <w:sz w:val="28"/>
                <w:szCs w:val="28"/>
              </w:rPr>
            </w:pPr>
            <w:r>
              <w:rPr>
                <w:rFonts w:ascii="宋体" w:cs="宋体"/>
                <w:kern w:val="0"/>
                <w:sz w:val="28"/>
                <w:szCs w:val="28"/>
              </w:rPr>
              <w:t>15</w:t>
            </w:r>
          </w:p>
        </w:tc>
      </w:tr>
      <w:tr>
        <w:tblPrEx>
          <w:tblCellMar>
            <w:top w:w="0" w:type="dxa"/>
            <w:left w:w="108" w:type="dxa"/>
            <w:bottom w:w="0" w:type="dxa"/>
            <w:right w:w="108" w:type="dxa"/>
          </w:tblCellMar>
        </w:tblPrEx>
        <w:trPr>
          <w:trHeight w:val="639" w:hRule="atLeast"/>
        </w:trPr>
        <w:tc>
          <w:tcPr>
            <w:tcW w:w="4620" w:type="dxa"/>
            <w:tcBorders>
              <w:top w:val="nil"/>
              <w:left w:val="single" w:color="auto" w:sz="4" w:space="0"/>
              <w:bottom w:val="single" w:color="auto" w:sz="4" w:space="0"/>
              <w:right w:val="single" w:color="auto" w:sz="4" w:space="0"/>
            </w:tcBorders>
            <w:vAlign w:val="center"/>
          </w:tcPr>
          <w:p>
            <w:pPr>
              <w:widowControl/>
              <w:jc w:val="left"/>
              <w:rPr>
                <w:rFonts w:ascii="宋体"/>
                <w:kern w:val="0"/>
                <w:sz w:val="28"/>
                <w:szCs w:val="28"/>
              </w:rPr>
            </w:pPr>
            <w:r>
              <w:rPr>
                <w:rFonts w:ascii="宋体" w:hAnsi="宋体" w:cs="宋体"/>
                <w:kern w:val="0"/>
                <w:sz w:val="28"/>
                <w:szCs w:val="28"/>
              </w:rPr>
              <w:t>3</w:t>
            </w:r>
            <w:r>
              <w:rPr>
                <w:rFonts w:hint="eastAsia" w:ascii="宋体" w:hAnsi="宋体" w:cs="宋体"/>
                <w:kern w:val="0"/>
                <w:sz w:val="28"/>
                <w:szCs w:val="28"/>
              </w:rPr>
              <w:t>、单价在</w:t>
            </w:r>
            <w:r>
              <w:rPr>
                <w:rFonts w:ascii="宋体" w:hAnsi="宋体" w:cs="宋体"/>
                <w:kern w:val="0"/>
                <w:sz w:val="28"/>
                <w:szCs w:val="28"/>
              </w:rPr>
              <w:t>20</w:t>
            </w:r>
            <w:r>
              <w:rPr>
                <w:rFonts w:hint="eastAsia" w:ascii="宋体" w:hAnsi="宋体" w:cs="宋体"/>
                <w:kern w:val="0"/>
                <w:sz w:val="28"/>
                <w:szCs w:val="28"/>
              </w:rPr>
              <w:t>万元以上设备</w:t>
            </w:r>
          </w:p>
        </w:tc>
        <w:tc>
          <w:tcPr>
            <w:tcW w:w="2312" w:type="dxa"/>
            <w:tcBorders>
              <w:top w:val="nil"/>
              <w:left w:val="nil"/>
              <w:bottom w:val="single" w:color="auto" w:sz="4" w:space="0"/>
              <w:right w:val="single" w:color="auto" w:sz="4" w:space="0"/>
            </w:tcBorders>
            <w:vAlign w:val="center"/>
          </w:tcPr>
          <w:p>
            <w:pPr>
              <w:widowControl/>
              <w:jc w:val="center"/>
              <w:rPr>
                <w:rFonts w:ascii="宋体"/>
                <w:kern w:val="0"/>
                <w:sz w:val="28"/>
                <w:szCs w:val="28"/>
              </w:rPr>
            </w:pPr>
            <w:r>
              <w:rPr>
                <w:rFonts w:ascii="宋体" w:hAnsi="宋体" w:cs="宋体"/>
                <w:kern w:val="0"/>
                <w:sz w:val="28"/>
                <w:szCs w:val="28"/>
              </w:rPr>
              <w:t>——</w:t>
            </w:r>
          </w:p>
        </w:tc>
        <w:tc>
          <w:tcPr>
            <w:tcW w:w="5038" w:type="dxa"/>
            <w:tcBorders>
              <w:top w:val="nil"/>
              <w:left w:val="nil"/>
              <w:bottom w:val="single" w:color="auto" w:sz="4" w:space="0"/>
              <w:right w:val="single" w:color="auto" w:sz="4" w:space="0"/>
            </w:tcBorders>
            <w:vAlign w:val="center"/>
          </w:tcPr>
          <w:p>
            <w:pPr>
              <w:widowControl/>
              <w:jc w:val="center"/>
              <w:rPr>
                <w:rFonts w:ascii="宋体"/>
                <w:kern w:val="0"/>
                <w:sz w:val="28"/>
                <w:szCs w:val="28"/>
              </w:rPr>
            </w:pPr>
          </w:p>
        </w:tc>
      </w:tr>
      <w:tr>
        <w:tblPrEx>
          <w:tblCellMar>
            <w:top w:w="0" w:type="dxa"/>
            <w:left w:w="108" w:type="dxa"/>
            <w:bottom w:w="0" w:type="dxa"/>
            <w:right w:w="108" w:type="dxa"/>
          </w:tblCellMar>
        </w:tblPrEx>
        <w:trPr>
          <w:trHeight w:val="648" w:hRule="atLeast"/>
        </w:trPr>
        <w:tc>
          <w:tcPr>
            <w:tcW w:w="4620" w:type="dxa"/>
            <w:tcBorders>
              <w:top w:val="nil"/>
              <w:left w:val="single" w:color="auto" w:sz="4" w:space="0"/>
              <w:bottom w:val="single" w:color="auto" w:sz="4" w:space="0"/>
              <w:right w:val="single" w:color="auto" w:sz="4" w:space="0"/>
            </w:tcBorders>
            <w:vAlign w:val="center"/>
          </w:tcPr>
          <w:p>
            <w:pPr>
              <w:widowControl/>
              <w:jc w:val="left"/>
              <w:rPr>
                <w:rFonts w:ascii="宋体"/>
                <w:kern w:val="0"/>
                <w:sz w:val="28"/>
                <w:szCs w:val="28"/>
              </w:rPr>
            </w:pPr>
            <w:r>
              <w:rPr>
                <w:rFonts w:ascii="宋体" w:hAnsi="宋体" w:cs="宋体"/>
                <w:kern w:val="0"/>
                <w:sz w:val="28"/>
                <w:szCs w:val="28"/>
              </w:rPr>
              <w:t>4</w:t>
            </w:r>
            <w:r>
              <w:rPr>
                <w:rFonts w:hint="eastAsia" w:ascii="宋体" w:hAnsi="宋体" w:cs="宋体"/>
                <w:kern w:val="0"/>
                <w:sz w:val="28"/>
                <w:szCs w:val="28"/>
              </w:rPr>
              <w:t>、其他固定资产</w:t>
            </w:r>
          </w:p>
        </w:tc>
        <w:tc>
          <w:tcPr>
            <w:tcW w:w="2312" w:type="dxa"/>
            <w:tcBorders>
              <w:top w:val="nil"/>
              <w:left w:val="nil"/>
              <w:bottom w:val="single" w:color="auto" w:sz="4" w:space="0"/>
              <w:right w:val="single" w:color="auto" w:sz="4" w:space="0"/>
            </w:tcBorders>
            <w:vAlign w:val="center"/>
          </w:tcPr>
          <w:p>
            <w:pPr>
              <w:widowControl/>
              <w:jc w:val="center"/>
              <w:rPr>
                <w:rFonts w:ascii="宋体"/>
                <w:kern w:val="0"/>
                <w:sz w:val="28"/>
                <w:szCs w:val="28"/>
              </w:rPr>
            </w:pPr>
            <w:r>
              <w:rPr>
                <w:rFonts w:ascii="宋体" w:hAnsi="宋体" w:cs="宋体"/>
                <w:kern w:val="0"/>
                <w:sz w:val="28"/>
                <w:szCs w:val="28"/>
              </w:rPr>
              <w:t>——</w:t>
            </w:r>
          </w:p>
        </w:tc>
        <w:tc>
          <w:tcPr>
            <w:tcW w:w="5038" w:type="dxa"/>
            <w:tcBorders>
              <w:top w:val="nil"/>
              <w:left w:val="nil"/>
              <w:bottom w:val="single" w:color="auto" w:sz="4" w:space="0"/>
              <w:right w:val="single" w:color="auto" w:sz="4" w:space="0"/>
            </w:tcBorders>
            <w:vAlign w:val="center"/>
          </w:tcPr>
          <w:p>
            <w:pPr>
              <w:widowControl/>
              <w:jc w:val="center"/>
              <w:rPr>
                <w:rFonts w:ascii="宋体" w:cs="宋体"/>
                <w:kern w:val="0"/>
                <w:sz w:val="28"/>
                <w:szCs w:val="28"/>
              </w:rPr>
            </w:pPr>
            <w:r>
              <w:rPr>
                <w:rFonts w:ascii="宋体" w:cs="宋体"/>
                <w:kern w:val="0"/>
                <w:sz w:val="28"/>
                <w:szCs w:val="28"/>
              </w:rPr>
              <w:t>11</w:t>
            </w:r>
          </w:p>
        </w:tc>
      </w:tr>
    </w:tbl>
    <w:p>
      <w:pPr>
        <w:autoSpaceDE w:val="0"/>
        <w:autoSpaceDN w:val="0"/>
        <w:adjustRightInd w:val="0"/>
        <w:ind w:left="420" w:leftChars="200"/>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八、名词解释</w:t>
      </w:r>
    </w:p>
    <w:p>
      <w:pPr>
        <w:ind w:firstLine="720"/>
        <w:rPr>
          <w:rFonts w:ascii="仿宋" w:hAnsi="仿宋" w:eastAsia="仿宋"/>
          <w:b/>
          <w:bCs/>
          <w:sz w:val="32"/>
          <w:szCs w:val="32"/>
        </w:rPr>
      </w:pPr>
      <w:r>
        <w:rPr>
          <w:rFonts w:ascii="仿宋" w:hAnsi="仿宋" w:eastAsia="仿宋" w:cs="仿宋"/>
          <w:b/>
          <w:bCs/>
          <w:sz w:val="32"/>
          <w:szCs w:val="32"/>
        </w:rPr>
        <w:t>1.</w:t>
      </w:r>
      <w:r>
        <w:rPr>
          <w:rFonts w:hint="eastAsia" w:ascii="仿宋" w:hAnsi="仿宋" w:eastAsia="仿宋" w:cs="仿宋"/>
          <w:b/>
          <w:bCs/>
          <w:sz w:val="32"/>
          <w:szCs w:val="32"/>
        </w:rPr>
        <w:t>财政拨款收入</w:t>
      </w:r>
    </w:p>
    <w:p>
      <w:pPr>
        <w:ind w:firstLine="720"/>
        <w:rPr>
          <w:rFonts w:ascii="仿宋" w:hAnsi="仿宋" w:eastAsia="仿宋"/>
          <w:sz w:val="32"/>
          <w:szCs w:val="32"/>
        </w:rPr>
      </w:pPr>
      <w:r>
        <w:rPr>
          <w:rFonts w:hint="eastAsia" w:ascii="仿宋" w:hAnsi="仿宋" w:eastAsia="仿宋" w:cs="仿宋"/>
          <w:sz w:val="32"/>
          <w:szCs w:val="32"/>
        </w:rPr>
        <w:t>财政拨款收入是指财政部门按照批复的预算核拨给单位的财政预算资金。</w:t>
      </w:r>
    </w:p>
    <w:p>
      <w:pPr>
        <w:ind w:firstLine="720"/>
        <w:rPr>
          <w:rFonts w:ascii="仿宋" w:hAnsi="仿宋" w:eastAsia="仿宋"/>
          <w:b/>
          <w:bCs/>
          <w:sz w:val="32"/>
          <w:szCs w:val="32"/>
        </w:rPr>
      </w:pPr>
      <w:r>
        <w:rPr>
          <w:rFonts w:ascii="仿宋" w:hAnsi="仿宋" w:eastAsia="仿宋" w:cs="仿宋"/>
          <w:b/>
          <w:bCs/>
          <w:sz w:val="32"/>
          <w:szCs w:val="32"/>
        </w:rPr>
        <w:t>2.</w:t>
      </w:r>
      <w:r>
        <w:rPr>
          <w:rFonts w:hint="eastAsia" w:ascii="仿宋" w:hAnsi="仿宋" w:eastAsia="仿宋" w:cs="仿宋"/>
          <w:b/>
          <w:bCs/>
          <w:sz w:val="32"/>
          <w:szCs w:val="32"/>
        </w:rPr>
        <w:t>基本支出、项目支出</w:t>
      </w:r>
    </w:p>
    <w:p>
      <w:pPr>
        <w:ind w:firstLine="720"/>
        <w:rPr>
          <w:rFonts w:ascii="仿宋" w:hAnsi="仿宋" w:eastAsia="仿宋"/>
          <w:sz w:val="32"/>
          <w:szCs w:val="32"/>
        </w:rPr>
      </w:pPr>
      <w:r>
        <w:rPr>
          <w:rFonts w:hint="eastAsia" w:ascii="仿宋" w:hAnsi="仿宋" w:eastAsia="仿宋" w:cs="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cs="仿宋"/>
          <w:sz w:val="32"/>
          <w:szCs w:val="32"/>
        </w:rPr>
        <w:t>项目支出是指在基本支出之外完成特定行政任务和事业发展目标所发生的支出。</w:t>
      </w:r>
    </w:p>
    <w:p>
      <w:pPr>
        <w:ind w:firstLine="720"/>
        <w:rPr>
          <w:rFonts w:ascii="仿宋" w:hAnsi="仿宋" w:eastAsia="仿宋"/>
          <w:b/>
          <w:bCs/>
          <w:sz w:val="32"/>
          <w:szCs w:val="32"/>
        </w:rPr>
      </w:pPr>
      <w:r>
        <w:rPr>
          <w:rFonts w:ascii="仿宋" w:hAnsi="仿宋" w:eastAsia="仿宋" w:cs="仿宋"/>
          <w:b/>
          <w:bCs/>
          <w:sz w:val="32"/>
          <w:szCs w:val="32"/>
        </w:rPr>
        <w:t>3.</w:t>
      </w:r>
      <w:r>
        <w:rPr>
          <w:rFonts w:hint="eastAsia" w:ascii="仿宋" w:hAnsi="仿宋" w:eastAsia="仿宋" w:cs="仿宋"/>
          <w:b/>
          <w:bCs/>
          <w:sz w:val="32"/>
          <w:szCs w:val="32"/>
        </w:rPr>
        <w:t>一般公共服务支出</w:t>
      </w:r>
    </w:p>
    <w:p>
      <w:pPr>
        <w:ind w:firstLine="720"/>
        <w:rPr>
          <w:rFonts w:ascii="仿宋" w:hAnsi="仿宋" w:eastAsia="仿宋"/>
          <w:sz w:val="32"/>
          <w:szCs w:val="32"/>
        </w:rPr>
      </w:pPr>
      <w:r>
        <w:rPr>
          <w:rFonts w:hint="eastAsia" w:ascii="仿宋" w:hAnsi="仿宋" w:eastAsia="仿宋" w:cs="仿宋"/>
          <w:sz w:val="32"/>
          <w:szCs w:val="32"/>
        </w:rPr>
        <w:t>一般公共服务支出是指反映预算单位一般公共服务的支出。</w:t>
      </w:r>
    </w:p>
    <w:p>
      <w:pPr>
        <w:ind w:firstLine="720"/>
        <w:rPr>
          <w:rFonts w:ascii="仿宋" w:hAnsi="仿宋" w:eastAsia="仿宋"/>
          <w:b/>
          <w:bCs/>
          <w:sz w:val="32"/>
          <w:szCs w:val="32"/>
        </w:rPr>
      </w:pPr>
      <w:r>
        <w:rPr>
          <w:rFonts w:ascii="仿宋" w:hAnsi="仿宋" w:eastAsia="仿宋" w:cs="仿宋"/>
          <w:b/>
          <w:bCs/>
          <w:sz w:val="32"/>
          <w:szCs w:val="32"/>
        </w:rPr>
        <w:t>4.</w:t>
      </w:r>
      <w:r>
        <w:rPr>
          <w:rFonts w:hint="eastAsia" w:ascii="仿宋" w:hAnsi="仿宋" w:eastAsia="仿宋" w:cs="仿宋"/>
          <w:b/>
          <w:bCs/>
          <w:sz w:val="32"/>
          <w:szCs w:val="32"/>
        </w:rPr>
        <w:t>文化体育与传媒支出</w:t>
      </w:r>
    </w:p>
    <w:p>
      <w:pPr>
        <w:ind w:firstLine="720"/>
        <w:rPr>
          <w:rFonts w:ascii="仿宋" w:hAnsi="仿宋" w:eastAsia="仿宋"/>
          <w:sz w:val="32"/>
          <w:szCs w:val="32"/>
        </w:rPr>
      </w:pPr>
      <w:r>
        <w:rPr>
          <w:rFonts w:hint="eastAsia" w:ascii="仿宋" w:hAnsi="仿宋" w:eastAsia="仿宋" w:cs="仿宋"/>
          <w:sz w:val="32"/>
          <w:szCs w:val="32"/>
        </w:rPr>
        <w:t>文化体育与传媒支出是指反映预算单位在文化、文物、体育、广播影视、新闻出版等方面的支出。</w:t>
      </w:r>
    </w:p>
    <w:p>
      <w:pPr>
        <w:ind w:firstLine="720"/>
        <w:rPr>
          <w:rFonts w:ascii="仿宋" w:hAnsi="仿宋" w:eastAsia="仿宋"/>
          <w:b/>
          <w:bCs/>
          <w:sz w:val="32"/>
          <w:szCs w:val="32"/>
        </w:rPr>
      </w:pPr>
      <w:r>
        <w:rPr>
          <w:rFonts w:ascii="仿宋" w:hAnsi="仿宋" w:eastAsia="仿宋" w:cs="仿宋"/>
          <w:b/>
          <w:bCs/>
          <w:sz w:val="32"/>
          <w:szCs w:val="32"/>
        </w:rPr>
        <w:t>5.</w:t>
      </w:r>
      <w:r>
        <w:rPr>
          <w:rFonts w:hint="eastAsia" w:ascii="仿宋" w:hAnsi="仿宋" w:eastAsia="仿宋" w:cs="仿宋"/>
          <w:b/>
          <w:bCs/>
          <w:sz w:val="32"/>
          <w:szCs w:val="32"/>
        </w:rPr>
        <w:t>社会保障和就业支出</w:t>
      </w:r>
    </w:p>
    <w:p>
      <w:pPr>
        <w:ind w:firstLine="720"/>
        <w:rPr>
          <w:rFonts w:ascii="仿宋" w:hAnsi="仿宋" w:eastAsia="仿宋"/>
          <w:sz w:val="32"/>
          <w:szCs w:val="32"/>
        </w:rPr>
      </w:pPr>
      <w:r>
        <w:rPr>
          <w:rFonts w:hint="eastAsia" w:ascii="仿宋" w:hAnsi="仿宋" w:eastAsia="仿宋" w:cs="仿宋"/>
          <w:sz w:val="32"/>
          <w:szCs w:val="32"/>
        </w:rPr>
        <w:t>社会保障和就业支出是指预算单位在社会保障和就业方面的支出。</w:t>
      </w:r>
    </w:p>
    <w:p>
      <w:pPr>
        <w:ind w:firstLine="720"/>
        <w:rPr>
          <w:rFonts w:ascii="仿宋" w:hAnsi="仿宋" w:eastAsia="仿宋"/>
          <w:b/>
          <w:bCs/>
          <w:sz w:val="32"/>
          <w:szCs w:val="32"/>
        </w:rPr>
      </w:pPr>
      <w:r>
        <w:rPr>
          <w:rFonts w:ascii="仿宋" w:hAnsi="仿宋" w:eastAsia="仿宋" w:cs="仿宋"/>
          <w:b/>
          <w:bCs/>
          <w:sz w:val="32"/>
          <w:szCs w:val="32"/>
        </w:rPr>
        <w:t>6.</w:t>
      </w:r>
      <w:r>
        <w:rPr>
          <w:rFonts w:hint="eastAsia" w:ascii="仿宋" w:hAnsi="仿宋" w:eastAsia="仿宋" w:cs="仿宋"/>
          <w:b/>
          <w:bCs/>
          <w:sz w:val="32"/>
          <w:szCs w:val="32"/>
        </w:rPr>
        <w:t>机关运行经费</w:t>
      </w:r>
    </w:p>
    <w:p>
      <w:pPr>
        <w:ind w:firstLine="720"/>
        <w:rPr>
          <w:rFonts w:ascii="仿宋" w:hAnsi="仿宋" w:eastAsia="仿宋"/>
          <w:sz w:val="32"/>
          <w:szCs w:val="32"/>
        </w:rPr>
      </w:pPr>
      <w:r>
        <w:rPr>
          <w:rFonts w:hint="eastAsia" w:ascii="仿宋" w:hAnsi="仿宋" w:eastAsia="仿宋" w:cs="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bCs/>
          <w:sz w:val="32"/>
          <w:szCs w:val="32"/>
        </w:rPr>
      </w:pPr>
      <w:r>
        <w:rPr>
          <w:rFonts w:ascii="仿宋" w:hAnsi="仿宋" w:eastAsia="仿宋" w:cs="仿宋"/>
          <w:b/>
          <w:bCs/>
          <w:sz w:val="32"/>
          <w:szCs w:val="32"/>
        </w:rPr>
        <w:t>7.</w:t>
      </w:r>
      <w:r>
        <w:rPr>
          <w:rFonts w:hint="eastAsia" w:ascii="仿宋" w:hAnsi="仿宋" w:eastAsia="仿宋" w:cs="仿宋"/>
          <w:b/>
          <w:bCs/>
          <w:sz w:val="32"/>
          <w:szCs w:val="32"/>
        </w:rPr>
        <w:t>“三公”经费</w:t>
      </w:r>
    </w:p>
    <w:p>
      <w:pPr>
        <w:ind w:firstLine="720"/>
        <w:rPr>
          <w:rFonts w:ascii="仿宋" w:hAnsi="仿宋" w:eastAsia="仿宋"/>
          <w:sz w:val="32"/>
          <w:szCs w:val="32"/>
        </w:rPr>
      </w:pPr>
      <w:r>
        <w:rPr>
          <w:rFonts w:hint="eastAsia" w:ascii="仿宋" w:hAnsi="仿宋" w:eastAsia="仿宋" w:cs="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cs="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cs="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cs="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九、其他需要说明的事项</w:t>
      </w:r>
    </w:p>
    <w:p>
      <w:pPr>
        <w:ind w:firstLine="688" w:firstLineChars="215"/>
        <w:rPr>
          <w:rFonts w:ascii="仿宋" w:hAnsi="仿宋" w:eastAsia="仿宋"/>
          <w:sz w:val="32"/>
          <w:szCs w:val="32"/>
        </w:rPr>
      </w:pPr>
      <w:r>
        <w:rPr>
          <w:rFonts w:hint="eastAsia" w:ascii="仿宋" w:hAnsi="仿宋" w:eastAsia="仿宋" w:cs="仿宋"/>
          <w:sz w:val="32"/>
          <w:szCs w:val="32"/>
        </w:rPr>
        <w:t>无。</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font>
  <w:font w:name="????_GBK">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21072"/>
    <w:rsid w:val="00537F1A"/>
    <w:rsid w:val="007941F2"/>
    <w:rsid w:val="00821072"/>
    <w:rsid w:val="00CC6FC4"/>
    <w:rsid w:val="0A8E3E43"/>
    <w:rsid w:val="37B926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sz w:val="18"/>
      <w:szCs w:val="18"/>
    </w:rPr>
  </w:style>
  <w:style w:type="paragraph" w:styleId="3">
    <w:name w:val="header"/>
    <w:basedOn w:val="1"/>
    <w:link w:val="8"/>
    <w:uiPriority w:val="0"/>
    <w:pPr>
      <w:pBdr>
        <w:bottom w:val="single" w:color="auto" w:sz="6" w:space="1"/>
      </w:pBdr>
      <w:tabs>
        <w:tab w:val="center" w:pos="4153"/>
        <w:tab w:val="right" w:pos="8306"/>
      </w:tabs>
      <w:snapToGrid w:val="0"/>
      <w:jc w:val="center"/>
    </w:pPr>
    <w:rPr>
      <w:sz w:val="18"/>
      <w:szCs w:val="18"/>
    </w:rPr>
  </w:style>
  <w:style w:type="paragraph" w:customStyle="1" w:styleId="6">
    <w:name w:val="List Paragraph1"/>
    <w:basedOn w:val="1"/>
    <w:uiPriority w:val="0"/>
    <w:pPr>
      <w:ind w:firstLine="420" w:firstLineChars="200"/>
    </w:pPr>
  </w:style>
  <w:style w:type="character" w:customStyle="1" w:styleId="7">
    <w:name w:val="页脚 Char"/>
    <w:link w:val="2"/>
    <w:semiHidden/>
    <w:uiPriority w:val="0"/>
    <w:rPr>
      <w:rFonts w:ascii="Times New Roman" w:hAnsi="Times New Roman" w:eastAsia="宋体" w:cs="Times New Roman"/>
      <w:sz w:val="18"/>
      <w:szCs w:val="18"/>
    </w:rPr>
  </w:style>
  <w:style w:type="character" w:customStyle="1" w:styleId="8">
    <w:name w:val="页眉 Char"/>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14</Pages>
  <Words>840</Words>
  <Characters>4793</Characters>
  <Lines>39</Lines>
  <Paragraphs>11</Paragraphs>
  <TotalTime>9</TotalTime>
  <ScaleCrop>false</ScaleCrop>
  <LinksUpToDate>false</LinksUpToDate>
  <CharactersWithSpaces>5622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2017-08-21T17:42:00Z</dcterms:created>
  <dc:creator>微软用户</dc:creator>
  <cp:lastModifiedBy>Administrator</cp:lastModifiedBy>
  <dcterms:modified xsi:type="dcterms:W3CDTF">2024-06-20T13:32:18Z</dcterms:modified>
  <dc:title>Sky123.Org</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BBB080FFFADC46E7B7D2163FA8272583</vt:lpwstr>
  </property>
</Properties>
</file>